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anuscriptTitle"/>
        <w:spacing w:after="0" w:line="360" w:lineRule="auto"/>
        <w:jc w:val="center"/>
      </w:pPr>
      <w:r>
        <w:rPr>
          <w:rFonts w:ascii="Times New Roman" w:hAnsi="Times New Roman"/>
          <w:sz w:val="20"/>
        </w:rPr>
        <w:t>Additional file 1</w:t>
      </w:r>
    </w:p>
    <w:p>
      <w:pPr>
        <w:pStyle w:val="Heading1"/>
        <w:spacing w:after="0" w:line="360" w:lineRule="auto"/>
        <w:jc w:val="center"/>
      </w:pPr>
      <w:r>
        <w:rPr>
          <w:rFonts w:ascii="Times New Roman" w:hAnsi="Times New Roman"/>
          <w:sz w:val="20"/>
        </w:rPr>
        <w:t>Development and internal validation of a clinical prediction model for global developmental delay after neonatal hospitalization: a retrospective case-control study</w:t>
      </w:r>
    </w:p>
    <w:p>
      <w:pPr>
        <w:spacing w:line="360" w:lineRule="auto" w:after="0"/>
        <w:jc w:val="left"/>
      </w:pPr>
      <w:r>
        <w:rPr>
          <w:rFonts w:ascii="Times New Roman" w:hAnsi="Times New Roman"/>
          <w:sz w:val="20"/>
        </w:rPr>
        <w:t>Journal: BMC Pediatrics | Authors: Ruifeng Tian and Shiwen Xia | Corresponding author: Shiwen Xia, 908182570@qq.com</w:t>
      </w:r>
    </w:p>
    <w:p>
      <w:pPr>
        <w:spacing w:after="0" w:line="360" w:lineRule="auto"/>
        <w:jc w:val="left"/>
      </w:pPr>
      <w:r>
        <w:rPr>
          <w:rFonts w:ascii="Times New Roman" w:hAnsi="Times New Roman"/>
          <w:sz w:val="20"/>
        </w:rPr>
        <w:t>This appendix contains model-development details needed to interpret and reproduce the reported prediction model. Parental education groups were defined according to ISCED 2011: low education comprised levels 1-2, middle education levels 3-4, and high education levels 5-8. Numerical scores 1, 2, and 3 were assigned to these groups only for ordinal model calculation; code 0 denoted missing information and was recoded as missing before analysis. No patient-level records are included.</w:t>
      </w:r>
    </w:p>
    <w:p>
      <w:pPr>
        <w:pStyle w:val="Heading1"/>
        <w:spacing w:after="0" w:line="360" w:lineRule="auto"/>
      </w:pPr>
      <w:r>
        <w:rPr>
          <w:rFonts w:ascii="Times New Roman" w:hAnsi="Times New Roman"/>
          <w:sz w:val="20"/>
        </w:rPr>
        <w:t>Supplementary Table S0. ISCED 2011 education classification used in this study</w:t>
      </w:r>
    </w:p>
    <w:tbl>
      <w:tblPr>
        <w:tblStyle w:val="TableGrid"/>
        <w:tblW w:type="auto" w:w="0"/>
        <w:tblLook w:firstColumn="1" w:firstRow="1" w:lastColumn="0" w:lastRow="0" w:noHBand="0" w:noVBand="1" w:val="04A0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ISCED level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Official level description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Study education group</w:t>
            </w:r>
          </w:p>
        </w:tc>
        <w:trPr>
          <w:tblHeader/>
          <w:cantSplit/>
          <w:tblHeader w:val="true"/>
          <w:tblHeader w:val="true"/>
        </w:trPr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1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Primary education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Low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2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Lower secondary education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Low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3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Upper secondary education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Middle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4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Post-secondary non-tertiary education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Middle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5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Short-cycle tertiary education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High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6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Bachelor’s or equivalent level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High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7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Master’s or equivalent level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High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8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Doctoral or equivalent level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High</w:t>
            </w:r>
          </w:p>
        </w:tc>
      </w:tr>
    </w:tbl>
    <w:p>
      <w:pPr>
        <w:spacing w:after="0" w:line="360" w:lineRule="auto"/>
        <w:jc w:val="left"/>
      </w:pPr>
      <w:r>
        <w:rPr>
          <w:rFonts w:ascii="Times New Roman" w:hAnsi="Times New Roman"/>
          <w:sz w:val="20"/>
        </w:rPr>
        <w:t>Note: The low/middle/high categories above define education in the manuscript. The ordinal values 1/2/3 are internal analysis scores only and are not ISCED levels. Code 0 denotes missing information.</w:t>
      </w:r>
    </w:p>
    <w:p>
      <w:pPr>
        <w:pStyle w:val="Heading1"/>
        <w:keepNext/>
        <w:spacing w:after="0" w:line="360" w:lineRule="auto"/>
      </w:pPr>
      <w:r>
        <w:rPr>
          <w:rFonts w:ascii="Times New Roman" w:hAnsi="Times New Roman"/>
          <w:b/>
          <w:sz w:val="20"/>
        </w:rPr>
        <w:t>Supplementary Figure S1</w:t>
      </w:r>
    </w:p>
    <w:p>
      <w:pPr>
        <w:spacing w:after="0" w:line="360" w:lineRule="auto"/>
        <w:jc w:val="center"/>
      </w:pPr>
      <w:r/>
      <w:r>
        <w:drawing>
          <wp:inline xmlns:a="http://schemas.openxmlformats.org/drawingml/2006/main" xmlns:pic="http://schemas.openxmlformats.org/drawingml/2006/picture">
            <wp:extent cx="6400800" cy="13786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1_variable_compression_proces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3786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left"/>
      </w:pPr>
      <w:r>
        <w:t>Supplementary Figure S1. Variable-compression process. Eighty-four analyzable predictors entered univariate screening; 47 predictors with P&lt;0.20 entered Spearman filtering; 42 entered LASSO; 14 had non-zero coefficients at λ1se; and five were retained in the final interpretable model.</w:t>
      </w:r>
    </w:p>
    <w:p>
      <w:pPr>
        <w:pStyle w:val="Heading1"/>
        <w:keepNext/>
        <w:spacing w:after="0" w:line="360" w:lineRule="auto"/>
      </w:pPr>
      <w:r>
        <w:rPr>
          <w:rFonts w:ascii="Times New Roman" w:hAnsi="Times New Roman"/>
          <w:b/>
          <w:sz w:val="20"/>
        </w:rPr>
        <w:t>Supplementary Table S1. Final model formula and predictor coding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2484"/>
        <w:gridCol w:w="2484"/>
        <w:gridCol w:w="2484"/>
        <w:gridCol w:w="2484"/>
      </w:tblGrid>
      <w:tr>
        <w:trPr>
          <w:tblHeader w:val="true"/>
          <w:cantSplit/>
          <w:tblHeader w:val="true"/>
          <w:tblHeader w:val="true"/>
        </w:trPr>
        <w:tc>
          <w:tcPr>
            <w:tcW w:type="dxa" w:w="23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Term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Coefficient</w:t>
            </w:r>
          </w:p>
        </w:tc>
        <w:tc>
          <w:tcPr>
            <w:tcW w:type="dxa" w:w="40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Coding/units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Direction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Intercept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3.105299</w:t>
            </w:r>
          </w:p>
        </w:tc>
        <w:tc>
          <w:tcPr>
            <w:tcW w:type="dxa" w:w="40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applicable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Baseline log-odds component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Antibiotic duration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0.116619</w:t>
            </w:r>
          </w:p>
        </w:tc>
        <w:tc>
          <w:tcPr>
            <w:tcW w:type="dxa" w:w="40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Cumulative antibiotic-treatment days during neonatal hospitalization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Higher values increase the linear predictor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Paternal education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-0.714196</w:t>
            </w:r>
          </w:p>
        </w:tc>
        <w:tc>
          <w:tcPr>
            <w:tcW w:type="dxa" w:w="40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/>
                <w:sz w:val="18"/>
              </w:rPr>
              <w:t>Ordered ISCED group: low=1, middle=2, high=3; 0=missing.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/>
                <w:sz w:val="18"/>
              </w:rPr>
              <w:t>Each one-group increase reduces the linear predictor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Perinatal infection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1.161600</w:t>
            </w:r>
          </w:p>
        </w:tc>
        <w:tc>
          <w:tcPr>
            <w:tcW w:type="dxa" w:w="40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1=infection; 0=no infection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Presence increases the linear predictor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Male sex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0.805803</w:t>
            </w:r>
          </w:p>
        </w:tc>
        <w:tc>
          <w:tcPr>
            <w:tcW w:type="dxa" w:w="40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/>
                <w:sz w:val="18"/>
              </w:rPr>
              <w:t>Binary: male=1; female=0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/>
                <w:sz w:val="18"/>
              </w:rPr>
              <w:t>Male sex increases the linear predictor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Apgar score at 1 min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-0.462934</w:t>
            </w:r>
          </w:p>
        </w:tc>
        <w:tc>
          <w:tcPr>
            <w:tcW w:type="dxa" w:w="40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Recorded 1-min Apgar score, 0-10</w:t>
            </w:r>
          </w:p>
        </w:tc>
        <w:tc>
          <w:tcPr>
            <w:tcW w:type="dxa" w:w="216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Higher values reduce the linear predictor</w:t>
            </w:r>
          </w:p>
        </w:tc>
      </w:tr>
    </w:tbl>
    <w:p>
      <w:pPr>
        <w:spacing w:after="0" w:line="360" w:lineRule="auto"/>
        <w:jc w:val="left"/>
      </w:pPr>
      <w:r>
        <w:rPr>
          <w:rFonts w:ascii="Times New Roman" w:hAnsi="Times New Roman"/>
          <w:sz w:val="20"/>
        </w:rPr>
        <w:t>Linear predictor: LP = 3.105299 + 0.116619×antibiotic duration − 0.714196×paternal education score + 1.161600×perinatal infection + 0.805803×male sex − 0.462934×Apgar score at 1 min. Model-derived development-sample probability: P(GDD)=1/[1+exp(−LP)]. For calculation only, paternal education score is 1 for low education (ISCED 1–2), 2 for middle education (ISCED 3–4), and 3 for high education (ISCED 5–8). Code 0 is missing and must not be entered into the equation or nomogram. Because the study used case-control sampling, population absolute probabilities require prevalence-based recalibration.</w:t>
      </w:r>
    </w:p>
    <w:p>
      <w:pPr>
        <w:pStyle w:val="Heading1"/>
        <w:keepNext/>
        <w:spacing w:after="0" w:line="360" w:lineRule="auto"/>
      </w:pPr>
      <w:r>
        <w:rPr>
          <w:rFonts w:ascii="Times New Roman" w:hAnsi="Times New Roman"/>
          <w:b/>
          <w:sz w:val="20"/>
        </w:rPr>
        <w:t>Supplementary Table S2. Spearman correlation filtering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2484"/>
        <w:gridCol w:w="2484"/>
        <w:gridCol w:w="2484"/>
        <w:gridCol w:w="2484"/>
      </w:tblGrid>
      <w:tr>
        <w:trPr>
          <w:tblHeader w:val="true"/>
          <w:cantSplit/>
          <w:tblHeader w:val="true"/>
          <w:tblHeader w:val="true"/>
        </w:trPr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Removed variable</w:t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Retained variable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Spearman rho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Reason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Therapeutic hypothermia</w:t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Hypoxic-ischemic encephalopathy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0.790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The retained variable had a stronger univariate association and clearer diagnostic meaning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Vasoactive-inotropic score</w:t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Invasive ventilation duration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0.774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The retained variable had the stronger univariate association in the current dataset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Parenteral nutrition duration</w:t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Length of hospitalization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0.798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The retained variable had the stronger univariate association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Mean platelet volume</w:t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Large platelet ratio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0.927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Highly redundant platelet indices; retained variable had stronger univariate association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Birth weight</w:t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Gestational age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0.710</w:t>
            </w:r>
          </w:p>
        </w:tc>
        <w:tc>
          <w:tcPr>
            <w:tcW w:type="dxa" w:w="33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The retained variable had the stronger univariate association</w:t>
            </w:r>
          </w:p>
        </w:tc>
      </w:tr>
    </w:tbl>
    <w:p>
      <w:pPr>
        <w:spacing w:after="0" w:line="360" w:lineRule="auto"/>
        <w:jc w:val="left"/>
      </w:pPr>
      <w:r>
        <w:rPr>
          <w:rFonts w:ascii="Times New Roman" w:hAnsi="Times New Roman"/>
          <w:i/>
          <w:sz w:val="20"/>
        </w:rPr>
        <w:t>A correlation threshold of |rho|≥0.70 was used. Decisions also considered clinical meaning; removal reflects redundancy in this dataset and not lack of clinical importance.</w:t>
      </w:r>
    </w:p>
    <w:p>
      <w:pPr>
        <w:pStyle w:val="Heading1"/>
        <w:keepNext/>
        <w:spacing w:after="0" w:line="360" w:lineRule="auto"/>
      </w:pPr>
      <w:r>
        <w:t>Supplementary Table S3. Predictors with non-zero coefficients at λ1se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3312"/>
        <w:gridCol w:w="3312"/>
        <w:gridCol w:w="3312"/>
      </w:tblGrid>
      <w:tr>
        <w:trPr>
          <w:tblHeader w:val="true"/>
          <w:cantSplit/>
          <w:tblHeader w:val="true"/>
          <w:tblHeader w:val="true"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Predictor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Final-model status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Reason/status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Hypoxic-ischemic encephalopathy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Zero events in controls; quasi-complete separation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Lactate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 under model-size and interpretability constraints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Antibiotic duration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Final predictor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Apgar score at 1 min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Final predictor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Amniotic-fluid abnormality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 under model-size constraint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Paternal education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/>
                <w:sz w:val="18"/>
              </w:rPr>
              <w:t>Final predictor; ordered ISCED group (low/middle/high)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Periventricular leukomalacia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Zero events in controls; quasi-complete separation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Perinatal infection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Final predictor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Sedative duration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Treatment-severity marker; not retained in parsimonious model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Aspiration syndrome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 under model-size constraint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Male sex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/>
                <w:sz w:val="18"/>
              </w:rPr>
              <w:t>Final predictor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Large platelet ratio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Limited bedside interpretability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Gestational diabetes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 under model-size constraint</w:t>
            </w:r>
          </w:p>
        </w:tc>
      </w:tr>
      <w:tr>
        <w:trPr>
          <w:cantSplit/>
        </w:trPr>
        <w:tc>
          <w:tcPr>
            <w:tcW w:type="dxa" w:w="34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Platelet distribution width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Not retained</w:t>
            </w:r>
          </w:p>
        </w:tc>
        <w:tc>
          <w:tcPr>
            <w:tcW w:type="dxa" w:w="46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Limited bedside interpretability</w:t>
            </w:r>
          </w:p>
        </w:tc>
      </w:tr>
    </w:tbl>
    <w:p>
      <w:pPr>
        <w:spacing w:after="0" w:line="360" w:lineRule="auto"/>
        <w:jc w:val="left"/>
      </w:pPr>
      <w:r>
        <w:rPr>
          <w:rFonts w:ascii="Times New Roman" w:hAnsi="Times New Roman"/>
          <w:sz w:val="20"/>
        </w:rPr>
        <w:t>For reporting, λ was defined as 1/C, where C is the inverse regularization strength used by scikit-learn. λmin=4.406 [ln(λmin)=1.483]; λ1se=11.690 [ln(λ1se)=2.459]. Five-fold stratified cross-validation used random seed 2025. Final-model refinement considered separation, coefficient stability, redundancy, routine availability, interpretability, and the 71 observed GDD cases.</w:t>
      </w:r>
    </w:p>
    <w:p>
      <w:pPr>
        <w:pStyle w:val="Heading1"/>
        <w:keepNext/>
        <w:spacing w:after="0" w:line="360" w:lineRule="auto"/>
      </w:pPr>
      <w:r>
        <w:rPr>
          <w:rFonts w:ascii="Times New Roman" w:hAnsi="Times New Roman"/>
          <w:b/>
          <w:sz w:val="20"/>
        </w:rPr>
        <w:t>Supplementary Table S4. Internal validation summary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4968"/>
        <w:gridCol w:w="4968"/>
      </w:tblGrid>
      <w:tr>
        <w:trPr>
          <w:tblHeader w:val="true"/>
          <w:cantSplit/>
          <w:tblHeader w:val="true"/>
          <w:tblHeader w:val="true"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Metric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Estimate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Apparent AUC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0.828 (95% CI 0.761-0.884)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Optimism-corrected AUC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0.811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Apparent Brier score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0.156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Optimism-corrected Brier score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0.167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Optimism-corrected calibration slope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0.899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Optimism-corrected calibration intercept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-0.058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Hosmer-Lemeshow test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chi-square=8.281; df=8; P=0.406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Bootstrap resamples</w:t>
            </w:r>
          </w:p>
        </w:tc>
        <w:tc>
          <w:tcPr>
            <w:tcW w:type="dxa" w:w="50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1000</w:t>
            </w:r>
          </w:p>
        </w:tc>
      </w:tr>
    </w:tbl>
    <w:p>
      <w:pPr>
        <w:spacing w:after="0" w:line="360" w:lineRule="auto"/>
        <w:jc w:val="left"/>
      </w:pPr>
      <w:r>
        <w:rPr>
          <w:rFonts w:ascii="Times New Roman" w:hAnsi="Times New Roman"/>
          <w:i/>
          <w:sz w:val="20"/>
        </w:rPr>
        <w:t>The development-sample calibration intercept of 0 and slope of 1 are expected when a logistic model is evaluated in the data used for fitting; bootstrap-corrected estimates are more informative for internal validity.</w:t>
      </w:r>
    </w:p>
    <w:sectPr w:rsidR="00FC693F" w:rsidRPr="0006063C" w:rsidSect="00034616">
      <w:footerReference w:type="default" r:id="rId9"/>
      <w:pgSz w:w="12240" w:h="15840"/>
      <w:pgMar w:top="1417" w:right="1417" w:bottom="1417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 w:before="0"/>
      <w:jc w:val="both"/>
    </w:pPr>
    <w:rPr>
      <w:rFonts w:ascii="Times New Roman" w:hAnsi="Times New Roman" w:eastAsia="Times New Roman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nuscriptTitle">
    <w:name w:val="Manuscript Title"/>
    <w:pPr>
      <w:spacing w:line="276" w:lineRule="auto" w:after="240"/>
      <w:jc w:val="center"/>
    </w:pPr>
    <w:rPr>
      <w:rFonts w:ascii="Times New Roman" w:hAnsi="Times New Roman" w:eastAsia="Times New Roman"/>
      <w:b/>
      <w:sz w:val="32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Appendix: LASSO-assisted prediction of GDD</dc:title>
  <dc:subject>Research article submitted to BMC Pediatrics</dc:subject>
  <dc:creator>Ruifeng Tian; Shiwen Xia</dc:creator>
  <cp:keywords>global developmental delay; clinical prediction model; neonatal follow-up</cp:keywords>
  <dc:description/>
  <cp:lastModifiedBy>Ruifeng Tian; Shiwen Xia</cp:lastModifiedBy>
  <cp:revision>1</cp:revision>
  <dcterms:created xsi:type="dcterms:W3CDTF">2013-12-23T23:15:00Z</dcterms:created>
  <dcterms:modified xsi:type="dcterms:W3CDTF">2013-12-23T23:15:00Z</dcterms:modified>
  <cp:category/>
</cp:coreProperties>
</file>