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CDB" w:rsidRPr="007A3CDB" w:rsidRDefault="007A3CDB" w:rsidP="007A3CDB">
      <w:pPr>
        <w:spacing w:line="360" w:lineRule="auto"/>
        <w:jc w:val="center"/>
        <w:rPr>
          <w:rFonts w:ascii="Times New Roman" w:hAnsi="Times New Roman" w:cs="Times New Roman"/>
          <w:b/>
          <w:sz w:val="32"/>
          <w:szCs w:val="24"/>
        </w:rPr>
      </w:pPr>
      <w:r w:rsidRPr="007A3CDB">
        <w:rPr>
          <w:rFonts w:ascii="Times New Roman" w:hAnsi="Times New Roman" w:cs="Times New Roman"/>
          <w:b/>
          <w:sz w:val="32"/>
          <w:szCs w:val="24"/>
        </w:rPr>
        <w:t>Data Availability Statement</w:t>
      </w:r>
    </w:p>
    <w:p w:rsidR="007A3CDB" w:rsidRPr="007A3CDB" w:rsidRDefault="007A3CDB" w:rsidP="007A3CDB">
      <w:pPr>
        <w:spacing w:line="360" w:lineRule="auto"/>
        <w:ind w:firstLineChars="100" w:firstLine="240"/>
        <w:rPr>
          <w:rFonts w:ascii="Times New Roman" w:hAnsi="Times New Roman" w:cs="Times New Roman"/>
          <w:sz w:val="24"/>
          <w:szCs w:val="24"/>
        </w:rPr>
      </w:pPr>
      <w:r w:rsidRPr="007A3CDB">
        <w:rPr>
          <w:rFonts w:ascii="Times New Roman" w:hAnsi="Times New Roman" w:cs="Times New Roman"/>
          <w:sz w:val="24"/>
          <w:szCs w:val="24"/>
        </w:rPr>
        <w:t>All publicly available datasets, databases, and bioinformatics tools used in this study are listed below to e</w:t>
      </w:r>
      <w:bookmarkStart w:id="0" w:name="_GoBack"/>
      <w:bookmarkEnd w:id="0"/>
      <w:r w:rsidRPr="007A3CDB">
        <w:rPr>
          <w:rFonts w:ascii="Times New Roman" w:hAnsi="Times New Roman" w:cs="Times New Roman"/>
          <w:sz w:val="24"/>
          <w:szCs w:val="24"/>
        </w:rPr>
        <w:t>nsure transparency and reproducibility of the research.</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1. Original and validation datasets</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1.1 GEO: The circular RNA expression profile dataset GSE155949 used in this study can be publicly accessed through the following link in the Gene Expression Omnibus database: https://www.ncbi.nlm.nih.gov/geo/query/acc.cgi?acc=GSE155949</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1.2 TCGA: The RNA-seq, miRNA-seq data of hepatocellular carcinoma (HCC) and related clinical information analyzed in this study were obtained from the LIHC project of The Cancer Genome Atlas (TCGA). The data can be accessed through the GDC Data Portal: https://portal.gdc.cancer.gov/projects/TCGA-LIHC</w:t>
      </w:r>
    </w:p>
    <w:p w:rsidR="007A3CDB" w:rsidRDefault="007A3CDB" w:rsidP="007A3CDB">
      <w:pPr>
        <w:spacing w:line="360" w:lineRule="auto"/>
        <w:rPr>
          <w:rFonts w:ascii="Times New Roman" w:hAnsi="Times New Roman" w:cs="Times New Roman"/>
          <w:sz w:val="24"/>
          <w:szCs w:val="24"/>
        </w:rPr>
      </w:pP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 Bioinformatics prediction databases</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2.1 circRNA-miRNA interaction prediction (This link was accessible and data could be obtained when the analysis was conducted in June 2024. Current access may be unavailable)</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2.1.1 CircInteractome: https://circinteractome.nia.nih.gov/circRNA.html</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2.1.2 circBank: http://www.circbank.cn/</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2.2 miRNA target gene prediction</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2.2.1 TargetScan (v8.0): TargetscanHuman 8.0: predicted miRNA targets of miR-1294</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2.2.2 miRDB: miRDB Search Result</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2.2.3 miRWalk: Results - miRWalk</w:t>
      </w:r>
    </w:p>
    <w:p w:rsidR="007A3CDB" w:rsidRDefault="007A3CDB" w:rsidP="007A3CDB">
      <w:pPr>
        <w:spacing w:line="360" w:lineRule="auto"/>
        <w:rPr>
          <w:rFonts w:ascii="Times New Roman" w:hAnsi="Times New Roman" w:cs="Times New Roman"/>
          <w:sz w:val="24"/>
          <w:szCs w:val="24"/>
        </w:rPr>
      </w:pP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3. Functional and network analysis tools</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3.1 Functional enrichment analysis: Microbiomics: Microbiomics - Online GO, KEGG pathway enrichment analysis</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3.2 Protein-protein interaction network: STRING database (v12.0): 72 nodes (human) - STRING interaction network</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3.3 Network visualization: Cytoscape software (v3.8.2).</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lastRenderedPageBreak/>
        <w:t>4. Immune infiltration analysis tools</w:t>
      </w:r>
    </w:p>
    <w:p w:rsidR="007A3CDB"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4.1 CIBERSORT algorithm: Used to estimate immune cell proportions based on the LM22 signature gene set. For detailed methods, please refer to the original text.</w:t>
      </w:r>
    </w:p>
    <w:p w:rsidR="007A3CDB" w:rsidRDefault="007A3CDB" w:rsidP="007A3CDB">
      <w:pPr>
        <w:spacing w:line="360" w:lineRule="auto"/>
        <w:rPr>
          <w:rFonts w:ascii="Times New Roman" w:hAnsi="Times New Roman" w:cs="Times New Roman"/>
          <w:sz w:val="24"/>
          <w:szCs w:val="24"/>
        </w:rPr>
      </w:pPr>
    </w:p>
    <w:p w:rsidR="00A8329F" w:rsidRPr="007A3CDB" w:rsidRDefault="007A3CDB" w:rsidP="007A3CDB">
      <w:pPr>
        <w:spacing w:line="360" w:lineRule="auto"/>
        <w:rPr>
          <w:rFonts w:ascii="Times New Roman" w:hAnsi="Times New Roman" w:cs="Times New Roman"/>
          <w:sz w:val="24"/>
          <w:szCs w:val="24"/>
        </w:rPr>
      </w:pPr>
      <w:r w:rsidRPr="007A3CDB">
        <w:rPr>
          <w:rFonts w:ascii="Times New Roman" w:hAnsi="Times New Roman" w:cs="Times New Roman"/>
          <w:sz w:val="24"/>
          <w:szCs w:val="24"/>
        </w:rPr>
        <w:t>Note: All the above links were the direct resource entries used in this study. The specific versions of the software used are indicated.</w:t>
      </w:r>
    </w:p>
    <w:sectPr w:rsidR="00A8329F" w:rsidRPr="007A3C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9D6" w:rsidRDefault="004609D6" w:rsidP="007A3CDB">
      <w:r>
        <w:separator/>
      </w:r>
    </w:p>
  </w:endnote>
  <w:endnote w:type="continuationSeparator" w:id="0">
    <w:p w:rsidR="004609D6" w:rsidRDefault="004609D6" w:rsidP="007A3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9D6" w:rsidRDefault="004609D6" w:rsidP="007A3CDB">
      <w:r>
        <w:separator/>
      </w:r>
    </w:p>
  </w:footnote>
  <w:footnote w:type="continuationSeparator" w:id="0">
    <w:p w:rsidR="004609D6" w:rsidRDefault="004609D6" w:rsidP="007A3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846826FE-4D0A-4E69-9636-E4BE3B622D70}"/>
    <w:docVar w:name="KY_MEDREF_VERSION" w:val="3"/>
  </w:docVars>
  <w:rsids>
    <w:rsidRoot w:val="006E0445"/>
    <w:rsid w:val="000F779B"/>
    <w:rsid w:val="001C5C28"/>
    <w:rsid w:val="002C4735"/>
    <w:rsid w:val="004609D6"/>
    <w:rsid w:val="005E5B67"/>
    <w:rsid w:val="006E0445"/>
    <w:rsid w:val="007A3CDB"/>
    <w:rsid w:val="00961228"/>
    <w:rsid w:val="00A46B04"/>
    <w:rsid w:val="00A8329F"/>
    <w:rsid w:val="00AB1BB0"/>
    <w:rsid w:val="00B47C80"/>
    <w:rsid w:val="00DD3E65"/>
    <w:rsid w:val="00E52654"/>
    <w:rsid w:val="00FC6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BF564"/>
  <w15:chartTrackingRefBased/>
  <w15:docId w15:val="{DD275CE1-514C-4A1C-9AC4-BC1979EFE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CD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3CDB"/>
    <w:rPr>
      <w:sz w:val="18"/>
      <w:szCs w:val="18"/>
    </w:rPr>
  </w:style>
  <w:style w:type="paragraph" w:styleId="a5">
    <w:name w:val="footer"/>
    <w:basedOn w:val="a"/>
    <w:link w:val="a6"/>
    <w:uiPriority w:val="99"/>
    <w:unhideWhenUsed/>
    <w:rsid w:val="007A3CDB"/>
    <w:pPr>
      <w:tabs>
        <w:tab w:val="center" w:pos="4153"/>
        <w:tab w:val="right" w:pos="8306"/>
      </w:tabs>
      <w:snapToGrid w:val="0"/>
      <w:jc w:val="left"/>
    </w:pPr>
    <w:rPr>
      <w:sz w:val="18"/>
      <w:szCs w:val="18"/>
    </w:rPr>
  </w:style>
  <w:style w:type="character" w:customStyle="1" w:styleId="a6">
    <w:name w:val="页脚 字符"/>
    <w:basedOn w:val="a0"/>
    <w:link w:val="a5"/>
    <w:uiPriority w:val="99"/>
    <w:rsid w:val="007A3C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TCC</dc:creator>
  <cp:keywords/>
  <dc:description/>
  <cp:lastModifiedBy>TCC</cp:lastModifiedBy>
  <cp:revision>2</cp:revision>
  <dcterms:created xsi:type="dcterms:W3CDTF">2025-12-19T08:05:00Z</dcterms:created>
  <dcterms:modified xsi:type="dcterms:W3CDTF">2025-12-19T08:09:00Z</dcterms:modified>
</cp:coreProperties>
</file>