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A1C13" w14:textId="77777777" w:rsidR="00216207" w:rsidRPr="009300D8" w:rsidRDefault="00216207" w:rsidP="00216207">
      <w:pPr>
        <w:rPr>
          <w:lang w:val="en-US"/>
        </w:rPr>
      </w:pPr>
      <w:r w:rsidRPr="009460AC">
        <w:rPr>
          <w:b/>
          <w:lang w:val="en-US"/>
        </w:rPr>
        <w:t>Table S1</w:t>
      </w:r>
      <w:r>
        <w:rPr>
          <w:b/>
          <w:lang w:val="en-US"/>
        </w:rPr>
        <w:t xml:space="preserve">. </w:t>
      </w:r>
      <w:r w:rsidRPr="009300D8">
        <w:rPr>
          <w:lang w:val="en-US"/>
        </w:rPr>
        <w:t xml:space="preserve">RNA-seq and ATAC-seq sample QC </w:t>
      </w:r>
    </w:p>
    <w:p w14:paraId="38B3D881" w14:textId="77777777" w:rsidR="00216207" w:rsidRDefault="00216207" w:rsidP="00216207">
      <w:pPr>
        <w:rPr>
          <w:b/>
          <w:lang w:val="en-US"/>
        </w:rPr>
      </w:pPr>
      <w:r w:rsidRPr="009460AC">
        <w:rPr>
          <w:b/>
          <w:lang w:val="en-US"/>
        </w:rPr>
        <w:t>Table S</w:t>
      </w:r>
      <w:r>
        <w:rPr>
          <w:b/>
          <w:lang w:val="en-US"/>
        </w:rPr>
        <w:t xml:space="preserve">2. </w:t>
      </w:r>
      <w:r w:rsidRPr="00614659">
        <w:rPr>
          <w:lang w:val="en-US"/>
        </w:rPr>
        <w:t>Flow cytometry data</w:t>
      </w:r>
    </w:p>
    <w:p w14:paraId="6685A37A" w14:textId="77777777" w:rsidR="00216207" w:rsidRDefault="00216207" w:rsidP="00216207">
      <w:pPr>
        <w:rPr>
          <w:b/>
          <w:lang w:val="en-US"/>
        </w:rPr>
      </w:pPr>
      <w:r>
        <w:rPr>
          <w:b/>
          <w:lang w:val="en-US"/>
        </w:rPr>
        <w:t xml:space="preserve">Table S3. </w:t>
      </w:r>
      <w:r w:rsidRPr="00250B8C">
        <w:rPr>
          <w:lang w:val="en-US"/>
        </w:rPr>
        <w:t>Differentially expressed (DE)</w:t>
      </w:r>
      <w:r>
        <w:rPr>
          <w:lang w:val="en-US"/>
        </w:rPr>
        <w:t xml:space="preserve"> </w:t>
      </w:r>
      <w:r w:rsidRPr="00250B8C">
        <w:rPr>
          <w:lang w:val="en-US"/>
        </w:rPr>
        <w:t>genes with age</w:t>
      </w:r>
    </w:p>
    <w:p w14:paraId="2FDD7EA0" w14:textId="77777777" w:rsidR="00216207" w:rsidRDefault="00216207" w:rsidP="00216207">
      <w:pPr>
        <w:rPr>
          <w:b/>
          <w:lang w:val="en-US"/>
        </w:rPr>
      </w:pPr>
      <w:r>
        <w:rPr>
          <w:b/>
          <w:lang w:val="en-US"/>
        </w:rPr>
        <w:t xml:space="preserve">Table S4. </w:t>
      </w:r>
      <w:r w:rsidRPr="00250B8C">
        <w:rPr>
          <w:lang w:val="en-US"/>
        </w:rPr>
        <w:t xml:space="preserve">Differentially </w:t>
      </w:r>
      <w:r>
        <w:rPr>
          <w:lang w:val="en-US"/>
        </w:rPr>
        <w:t>accessible</w:t>
      </w:r>
      <w:r w:rsidRPr="00250B8C">
        <w:rPr>
          <w:lang w:val="en-US"/>
        </w:rPr>
        <w:t xml:space="preserve"> (D</w:t>
      </w:r>
      <w:r>
        <w:rPr>
          <w:lang w:val="en-US"/>
        </w:rPr>
        <w:t>A</w:t>
      </w:r>
      <w:r w:rsidRPr="00250B8C">
        <w:rPr>
          <w:lang w:val="en-US"/>
        </w:rPr>
        <w:t>)</w:t>
      </w:r>
      <w:r>
        <w:rPr>
          <w:lang w:val="en-US"/>
        </w:rPr>
        <w:t xml:space="preserve"> peaks</w:t>
      </w:r>
      <w:r w:rsidRPr="00250B8C">
        <w:rPr>
          <w:lang w:val="en-US"/>
        </w:rPr>
        <w:t xml:space="preserve"> with age</w:t>
      </w:r>
      <w:r>
        <w:rPr>
          <w:b/>
          <w:lang w:val="en-US"/>
        </w:rPr>
        <w:t xml:space="preserve"> </w:t>
      </w:r>
    </w:p>
    <w:p w14:paraId="5F4F8AE7" w14:textId="77777777" w:rsidR="00216207" w:rsidRDefault="00216207" w:rsidP="00216207">
      <w:pPr>
        <w:rPr>
          <w:b/>
          <w:lang w:val="en-US"/>
        </w:rPr>
      </w:pPr>
      <w:r>
        <w:rPr>
          <w:b/>
          <w:lang w:val="en-US"/>
        </w:rPr>
        <w:t xml:space="preserve">Table S5. </w:t>
      </w:r>
      <w:r w:rsidRPr="007D560C">
        <w:rPr>
          <w:lang w:val="en-US"/>
        </w:rPr>
        <w:t>GSEA enrichments</w:t>
      </w:r>
    </w:p>
    <w:p w14:paraId="0990A467" w14:textId="77777777" w:rsidR="00216207" w:rsidRDefault="00216207" w:rsidP="00216207">
      <w:pPr>
        <w:rPr>
          <w:b/>
          <w:lang w:val="en-US"/>
        </w:rPr>
      </w:pPr>
      <w:r>
        <w:rPr>
          <w:b/>
          <w:lang w:val="en-US"/>
        </w:rPr>
        <w:t xml:space="preserve">Table S6. </w:t>
      </w:r>
      <w:r w:rsidRPr="00710B66">
        <w:rPr>
          <w:lang w:val="en-US"/>
        </w:rPr>
        <w:t>AP-1 complex members</w:t>
      </w:r>
    </w:p>
    <w:p w14:paraId="0CFFA6CA" w14:textId="77777777" w:rsidR="00216207" w:rsidRPr="009527DC" w:rsidRDefault="00216207" w:rsidP="00216207">
      <w:pPr>
        <w:rPr>
          <w:lang w:val="en-US"/>
        </w:rPr>
      </w:pPr>
      <w:r>
        <w:rPr>
          <w:b/>
          <w:lang w:val="en-US"/>
        </w:rPr>
        <w:t xml:space="preserve">Table S7. </w:t>
      </w:r>
      <w:r w:rsidRPr="009527DC">
        <w:rPr>
          <w:lang w:val="en-US"/>
        </w:rPr>
        <w:t>Footprint counts for selected TFs</w:t>
      </w:r>
    </w:p>
    <w:p w14:paraId="46AE3CAB" w14:textId="77777777" w:rsidR="00216207" w:rsidRDefault="00216207" w:rsidP="00216207">
      <w:pPr>
        <w:rPr>
          <w:lang w:val="en-US"/>
        </w:rPr>
      </w:pPr>
      <w:r>
        <w:rPr>
          <w:b/>
          <w:lang w:val="en-US"/>
        </w:rPr>
        <w:t xml:space="preserve">Table S8. </w:t>
      </w:r>
      <w:r w:rsidRPr="00207D58">
        <w:rPr>
          <w:lang w:val="en-US"/>
        </w:rPr>
        <w:t>Functional enrichment of TF footprint targets</w:t>
      </w:r>
      <w:r>
        <w:rPr>
          <w:lang w:val="en-US"/>
        </w:rPr>
        <w:t xml:space="preserve"> (mice)</w:t>
      </w:r>
    </w:p>
    <w:p w14:paraId="255A492F" w14:textId="77777777" w:rsidR="00216207" w:rsidRPr="00571481" w:rsidRDefault="00216207" w:rsidP="00216207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Table S9. </w:t>
      </w:r>
      <w:r w:rsidRPr="00207D58">
        <w:rPr>
          <w:lang w:val="en-US"/>
        </w:rPr>
        <w:t>Functional enrichment of TF footprint targets</w:t>
      </w:r>
      <w:r>
        <w:rPr>
          <w:lang w:val="en-US"/>
        </w:rPr>
        <w:t xml:space="preserve"> (human)</w:t>
      </w:r>
    </w:p>
    <w:p w14:paraId="13B65A7B" w14:textId="77777777" w:rsidR="00216207" w:rsidRDefault="00216207" w:rsidP="00216207">
      <w:pPr>
        <w:rPr>
          <w:lang w:val="en-US"/>
        </w:rPr>
      </w:pPr>
      <w:r>
        <w:rPr>
          <w:b/>
          <w:bCs/>
          <w:lang w:val="en-US"/>
        </w:rPr>
        <w:t xml:space="preserve">Table S10. </w:t>
      </w:r>
      <w:proofErr w:type="spellStart"/>
      <w:r>
        <w:rPr>
          <w:lang w:val="en-US"/>
        </w:rPr>
        <w:t>cJUN</w:t>
      </w:r>
      <w:proofErr w:type="spellEnd"/>
      <w:r>
        <w:rPr>
          <w:lang w:val="en-US"/>
        </w:rPr>
        <w:t xml:space="preserve"> binding levels upon different stimuli for B6 mice</w:t>
      </w:r>
    </w:p>
    <w:p w14:paraId="55B9E252" w14:textId="77777777" w:rsidR="00216207" w:rsidRPr="00DF3C93" w:rsidRDefault="00216207" w:rsidP="00216207">
      <w:pPr>
        <w:rPr>
          <w:lang w:val="en-US"/>
        </w:rPr>
      </w:pPr>
      <w:r>
        <w:rPr>
          <w:b/>
          <w:bCs/>
          <w:lang w:val="en-US"/>
        </w:rPr>
        <w:t>Table S11.</w:t>
      </w:r>
      <w:r>
        <w:rPr>
          <w:lang w:val="en-US"/>
        </w:rPr>
        <w:t xml:space="preserve"> IL6 cytokines secreted by splenocytes of 3- and 18- months B6 mice</w:t>
      </w:r>
    </w:p>
    <w:p w14:paraId="69EBAFF4" w14:textId="572C421F" w:rsidR="009C24EB" w:rsidRDefault="009C24EB"/>
    <w:p w14:paraId="4290E047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>Figure S1</w:t>
      </w:r>
    </w:p>
    <w:p w14:paraId="4AF8ED71" w14:textId="77777777" w:rsidR="00216207" w:rsidRPr="00F27BBE" w:rsidRDefault="00216207" w:rsidP="00216207">
      <w:pPr>
        <w:jc w:val="both"/>
        <w:rPr>
          <w:lang w:val="en-US"/>
        </w:rPr>
      </w:pPr>
      <w:r w:rsidRPr="00F27BBE">
        <w:rPr>
          <w:lang w:val="en-US"/>
        </w:rPr>
        <w:t xml:space="preserve">Tissue/cell type, sex, </w:t>
      </w:r>
      <w:proofErr w:type="gramStart"/>
      <w:r w:rsidRPr="00F27BBE">
        <w:rPr>
          <w:lang w:val="en-US"/>
        </w:rPr>
        <w:t>age</w:t>
      </w:r>
      <w:proofErr w:type="gramEnd"/>
      <w:r w:rsidRPr="00F27BBE">
        <w:rPr>
          <w:lang w:val="en-US"/>
        </w:rPr>
        <w:t xml:space="preserve"> and strain information in order were overlaid onto first and second principal components of (</w:t>
      </w:r>
      <w:r w:rsidRPr="00F27BBE">
        <w:rPr>
          <w:b/>
          <w:lang w:val="en-US"/>
        </w:rPr>
        <w:t>A</w:t>
      </w:r>
      <w:r w:rsidRPr="00F27BBE">
        <w:rPr>
          <w:lang w:val="en-US"/>
        </w:rPr>
        <w:t>) flow cytometry, (</w:t>
      </w:r>
      <w:r w:rsidRPr="00F27BBE">
        <w:rPr>
          <w:b/>
          <w:lang w:val="en-US"/>
        </w:rPr>
        <w:t>B</w:t>
      </w:r>
      <w:r w:rsidRPr="00F27BBE">
        <w:rPr>
          <w:lang w:val="en-US"/>
        </w:rPr>
        <w:t>) ATAC-seq, and (</w:t>
      </w:r>
      <w:r w:rsidRPr="00F27BBE">
        <w:rPr>
          <w:b/>
          <w:lang w:val="en-US"/>
        </w:rPr>
        <w:t>C</w:t>
      </w:r>
      <w:r w:rsidRPr="00F27BBE">
        <w:rPr>
          <w:lang w:val="en-US"/>
        </w:rPr>
        <w:t>) RNA-seq data. (</w:t>
      </w:r>
      <w:r w:rsidRPr="00F27BBE">
        <w:rPr>
          <w:b/>
          <w:lang w:val="en-US"/>
        </w:rPr>
        <w:t>D</w:t>
      </w:r>
      <w:r w:rsidRPr="00F27BBE">
        <w:rPr>
          <w:lang w:val="en-US"/>
        </w:rPr>
        <w:t>) Interactions of the explanatory variables were used in PVCA along with the original metadata</w:t>
      </w:r>
      <w:r>
        <w:rPr>
          <w:lang w:val="en-US"/>
        </w:rPr>
        <w:t>.</w:t>
      </w:r>
    </w:p>
    <w:p w14:paraId="57F19366" w14:textId="4AB9E63C" w:rsidR="00216207" w:rsidRDefault="00216207"/>
    <w:p w14:paraId="4DDB5BA4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>Figure S</w:t>
      </w:r>
      <w:r>
        <w:rPr>
          <w:b/>
          <w:lang w:val="en-US"/>
        </w:rPr>
        <w:t>2</w:t>
      </w:r>
    </w:p>
    <w:p w14:paraId="735771D9" w14:textId="77777777" w:rsidR="00216207" w:rsidRPr="00F27BBE" w:rsidRDefault="00216207" w:rsidP="00216207">
      <w:pPr>
        <w:jc w:val="both"/>
        <w:rPr>
          <w:lang w:val="en-US"/>
        </w:rPr>
      </w:pPr>
      <w:r w:rsidRPr="00F27BBE">
        <w:rPr>
          <w:b/>
          <w:lang w:val="en-US"/>
        </w:rPr>
        <w:t xml:space="preserve">A </w:t>
      </w:r>
      <w:r w:rsidRPr="00F27BBE">
        <w:rPr>
          <w:lang w:val="en-US"/>
        </w:rPr>
        <w:t xml:space="preserve">Sample gating strategy for all cell types and subsets. Cells were sorted on a </w:t>
      </w:r>
      <w:proofErr w:type="spellStart"/>
      <w:r w:rsidRPr="00F27BBE">
        <w:rPr>
          <w:lang w:val="en-US"/>
        </w:rPr>
        <w:t>FACSAria</w:t>
      </w:r>
      <w:proofErr w:type="spellEnd"/>
      <w:r w:rsidRPr="00F27BBE">
        <w:rPr>
          <w:lang w:val="en-US"/>
        </w:rPr>
        <w:t xml:space="preserve"> II (BD Biosciences). Briefly, doublets were gated out, </w:t>
      </w:r>
      <w:r>
        <w:rPr>
          <w:lang w:val="en-US"/>
        </w:rPr>
        <w:t>v</w:t>
      </w:r>
      <w:r w:rsidRPr="00F27BBE">
        <w:rPr>
          <w:lang w:val="en-US"/>
        </w:rPr>
        <w:t>iable PI- cells were gated, CD3e</w:t>
      </w:r>
      <w:r w:rsidRPr="005E1750">
        <w:rPr>
          <w:vertAlign w:val="superscript"/>
          <w:lang w:val="en-US"/>
        </w:rPr>
        <w:t>+</w:t>
      </w:r>
      <w:r w:rsidRPr="00F27BBE">
        <w:rPr>
          <w:lang w:val="en-US"/>
        </w:rPr>
        <w:t>, CD8</w:t>
      </w:r>
      <w:r w:rsidRPr="005E1750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cells were gated and subdivided into CD44</w:t>
      </w:r>
      <w:r w:rsidRPr="005E1750">
        <w:rPr>
          <w:vertAlign w:val="superscript"/>
          <w:lang w:val="en-US"/>
        </w:rPr>
        <w:t>Low</w:t>
      </w:r>
      <w:r w:rsidRPr="00F27BBE">
        <w:rPr>
          <w:lang w:val="en-US"/>
        </w:rPr>
        <w:t>, CD62L</w:t>
      </w:r>
      <w:r w:rsidRPr="005E1750">
        <w:rPr>
          <w:vertAlign w:val="superscript"/>
          <w:lang w:val="en-US"/>
        </w:rPr>
        <w:t>High</w:t>
      </w:r>
      <w:r w:rsidRPr="00F27BBE">
        <w:rPr>
          <w:lang w:val="en-US"/>
        </w:rPr>
        <w:t xml:space="preserve"> Naïve cells and CD44</w:t>
      </w:r>
      <w:r w:rsidRPr="005E1750">
        <w:rPr>
          <w:vertAlign w:val="superscript"/>
          <w:lang w:val="en-US"/>
        </w:rPr>
        <w:t>High</w:t>
      </w:r>
      <w:r w:rsidRPr="00F27BBE">
        <w:rPr>
          <w:lang w:val="en-US"/>
        </w:rPr>
        <w:t>, CD62L</w:t>
      </w:r>
      <w:r w:rsidRPr="005E1750">
        <w:rPr>
          <w:vertAlign w:val="superscript"/>
          <w:lang w:val="en-US"/>
        </w:rPr>
        <w:t>+/-</w:t>
      </w:r>
      <w:r w:rsidRPr="00F27BBE">
        <w:rPr>
          <w:lang w:val="en-US"/>
        </w:rPr>
        <w:t xml:space="preserve"> Memory cells. Cells were collected in tubes coated with </w:t>
      </w:r>
      <w:r>
        <w:rPr>
          <w:lang w:val="en-US"/>
        </w:rPr>
        <w:t>f</w:t>
      </w:r>
      <w:r w:rsidRPr="00F27BBE">
        <w:rPr>
          <w:lang w:val="en-US"/>
        </w:rPr>
        <w:t xml:space="preserve">etal </w:t>
      </w:r>
      <w:r>
        <w:rPr>
          <w:lang w:val="en-US"/>
        </w:rPr>
        <w:t>b</w:t>
      </w:r>
      <w:r w:rsidRPr="00F27BBE">
        <w:rPr>
          <w:lang w:val="en-US"/>
        </w:rPr>
        <w:t xml:space="preserve">ovine </w:t>
      </w:r>
      <w:r>
        <w:rPr>
          <w:lang w:val="en-US"/>
        </w:rPr>
        <w:t>s</w:t>
      </w:r>
      <w:r w:rsidRPr="00F27BBE">
        <w:rPr>
          <w:lang w:val="en-US"/>
        </w:rPr>
        <w:t>erum (FBS). The percentages of B, CD4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CD8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Naïve CD4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Central memory CD4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Effector memory CD4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Effector memory RA CD4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Naïve CD8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Central memory CD8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Effector memory CD8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T, </w:t>
      </w:r>
      <w:r>
        <w:rPr>
          <w:lang w:val="en-US"/>
        </w:rPr>
        <w:t xml:space="preserve">and </w:t>
      </w:r>
      <w:r w:rsidRPr="00F27BBE">
        <w:rPr>
          <w:lang w:val="en-US"/>
        </w:rPr>
        <w:t>Effector memory RA CD8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 cells were measured. In addition, within each of these cell types, the percentages of IL7R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and PD1</w:t>
      </w:r>
      <w:r w:rsidRPr="00BC596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cells were measured. </w:t>
      </w:r>
    </w:p>
    <w:p w14:paraId="7CB798C6" w14:textId="77777777" w:rsidR="00216207" w:rsidRDefault="00216207" w:rsidP="00216207">
      <w:pPr>
        <w:rPr>
          <w:b/>
          <w:lang w:val="en-US"/>
        </w:rPr>
      </w:pPr>
    </w:p>
    <w:p w14:paraId="2A6CE961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>Figure S</w:t>
      </w:r>
      <w:r>
        <w:rPr>
          <w:b/>
          <w:lang w:val="en-US"/>
        </w:rPr>
        <w:t>3</w:t>
      </w:r>
    </w:p>
    <w:p w14:paraId="2F41F50C" w14:textId="77777777" w:rsidR="00216207" w:rsidRPr="00F27BBE" w:rsidRDefault="00216207" w:rsidP="00216207">
      <w:pPr>
        <w:jc w:val="both"/>
        <w:rPr>
          <w:lang w:val="en-US"/>
        </w:rPr>
      </w:pPr>
      <w:r w:rsidRPr="00F27BBE">
        <w:rPr>
          <w:b/>
          <w:lang w:val="en-US"/>
        </w:rPr>
        <w:t xml:space="preserve">A </w:t>
      </w:r>
      <w:r w:rsidRPr="00F27BBE">
        <w:rPr>
          <w:lang w:val="en-US"/>
        </w:rPr>
        <w:t xml:space="preserve">Changes in cellular composition in </w:t>
      </w:r>
      <w:r>
        <w:rPr>
          <w:lang w:val="en-US"/>
        </w:rPr>
        <w:t xml:space="preserve">mouse </w:t>
      </w:r>
      <w:r w:rsidRPr="00F27BBE">
        <w:rPr>
          <w:lang w:val="en-US"/>
        </w:rPr>
        <w:t>spleen and PBL with age</w:t>
      </w:r>
      <w:r>
        <w:rPr>
          <w:lang w:val="en-US"/>
        </w:rPr>
        <w:t xml:space="preserve"> (x-</w:t>
      </w:r>
      <w:r w:rsidRPr="00F27BBE">
        <w:rPr>
          <w:lang w:val="en-US"/>
        </w:rPr>
        <w:t>axis represents age in months, and each dot represents an animal</w:t>
      </w:r>
      <w:r>
        <w:rPr>
          <w:lang w:val="en-US"/>
        </w:rPr>
        <w:t>)</w:t>
      </w:r>
      <w:r w:rsidRPr="00F27BBE">
        <w:rPr>
          <w:lang w:val="en-US"/>
        </w:rPr>
        <w:t xml:space="preserve">. The jitter around points is for plotting purposes to </w:t>
      </w:r>
      <w:r>
        <w:rPr>
          <w:lang w:val="en-US"/>
        </w:rPr>
        <w:t>avoid</w:t>
      </w:r>
      <w:r w:rsidRPr="00F27BBE">
        <w:rPr>
          <w:lang w:val="en-US"/>
        </w:rPr>
        <w:t xml:space="preserve"> overlapping dots. </w:t>
      </w:r>
      <w:r w:rsidRPr="00F27BBE">
        <w:rPr>
          <w:b/>
          <w:lang w:val="en-US"/>
        </w:rPr>
        <w:t xml:space="preserve">B </w:t>
      </w:r>
      <w:r w:rsidRPr="00F27BBE">
        <w:rPr>
          <w:lang w:val="en-US"/>
        </w:rPr>
        <w:t>Cellular composition changes in human PBMCs</w:t>
      </w:r>
      <w:r>
        <w:rPr>
          <w:lang w:val="en-US"/>
        </w:rPr>
        <w:t xml:space="preserve"> (x-axis represents age in years). </w:t>
      </w:r>
      <w:r w:rsidRPr="00F27BBE">
        <w:rPr>
          <w:lang w:val="en-US"/>
        </w:rPr>
        <w:t xml:space="preserve">Samples are colored according to sex; blue color indicates male subjects and pink indicates females. For each plot, 100% of the y-axis </w:t>
      </w:r>
      <w:r>
        <w:rPr>
          <w:lang w:val="en-US"/>
        </w:rPr>
        <w:t xml:space="preserve">represents the entire </w:t>
      </w:r>
      <w:r w:rsidRPr="00F27BBE">
        <w:rPr>
          <w:lang w:val="en-US"/>
        </w:rPr>
        <w:t>PBMC</w:t>
      </w:r>
      <w:r>
        <w:rPr>
          <w:lang w:val="en-US"/>
        </w:rPr>
        <w:t xml:space="preserve"> cell composition</w:t>
      </w:r>
      <w:r w:rsidRPr="00F27BBE">
        <w:rPr>
          <w:lang w:val="en-US"/>
        </w:rPr>
        <w:t>.</w:t>
      </w:r>
    </w:p>
    <w:p w14:paraId="106299CA" w14:textId="77777777" w:rsidR="00216207" w:rsidRPr="00F27BBE" w:rsidRDefault="00216207" w:rsidP="00216207">
      <w:pPr>
        <w:rPr>
          <w:lang w:val="en-US"/>
        </w:rPr>
      </w:pPr>
    </w:p>
    <w:p w14:paraId="31B2985A" w14:textId="77777777" w:rsidR="00216207" w:rsidRPr="00F27BBE" w:rsidRDefault="00216207" w:rsidP="00216207">
      <w:pPr>
        <w:rPr>
          <w:b/>
          <w:lang w:val="en-US"/>
        </w:rPr>
      </w:pPr>
      <w:r w:rsidRPr="00F27BBE">
        <w:rPr>
          <w:b/>
          <w:lang w:val="en-US"/>
        </w:rPr>
        <w:t>Figure S4</w:t>
      </w:r>
    </w:p>
    <w:p w14:paraId="2B8B707D" w14:textId="77777777" w:rsidR="00216207" w:rsidRPr="00F27BBE" w:rsidRDefault="00216207" w:rsidP="00216207">
      <w:pPr>
        <w:rPr>
          <w:lang w:val="en-US"/>
        </w:rPr>
      </w:pPr>
      <w:r w:rsidRPr="00F27BBE">
        <w:rPr>
          <w:lang w:val="en-US"/>
        </w:rPr>
        <w:t xml:space="preserve">Summary heatmap for associations of age with </w:t>
      </w:r>
      <w:r>
        <w:rPr>
          <w:lang w:val="en-US"/>
        </w:rPr>
        <w:t>indicated cell type</w:t>
      </w:r>
      <w:r w:rsidRPr="00F27BBE">
        <w:rPr>
          <w:lang w:val="en-US"/>
        </w:rPr>
        <w:t xml:space="preserve">. </w:t>
      </w:r>
      <w:r>
        <w:rPr>
          <w:lang w:val="en-US"/>
        </w:rPr>
        <w:t>Colors (slope) and dots (FDR &lt; 0.05) are as in Figure 2.</w:t>
      </w:r>
      <w:r>
        <w:rPr>
          <w:b/>
          <w:lang w:val="en-US"/>
        </w:rPr>
        <w:t xml:space="preserve"> </w:t>
      </w:r>
      <w:r w:rsidRPr="00F27BBE">
        <w:rPr>
          <w:b/>
          <w:lang w:val="en-US"/>
        </w:rPr>
        <w:t xml:space="preserve">A </w:t>
      </w:r>
      <w:r w:rsidRPr="00F27BBE">
        <w:rPr>
          <w:lang w:val="en-US"/>
        </w:rPr>
        <w:t xml:space="preserve">IL7R+ and PD1+ cell populations </w:t>
      </w:r>
      <w:r>
        <w:rPr>
          <w:lang w:val="en-US"/>
        </w:rPr>
        <w:t>in</w:t>
      </w:r>
      <w:r w:rsidRPr="00F27BBE">
        <w:rPr>
          <w:lang w:val="en-US"/>
        </w:rPr>
        <w:t xml:space="preserve"> mice. </w:t>
      </w:r>
      <w:r w:rsidRPr="00F27BBE">
        <w:rPr>
          <w:b/>
          <w:lang w:val="en-US"/>
        </w:rPr>
        <w:t xml:space="preserve">B </w:t>
      </w:r>
      <w:r w:rsidRPr="00F27BBE">
        <w:rPr>
          <w:lang w:val="en-US"/>
        </w:rPr>
        <w:t>Complementary analyses to Figure 2F</w:t>
      </w:r>
      <w:r>
        <w:rPr>
          <w:lang w:val="en-US"/>
        </w:rPr>
        <w:t>, with separated sexes</w:t>
      </w:r>
      <w:r w:rsidRPr="00F27BBE">
        <w:rPr>
          <w:lang w:val="en-US"/>
        </w:rPr>
        <w:t>.</w:t>
      </w:r>
    </w:p>
    <w:p w14:paraId="58C271FF" w14:textId="1F67434E" w:rsidR="00216207" w:rsidRDefault="00216207"/>
    <w:p w14:paraId="12CE6BCE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>Figure S5</w:t>
      </w:r>
    </w:p>
    <w:p w14:paraId="140A7D9A" w14:textId="77777777" w:rsidR="00216207" w:rsidRPr="00F27BBE" w:rsidRDefault="00216207" w:rsidP="00216207">
      <w:pPr>
        <w:jc w:val="both"/>
        <w:rPr>
          <w:lang w:val="en-US"/>
        </w:rPr>
      </w:pPr>
      <w:proofErr w:type="gramStart"/>
      <w:r w:rsidRPr="00F27BBE">
        <w:rPr>
          <w:b/>
          <w:lang w:val="en-US"/>
        </w:rPr>
        <w:t>A</w:t>
      </w:r>
      <w:proofErr w:type="gramEnd"/>
      <w:r w:rsidRPr="00F27BBE">
        <w:rPr>
          <w:b/>
          <w:lang w:val="en-US"/>
        </w:rPr>
        <w:t xml:space="preserve"> </w:t>
      </w:r>
      <w:r w:rsidRPr="00F27BBE">
        <w:rPr>
          <w:lang w:val="en-US"/>
        </w:rPr>
        <w:t xml:space="preserve">Overlap between RNA-seq and ATAC-seq </w:t>
      </w:r>
      <w:r>
        <w:rPr>
          <w:lang w:val="en-US"/>
        </w:rPr>
        <w:t>remodeling with age</w:t>
      </w:r>
      <w:r w:rsidRPr="00F27BBE">
        <w:rPr>
          <w:lang w:val="en-US"/>
        </w:rPr>
        <w:t>. As expected, up</w:t>
      </w:r>
      <w:r>
        <w:rPr>
          <w:lang w:val="en-US"/>
        </w:rPr>
        <w:t>regulated genes</w:t>
      </w:r>
      <w:r w:rsidRPr="00F27BBE">
        <w:rPr>
          <w:lang w:val="en-US"/>
        </w:rPr>
        <w:t xml:space="preserve"> </w:t>
      </w:r>
      <w:r>
        <w:rPr>
          <w:lang w:val="en-US"/>
        </w:rPr>
        <w:t>and</w:t>
      </w:r>
      <w:r w:rsidRPr="00F27BBE">
        <w:rPr>
          <w:lang w:val="en-US"/>
        </w:rPr>
        <w:t xml:space="preserve"> opening </w:t>
      </w:r>
      <w:r>
        <w:rPr>
          <w:lang w:val="en-US"/>
        </w:rPr>
        <w:t>peak genes overlapped significantly, similarly downregulated genes and closing peak genes overlapped significantly</w:t>
      </w:r>
      <w:r w:rsidRPr="00F27BBE">
        <w:rPr>
          <w:lang w:val="en-US"/>
        </w:rPr>
        <w:t xml:space="preserve">. </w:t>
      </w:r>
      <w:r>
        <w:rPr>
          <w:lang w:val="en-US"/>
        </w:rPr>
        <w:t xml:space="preserve">Venn diagrams show overlaps for B6 PBL (left), Heatmap summarizes all comparisons (right).  </w:t>
      </w:r>
      <w:r>
        <w:rPr>
          <w:b/>
          <w:lang w:val="en-US"/>
        </w:rPr>
        <w:t>B</w:t>
      </w:r>
      <w:r w:rsidRPr="00F27BBE">
        <w:rPr>
          <w:b/>
          <w:lang w:val="en-US"/>
        </w:rPr>
        <w:t xml:space="preserve"> </w:t>
      </w:r>
      <w:r w:rsidRPr="00F27BBE">
        <w:rPr>
          <w:lang w:val="en-US"/>
        </w:rPr>
        <w:t>Enrichment</w:t>
      </w:r>
      <w:r>
        <w:rPr>
          <w:lang w:val="en-US"/>
        </w:rPr>
        <w:t xml:space="preserve"> of age-related changes using gene </w:t>
      </w:r>
      <w:r>
        <w:rPr>
          <w:lang w:val="en-US"/>
        </w:rPr>
        <w:lastRenderedPageBreak/>
        <w:t xml:space="preserve">sets from human PBMC </w:t>
      </w:r>
      <w:proofErr w:type="spellStart"/>
      <w:r>
        <w:rPr>
          <w:lang w:val="en-US"/>
        </w:rPr>
        <w:t>scRNA</w:t>
      </w:r>
      <w:proofErr w:type="spellEnd"/>
      <w:r>
        <w:rPr>
          <w:lang w:val="en-US"/>
        </w:rPr>
        <w:t>-seq using GSEA</w:t>
      </w:r>
      <w:r w:rsidRPr="00F27BBE">
        <w:rPr>
          <w:lang w:val="en-US"/>
        </w:rPr>
        <w:t xml:space="preserve">. </w:t>
      </w:r>
      <w:r>
        <w:rPr>
          <w:lang w:val="en-US"/>
        </w:rPr>
        <w:t>N</w:t>
      </w:r>
      <w:r w:rsidRPr="00F27BBE">
        <w:rPr>
          <w:lang w:val="en-US"/>
        </w:rPr>
        <w:t>aive T-cell signatures are down-</w:t>
      </w:r>
      <w:proofErr w:type="gramStart"/>
      <w:r w:rsidRPr="00F27BBE">
        <w:rPr>
          <w:lang w:val="en-US"/>
        </w:rPr>
        <w:t>regulated</w:t>
      </w:r>
      <w:proofErr w:type="gramEnd"/>
      <w:r w:rsidRPr="00F27BBE">
        <w:rPr>
          <w:lang w:val="en-US"/>
        </w:rPr>
        <w:t xml:space="preserve"> and monocyte signatures are up-regulated for all transcriptomic comparisons. </w:t>
      </w:r>
      <w:r>
        <w:rPr>
          <w:b/>
          <w:lang w:val="en-US"/>
        </w:rPr>
        <w:t>C</w:t>
      </w:r>
      <w:r w:rsidRPr="00F27BBE">
        <w:rPr>
          <w:b/>
          <w:lang w:val="en-US"/>
        </w:rPr>
        <w:t xml:space="preserve"> </w:t>
      </w:r>
      <w:r w:rsidRPr="00F27BBE">
        <w:rPr>
          <w:lang w:val="en-US"/>
        </w:rPr>
        <w:t xml:space="preserve">Enrichment results for </w:t>
      </w:r>
      <w:r>
        <w:rPr>
          <w:lang w:val="en-US"/>
        </w:rPr>
        <w:t>age-related changes in human</w:t>
      </w:r>
      <w:r w:rsidRPr="00F27BBE">
        <w:rPr>
          <w:lang w:val="en-US"/>
        </w:rPr>
        <w:t xml:space="preserve"> PBMC</w:t>
      </w:r>
      <w:r>
        <w:rPr>
          <w:lang w:val="en-US"/>
        </w:rPr>
        <w:t>s using immune modules</w:t>
      </w:r>
      <w:r w:rsidRPr="00F27BBE">
        <w:rPr>
          <w:lang w:val="en-US"/>
        </w:rPr>
        <w:t xml:space="preserve">. </w:t>
      </w:r>
      <w:r>
        <w:rPr>
          <w:lang w:val="en-US"/>
        </w:rPr>
        <w:t xml:space="preserve">Note the </w:t>
      </w:r>
      <w:r w:rsidRPr="00F27BBE">
        <w:rPr>
          <w:lang w:val="en-US"/>
        </w:rPr>
        <w:t xml:space="preserve">T-cell </w:t>
      </w:r>
      <w:r>
        <w:rPr>
          <w:lang w:val="en-US"/>
        </w:rPr>
        <w:t xml:space="preserve">decline, and inflammation activation </w:t>
      </w:r>
      <w:r w:rsidRPr="00F27BBE">
        <w:rPr>
          <w:lang w:val="en-US"/>
        </w:rPr>
        <w:t>(Inflammation I, II) with age</w:t>
      </w:r>
      <w:r>
        <w:rPr>
          <w:lang w:val="en-US"/>
        </w:rPr>
        <w:t xml:space="preserve"> – particularly for male subjects</w:t>
      </w:r>
      <w:r w:rsidRPr="00F27BBE">
        <w:rPr>
          <w:lang w:val="en-US"/>
        </w:rPr>
        <w:t xml:space="preserve">. </w:t>
      </w:r>
      <w:r>
        <w:rPr>
          <w:b/>
          <w:lang w:val="en-US"/>
        </w:rPr>
        <w:t>D</w:t>
      </w:r>
      <w:r w:rsidRPr="00F27BBE">
        <w:rPr>
          <w:b/>
          <w:lang w:val="en-US"/>
        </w:rPr>
        <w:t xml:space="preserve"> </w:t>
      </w:r>
      <w:r w:rsidRPr="00F27BBE">
        <w:rPr>
          <w:i/>
          <w:lang w:val="en-US"/>
        </w:rPr>
        <w:t xml:space="preserve">Il1b </w:t>
      </w:r>
      <w:r w:rsidRPr="00F27BBE">
        <w:rPr>
          <w:lang w:val="en-US"/>
        </w:rPr>
        <w:t xml:space="preserve">and </w:t>
      </w:r>
      <w:r>
        <w:rPr>
          <w:b/>
          <w:lang w:val="en-US"/>
        </w:rPr>
        <w:t>E</w:t>
      </w:r>
      <w:r w:rsidRPr="00F27BBE">
        <w:rPr>
          <w:b/>
          <w:lang w:val="en-US"/>
        </w:rPr>
        <w:t xml:space="preserve"> </w:t>
      </w:r>
      <w:r w:rsidRPr="00F27BBE">
        <w:rPr>
          <w:i/>
          <w:lang w:val="en-US"/>
        </w:rPr>
        <w:t xml:space="preserve">Fosl2 </w:t>
      </w:r>
      <w:r w:rsidRPr="00F27BBE">
        <w:rPr>
          <w:lang w:val="en-US"/>
        </w:rPr>
        <w:t>chromatin accessibility levels at 3, 12, 18 months. Closest peaks to TSS were selected and levels were log(</w:t>
      </w:r>
      <w:proofErr w:type="spellStart"/>
      <w:r w:rsidRPr="00F27BBE">
        <w:rPr>
          <w:i/>
          <w:lang w:val="en-US"/>
        </w:rPr>
        <w:t>cpm</w:t>
      </w:r>
      <w:proofErr w:type="spellEnd"/>
      <w:r w:rsidRPr="00F27BBE">
        <w:rPr>
          <w:lang w:val="en-US"/>
        </w:rPr>
        <w:t xml:space="preserve">) normalized. </w:t>
      </w:r>
      <w:r>
        <w:rPr>
          <w:lang w:val="en-US"/>
        </w:rPr>
        <w:t xml:space="preserve">Note the chromatin opening across strains and tissues. </w:t>
      </w:r>
    </w:p>
    <w:p w14:paraId="71814686" w14:textId="77777777" w:rsidR="00216207" w:rsidRPr="00F27BBE" w:rsidRDefault="00216207" w:rsidP="00216207">
      <w:pPr>
        <w:jc w:val="both"/>
        <w:rPr>
          <w:lang w:val="en-US"/>
        </w:rPr>
      </w:pPr>
    </w:p>
    <w:p w14:paraId="077B6AC2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>Figure S6</w:t>
      </w:r>
    </w:p>
    <w:p w14:paraId="24BB537E" w14:textId="77777777" w:rsidR="00216207" w:rsidRPr="00F27BBE" w:rsidRDefault="00216207" w:rsidP="00216207">
      <w:pPr>
        <w:jc w:val="both"/>
        <w:rPr>
          <w:lang w:val="en-US"/>
        </w:rPr>
      </w:pPr>
      <w:r w:rsidRPr="00F27BBE">
        <w:rPr>
          <w:b/>
          <w:lang w:val="en-US"/>
        </w:rPr>
        <w:t xml:space="preserve">A </w:t>
      </w:r>
      <w:r w:rsidRPr="007D6E42">
        <w:rPr>
          <w:i/>
          <w:iCs/>
          <w:lang w:val="en-US"/>
        </w:rPr>
        <w:t>IL1B</w:t>
      </w:r>
      <w:r w:rsidRPr="00F27BBE">
        <w:rPr>
          <w:lang w:val="en-US"/>
        </w:rPr>
        <w:t xml:space="preserve"> and </w:t>
      </w:r>
      <w:r w:rsidRPr="00F27BBE">
        <w:rPr>
          <w:b/>
          <w:lang w:val="en-US"/>
        </w:rPr>
        <w:t xml:space="preserve">B </w:t>
      </w:r>
      <w:r w:rsidRPr="007D6E42">
        <w:rPr>
          <w:i/>
          <w:iCs/>
          <w:lang w:val="en-US"/>
        </w:rPr>
        <w:t>FOSL2</w:t>
      </w:r>
      <w:r w:rsidRPr="00F27BBE">
        <w:rPr>
          <w:lang w:val="en-US"/>
        </w:rPr>
        <w:t xml:space="preserve"> expression levels</w:t>
      </w:r>
      <w:r>
        <w:rPr>
          <w:lang w:val="en-US"/>
        </w:rPr>
        <w:t>,</w:t>
      </w:r>
      <w:r w:rsidRPr="00F27BBE">
        <w:rPr>
          <w:lang w:val="en-US"/>
        </w:rPr>
        <w:t xml:space="preserve"> </w:t>
      </w:r>
      <w:r w:rsidRPr="00F27BBE">
        <w:rPr>
          <w:b/>
          <w:lang w:val="en-US"/>
        </w:rPr>
        <w:t xml:space="preserve">C </w:t>
      </w:r>
      <w:r w:rsidRPr="00ED5706">
        <w:rPr>
          <w:i/>
          <w:iCs/>
          <w:lang w:val="en-US"/>
        </w:rPr>
        <w:t>IL1B</w:t>
      </w:r>
      <w:r w:rsidRPr="00F27BBE">
        <w:rPr>
          <w:lang w:val="en-US"/>
        </w:rPr>
        <w:t xml:space="preserve"> and </w:t>
      </w:r>
      <w:r w:rsidRPr="00F27BBE">
        <w:rPr>
          <w:b/>
          <w:lang w:val="en-US"/>
        </w:rPr>
        <w:t xml:space="preserve">D </w:t>
      </w:r>
      <w:r w:rsidRPr="00ED5706">
        <w:rPr>
          <w:i/>
          <w:iCs/>
          <w:lang w:val="en-US"/>
        </w:rPr>
        <w:t>FOSL2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chromatin </w:t>
      </w:r>
      <w:r w:rsidRPr="00F27BBE">
        <w:rPr>
          <w:lang w:val="en-US"/>
        </w:rPr>
        <w:t>accessibility levels</w:t>
      </w:r>
      <w:r>
        <w:rPr>
          <w:lang w:val="en-US"/>
        </w:rPr>
        <w:t xml:space="preserve"> </w:t>
      </w:r>
      <w:r w:rsidRPr="00F27BBE">
        <w:rPr>
          <w:lang w:val="en-US"/>
        </w:rPr>
        <w:t>in human</w:t>
      </w:r>
      <w:r>
        <w:rPr>
          <w:lang w:val="en-US"/>
        </w:rPr>
        <w:t xml:space="preserve"> </w:t>
      </w:r>
      <w:r w:rsidRPr="00F27BBE">
        <w:rPr>
          <w:lang w:val="en-US"/>
        </w:rPr>
        <w:t>PBMCs</w:t>
      </w:r>
      <w:r>
        <w:rPr>
          <w:lang w:val="en-US"/>
        </w:rPr>
        <w:t xml:space="preserve"> as a function of age (in years)</w:t>
      </w:r>
      <w:r w:rsidRPr="00F27BBE">
        <w:rPr>
          <w:lang w:val="en-US"/>
        </w:rPr>
        <w:t xml:space="preserve">. </w:t>
      </w:r>
      <w:r>
        <w:rPr>
          <w:lang w:val="en-US"/>
        </w:rPr>
        <w:t xml:space="preserve">Note that </w:t>
      </w:r>
      <w:r w:rsidRPr="002272F6">
        <w:rPr>
          <w:i/>
          <w:iCs/>
          <w:lang w:val="en-US"/>
        </w:rPr>
        <w:t>FOSL2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activation with age is conserved in human PBMCs as well. </w:t>
      </w:r>
      <w:r w:rsidRPr="00F27BBE">
        <w:rPr>
          <w:lang w:val="en-US"/>
        </w:rPr>
        <w:t xml:space="preserve"> </w:t>
      </w:r>
      <w:r w:rsidRPr="00F27BBE">
        <w:rPr>
          <w:b/>
          <w:lang w:val="en-US"/>
        </w:rPr>
        <w:t xml:space="preserve">E </w:t>
      </w:r>
      <w:r w:rsidRPr="00F27BBE">
        <w:rPr>
          <w:lang w:val="en-US"/>
        </w:rPr>
        <w:t>Number of ATAC-seq peaks in different tissue</w:t>
      </w:r>
      <w:r>
        <w:rPr>
          <w:lang w:val="en-US"/>
        </w:rPr>
        <w:t>s</w:t>
      </w:r>
      <w:r w:rsidRPr="00F27BBE">
        <w:rPr>
          <w:lang w:val="en-US"/>
        </w:rPr>
        <w:t xml:space="preserve"> and strain</w:t>
      </w:r>
      <w:r>
        <w:rPr>
          <w:lang w:val="en-US"/>
        </w:rPr>
        <w:t xml:space="preserve">s. </w:t>
      </w:r>
      <w:r w:rsidRPr="00F27BBE">
        <w:rPr>
          <w:lang w:val="en-US"/>
        </w:rPr>
        <w:t xml:space="preserve">Red represents </w:t>
      </w:r>
      <w:r>
        <w:rPr>
          <w:lang w:val="en-US"/>
        </w:rPr>
        <w:t>number of opening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peaks </w:t>
      </w:r>
      <w:r w:rsidRPr="00F27BBE">
        <w:rPr>
          <w:lang w:val="en-US"/>
        </w:rPr>
        <w:t>with age</w:t>
      </w:r>
      <w:r>
        <w:rPr>
          <w:lang w:val="en-US"/>
        </w:rPr>
        <w:t xml:space="preserve"> and</w:t>
      </w:r>
      <w:r w:rsidRPr="00F27BBE">
        <w:rPr>
          <w:lang w:val="en-US"/>
        </w:rPr>
        <w:t xml:space="preserve"> blue </w:t>
      </w:r>
      <w:r>
        <w:rPr>
          <w:lang w:val="en-US"/>
        </w:rPr>
        <w:t>represents number of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closing peaks (at </w:t>
      </w:r>
      <w:r w:rsidRPr="00F27BBE">
        <w:rPr>
          <w:lang w:val="en-US"/>
        </w:rPr>
        <w:t>FDR = 0.05 and |</w:t>
      </w:r>
      <w:proofErr w:type="spellStart"/>
      <w:r w:rsidRPr="00F27BBE">
        <w:rPr>
          <w:lang w:val="en-US"/>
        </w:rPr>
        <w:t>logFC</w:t>
      </w:r>
      <w:proofErr w:type="spellEnd"/>
      <w:r w:rsidRPr="00F27BBE">
        <w:rPr>
          <w:lang w:val="en-US"/>
        </w:rPr>
        <w:t>| &gt; 1</w:t>
      </w:r>
      <w:r>
        <w:rPr>
          <w:lang w:val="en-US"/>
        </w:rPr>
        <w:t xml:space="preserve">) </w:t>
      </w:r>
      <w:r w:rsidRPr="00F27BBE">
        <w:rPr>
          <w:lang w:val="en-US"/>
        </w:rPr>
        <w:t xml:space="preserve">and gray </w:t>
      </w:r>
      <w:r>
        <w:rPr>
          <w:lang w:val="en-US"/>
        </w:rPr>
        <w:t>represents</w:t>
      </w:r>
      <w:r w:rsidRPr="00F27BBE">
        <w:rPr>
          <w:lang w:val="en-US"/>
        </w:rPr>
        <w:t xml:space="preserve"> non-differential</w:t>
      </w:r>
      <w:r>
        <w:rPr>
          <w:lang w:val="en-US"/>
        </w:rPr>
        <w:t xml:space="preserve"> peak numbers.</w:t>
      </w:r>
      <w:r w:rsidRPr="00F27BBE">
        <w:rPr>
          <w:lang w:val="en-US"/>
        </w:rPr>
        <w:t xml:space="preserve"> </w:t>
      </w:r>
    </w:p>
    <w:p w14:paraId="578DBD48" w14:textId="417ED966" w:rsidR="00216207" w:rsidRDefault="00216207"/>
    <w:p w14:paraId="50F1017D" w14:textId="77777777" w:rsidR="00216207" w:rsidRPr="00F27BBE" w:rsidRDefault="00216207" w:rsidP="00216207">
      <w:pPr>
        <w:rPr>
          <w:b/>
          <w:lang w:val="en-US"/>
        </w:rPr>
      </w:pPr>
      <w:r w:rsidRPr="00F27BBE">
        <w:rPr>
          <w:b/>
          <w:lang w:val="en-US"/>
        </w:rPr>
        <w:t>Figure S7</w:t>
      </w:r>
    </w:p>
    <w:p w14:paraId="48D2E6DC" w14:textId="77777777" w:rsidR="00216207" w:rsidRPr="00F27BBE" w:rsidRDefault="00216207" w:rsidP="00216207">
      <w:pPr>
        <w:jc w:val="both"/>
        <w:rPr>
          <w:lang w:val="en-US"/>
        </w:rPr>
      </w:pPr>
      <w:proofErr w:type="gramStart"/>
      <w:r w:rsidRPr="00F27BBE">
        <w:rPr>
          <w:b/>
          <w:lang w:val="en-US"/>
        </w:rPr>
        <w:t xml:space="preserve">A </w:t>
      </w:r>
      <w:r w:rsidRPr="00F27BBE">
        <w:rPr>
          <w:lang w:val="en-US"/>
        </w:rPr>
        <w:t>Number of</w:t>
      </w:r>
      <w:proofErr w:type="gramEnd"/>
      <w:r w:rsidRPr="00F27BBE">
        <w:rPr>
          <w:lang w:val="en-US"/>
        </w:rPr>
        <w:t xml:space="preserve"> ATAC-seq peaks in naive and memory CD8</w:t>
      </w:r>
      <w:r w:rsidRPr="007C01A9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 cells</w:t>
      </w:r>
      <w:r>
        <w:rPr>
          <w:lang w:val="en-US"/>
        </w:rPr>
        <w:t xml:space="preserve">. </w:t>
      </w:r>
      <w:r w:rsidRPr="00F27BBE">
        <w:rPr>
          <w:lang w:val="en-US"/>
        </w:rPr>
        <w:t xml:space="preserve">Red represents </w:t>
      </w:r>
      <w:r>
        <w:rPr>
          <w:lang w:val="en-US"/>
        </w:rPr>
        <w:t>number of opening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peaks </w:t>
      </w:r>
      <w:r w:rsidRPr="00F27BBE">
        <w:rPr>
          <w:lang w:val="en-US"/>
        </w:rPr>
        <w:t>with age</w:t>
      </w:r>
      <w:r>
        <w:rPr>
          <w:lang w:val="en-US"/>
        </w:rPr>
        <w:t xml:space="preserve"> and</w:t>
      </w:r>
      <w:r w:rsidRPr="00F27BBE">
        <w:rPr>
          <w:lang w:val="en-US"/>
        </w:rPr>
        <w:t xml:space="preserve"> blue </w:t>
      </w:r>
      <w:r>
        <w:rPr>
          <w:lang w:val="en-US"/>
        </w:rPr>
        <w:t>represents number of</w:t>
      </w:r>
      <w:r w:rsidRPr="00F27BBE">
        <w:rPr>
          <w:lang w:val="en-US"/>
        </w:rPr>
        <w:t xml:space="preserve"> </w:t>
      </w:r>
      <w:r>
        <w:rPr>
          <w:lang w:val="en-US"/>
        </w:rPr>
        <w:t xml:space="preserve">closing peaks (at </w:t>
      </w:r>
      <w:r w:rsidRPr="00F27BBE">
        <w:rPr>
          <w:lang w:val="en-US"/>
        </w:rPr>
        <w:t>FDR = 0.05 and |</w:t>
      </w:r>
      <w:proofErr w:type="spellStart"/>
      <w:r w:rsidRPr="00F27BBE">
        <w:rPr>
          <w:lang w:val="en-US"/>
        </w:rPr>
        <w:t>logFC</w:t>
      </w:r>
      <w:proofErr w:type="spellEnd"/>
      <w:r w:rsidRPr="00F27BBE">
        <w:rPr>
          <w:lang w:val="en-US"/>
        </w:rPr>
        <w:t>| &gt; 1</w:t>
      </w:r>
      <w:r>
        <w:rPr>
          <w:lang w:val="en-US"/>
        </w:rPr>
        <w:t xml:space="preserve">) </w:t>
      </w:r>
      <w:r w:rsidRPr="00F27BBE">
        <w:rPr>
          <w:lang w:val="en-US"/>
        </w:rPr>
        <w:t xml:space="preserve">and gray </w:t>
      </w:r>
      <w:r>
        <w:rPr>
          <w:lang w:val="en-US"/>
        </w:rPr>
        <w:t>represents</w:t>
      </w:r>
      <w:r w:rsidRPr="00F27BBE">
        <w:rPr>
          <w:lang w:val="en-US"/>
        </w:rPr>
        <w:t xml:space="preserve"> non-differential</w:t>
      </w:r>
      <w:r>
        <w:rPr>
          <w:lang w:val="en-US"/>
        </w:rPr>
        <w:t xml:space="preserve"> peak numbers.</w:t>
      </w:r>
      <w:r w:rsidRPr="00F27BBE">
        <w:rPr>
          <w:lang w:val="en-US"/>
        </w:rPr>
        <w:t xml:space="preserve"> </w:t>
      </w:r>
      <w:r w:rsidRPr="00F27BBE">
        <w:rPr>
          <w:b/>
          <w:lang w:val="en-US"/>
        </w:rPr>
        <w:t xml:space="preserve">B </w:t>
      </w:r>
      <w:r w:rsidRPr="00F27BBE">
        <w:rPr>
          <w:lang w:val="en-US"/>
        </w:rPr>
        <w:t xml:space="preserve">Overlap between RNA-seq and ATAC-seq </w:t>
      </w:r>
      <w:r>
        <w:rPr>
          <w:lang w:val="en-US"/>
        </w:rPr>
        <w:t>remodeling with age</w:t>
      </w:r>
      <w:r w:rsidRPr="00F27BBE">
        <w:rPr>
          <w:lang w:val="en-US"/>
        </w:rPr>
        <w:t>. As expected, up</w:t>
      </w:r>
      <w:r>
        <w:rPr>
          <w:lang w:val="en-US"/>
        </w:rPr>
        <w:t>regulated genes</w:t>
      </w:r>
      <w:r w:rsidRPr="00F27BBE">
        <w:rPr>
          <w:lang w:val="en-US"/>
        </w:rPr>
        <w:t xml:space="preserve"> </w:t>
      </w:r>
      <w:r>
        <w:rPr>
          <w:lang w:val="en-US"/>
        </w:rPr>
        <w:t>and</w:t>
      </w:r>
      <w:r w:rsidRPr="00F27BBE">
        <w:rPr>
          <w:lang w:val="en-US"/>
        </w:rPr>
        <w:t xml:space="preserve"> opening </w:t>
      </w:r>
      <w:r>
        <w:rPr>
          <w:lang w:val="en-US"/>
        </w:rPr>
        <w:t>peak genes overlapped significantly, similarly downregulated genes and closing peak genes overlapped significantly</w:t>
      </w:r>
      <w:r w:rsidRPr="00F27BBE">
        <w:rPr>
          <w:lang w:val="en-US"/>
        </w:rPr>
        <w:t xml:space="preserve">. </w:t>
      </w:r>
      <w:r w:rsidRPr="00F27BBE">
        <w:rPr>
          <w:b/>
          <w:lang w:val="en-US"/>
        </w:rPr>
        <w:t xml:space="preserve">C </w:t>
      </w:r>
      <w:r w:rsidRPr="00F27BBE">
        <w:rPr>
          <w:i/>
          <w:lang w:val="en-US"/>
        </w:rPr>
        <w:t>Fosl2</w:t>
      </w:r>
      <w:r w:rsidRPr="00F27BBE">
        <w:rPr>
          <w:lang w:val="en-US"/>
        </w:rPr>
        <w:t xml:space="preserve"> accessibility </w:t>
      </w:r>
      <w:r w:rsidRPr="0040109C">
        <w:rPr>
          <w:b/>
          <w:bCs/>
          <w:lang w:val="en-US"/>
        </w:rPr>
        <w:t>D</w:t>
      </w:r>
      <w:r>
        <w:rPr>
          <w:lang w:val="en-US"/>
        </w:rPr>
        <w:t xml:space="preserve"> </w:t>
      </w:r>
      <w:r w:rsidRPr="00F27BBE">
        <w:rPr>
          <w:i/>
          <w:lang w:val="en-US"/>
        </w:rPr>
        <w:t>Fosl2</w:t>
      </w:r>
      <w:r w:rsidRPr="00F27BBE">
        <w:rPr>
          <w:lang w:val="en-US"/>
        </w:rPr>
        <w:t xml:space="preserve"> </w:t>
      </w:r>
      <w:r>
        <w:rPr>
          <w:lang w:val="en-US"/>
        </w:rPr>
        <w:t>expression</w:t>
      </w:r>
      <w:r w:rsidRPr="00F27BBE">
        <w:rPr>
          <w:lang w:val="en-US"/>
        </w:rPr>
        <w:t xml:space="preserve"> levels </w:t>
      </w:r>
      <w:r>
        <w:rPr>
          <w:lang w:val="en-US"/>
        </w:rPr>
        <w:t>in</w:t>
      </w:r>
      <w:r w:rsidRPr="00F27BBE">
        <w:rPr>
          <w:lang w:val="en-US"/>
        </w:rPr>
        <w:t xml:space="preserve"> CD8</w:t>
      </w:r>
      <w:r w:rsidRPr="0040109C">
        <w:rPr>
          <w:vertAlign w:val="superscript"/>
          <w:lang w:val="en-US"/>
        </w:rPr>
        <w:t>+</w:t>
      </w:r>
      <w:r w:rsidRPr="00F27BBE">
        <w:rPr>
          <w:lang w:val="en-US"/>
        </w:rPr>
        <w:t xml:space="preserve"> T subsets at different age</w:t>
      </w:r>
      <w:r>
        <w:rPr>
          <w:lang w:val="en-US"/>
        </w:rPr>
        <w:t>s</w:t>
      </w:r>
      <w:r w:rsidRPr="00F27BBE">
        <w:rPr>
          <w:lang w:val="en-US"/>
        </w:rPr>
        <w:t xml:space="preserve"> (3 and 18 months old).</w:t>
      </w:r>
      <w:r>
        <w:rPr>
          <w:lang w:val="en-US"/>
        </w:rPr>
        <w:t xml:space="preserve"> Note the consistent and significant increase with age.</w:t>
      </w:r>
      <w:r w:rsidRPr="00F27BBE">
        <w:rPr>
          <w:lang w:val="en-US"/>
        </w:rPr>
        <w:t xml:space="preserve"> </w:t>
      </w:r>
      <w:r>
        <w:rPr>
          <w:b/>
          <w:lang w:val="en-US"/>
        </w:rPr>
        <w:t>E</w:t>
      </w:r>
      <w:r w:rsidRPr="00F27BBE">
        <w:rPr>
          <w:b/>
          <w:lang w:val="en-US"/>
        </w:rPr>
        <w:t xml:space="preserve"> </w:t>
      </w:r>
      <w:r>
        <w:rPr>
          <w:lang w:val="en-US"/>
        </w:rPr>
        <w:t>Functional enrichment</w:t>
      </w:r>
      <w:r w:rsidRPr="00F27BBE">
        <w:rPr>
          <w:lang w:val="en-US"/>
        </w:rPr>
        <w:t xml:space="preserve"> of </w:t>
      </w:r>
      <w:r>
        <w:rPr>
          <w:lang w:val="en-US"/>
        </w:rPr>
        <w:t>age-related chromatin accessibility changes in human CD8</w:t>
      </w:r>
      <w:r w:rsidRPr="002A64AC">
        <w:rPr>
          <w:vertAlign w:val="superscript"/>
          <w:lang w:val="en-US"/>
        </w:rPr>
        <w:t>+</w:t>
      </w:r>
      <w:r>
        <w:rPr>
          <w:lang w:val="en-US"/>
        </w:rPr>
        <w:t xml:space="preserve"> T cell subsets</w:t>
      </w:r>
      <w:r w:rsidRPr="00F27BBE">
        <w:rPr>
          <w:lang w:val="en-US"/>
        </w:rPr>
        <w:t xml:space="preserve"> using </w:t>
      </w:r>
      <w:proofErr w:type="spellStart"/>
      <w:r w:rsidRPr="00F27BBE">
        <w:rPr>
          <w:lang w:val="en-US"/>
        </w:rPr>
        <w:t>Wikipathways</w:t>
      </w:r>
      <w:proofErr w:type="spellEnd"/>
      <w:r w:rsidRPr="00F27BBE">
        <w:rPr>
          <w:lang w:val="en-US"/>
        </w:rPr>
        <w:t xml:space="preserve">, p values were calculated using hypergeometric p-value tests and were corrected using </w:t>
      </w:r>
      <w:proofErr w:type="spellStart"/>
      <w:r w:rsidRPr="00F27BBE">
        <w:rPr>
          <w:lang w:val="en-US"/>
        </w:rPr>
        <w:t>Benjamini</w:t>
      </w:r>
      <w:proofErr w:type="spellEnd"/>
      <w:r w:rsidRPr="00F27BBE">
        <w:rPr>
          <w:lang w:val="en-US"/>
        </w:rPr>
        <w:t xml:space="preserve">-Hochberg procedure. Only the pathways </w:t>
      </w:r>
      <w:r>
        <w:rPr>
          <w:lang w:val="en-US"/>
        </w:rPr>
        <w:t>with significant enrichment (F</w:t>
      </w:r>
      <w:r w:rsidRPr="00F27BBE">
        <w:rPr>
          <w:lang w:val="en-US"/>
        </w:rPr>
        <w:t>DR &lt; 0.25</w:t>
      </w:r>
      <w:r>
        <w:rPr>
          <w:lang w:val="en-US"/>
        </w:rPr>
        <w:t>)</w:t>
      </w:r>
      <w:r w:rsidRPr="00F27BBE">
        <w:rPr>
          <w:lang w:val="en-US"/>
        </w:rPr>
        <w:t xml:space="preserve"> </w:t>
      </w:r>
      <w:r>
        <w:rPr>
          <w:lang w:val="en-US"/>
        </w:rPr>
        <w:t>are</w:t>
      </w:r>
      <w:r w:rsidRPr="00F27BBE">
        <w:rPr>
          <w:lang w:val="en-US"/>
        </w:rPr>
        <w:t xml:space="preserve"> </w:t>
      </w:r>
      <w:r>
        <w:rPr>
          <w:lang w:val="en-US"/>
        </w:rPr>
        <w:t>represented</w:t>
      </w:r>
      <w:r w:rsidRPr="00F27BBE">
        <w:rPr>
          <w:lang w:val="en-US"/>
        </w:rPr>
        <w:t>.</w:t>
      </w:r>
      <w:r>
        <w:rPr>
          <w:lang w:val="en-US"/>
        </w:rPr>
        <w:t xml:space="preserve"> </w:t>
      </w:r>
    </w:p>
    <w:p w14:paraId="3A66E29D" w14:textId="5DEF6694" w:rsidR="00216207" w:rsidRDefault="00216207"/>
    <w:p w14:paraId="1D55807A" w14:textId="77777777" w:rsidR="00216207" w:rsidRPr="00F27BBE" w:rsidRDefault="00216207" w:rsidP="00216207">
      <w:pPr>
        <w:jc w:val="both"/>
        <w:rPr>
          <w:b/>
          <w:lang w:val="en-US"/>
        </w:rPr>
      </w:pPr>
      <w:r w:rsidRPr="00F27BBE">
        <w:rPr>
          <w:b/>
          <w:lang w:val="en-US"/>
        </w:rPr>
        <w:t xml:space="preserve">Figure S8 </w:t>
      </w:r>
    </w:p>
    <w:p w14:paraId="742E992A" w14:textId="77777777" w:rsidR="00216207" w:rsidRPr="00497C26" w:rsidRDefault="00216207" w:rsidP="00216207">
      <w:pPr>
        <w:jc w:val="both"/>
        <w:rPr>
          <w:lang w:val="en-US"/>
        </w:rPr>
      </w:pPr>
      <w:proofErr w:type="gramStart"/>
      <w:r w:rsidRPr="00F27BBE">
        <w:rPr>
          <w:b/>
          <w:lang w:val="en-US"/>
        </w:rPr>
        <w:t>A</w:t>
      </w:r>
      <w:proofErr w:type="gramEnd"/>
      <w:r w:rsidRPr="00F27BBE">
        <w:rPr>
          <w:b/>
          <w:lang w:val="en-US"/>
        </w:rPr>
        <w:t xml:space="preserve"> </w:t>
      </w:r>
      <w:r>
        <w:rPr>
          <w:lang w:val="en-US"/>
        </w:rPr>
        <w:t>Age-related gene expression changes</w:t>
      </w:r>
      <w:r w:rsidRPr="00F27BBE">
        <w:rPr>
          <w:lang w:val="en-US"/>
        </w:rPr>
        <w:t xml:space="preserve"> (</w:t>
      </w:r>
      <w:r>
        <w:rPr>
          <w:lang w:val="en-US"/>
        </w:rPr>
        <w:t>positive fold change represent increase with age</w:t>
      </w:r>
      <w:r w:rsidRPr="00F27BBE">
        <w:rPr>
          <w:lang w:val="en-US"/>
        </w:rPr>
        <w:t xml:space="preserve">) </w:t>
      </w:r>
      <w:r>
        <w:rPr>
          <w:lang w:val="en-US"/>
        </w:rPr>
        <w:t>for the shared TFs in human and mice samples</w:t>
      </w:r>
      <w:r w:rsidRPr="00F27BBE">
        <w:rPr>
          <w:lang w:val="en-US"/>
        </w:rPr>
        <w:t xml:space="preserve">. </w:t>
      </w:r>
      <w:r w:rsidRPr="002E187D">
        <w:rPr>
          <w:i/>
          <w:iCs/>
          <w:lang w:val="en-US"/>
        </w:rPr>
        <w:t>FOS</w:t>
      </w:r>
      <w:r w:rsidRPr="00F27BBE">
        <w:rPr>
          <w:lang w:val="en-US"/>
        </w:rPr>
        <w:t xml:space="preserve"> and </w:t>
      </w:r>
      <w:r w:rsidRPr="002E187D">
        <w:rPr>
          <w:i/>
          <w:iCs/>
          <w:lang w:val="en-US"/>
        </w:rPr>
        <w:t>JUNB</w:t>
      </w:r>
      <w:r w:rsidRPr="00F27BBE">
        <w:rPr>
          <w:lang w:val="en-US"/>
        </w:rPr>
        <w:t xml:space="preserve"> are </w:t>
      </w:r>
      <w:r>
        <w:rPr>
          <w:lang w:val="en-US"/>
        </w:rPr>
        <w:t xml:space="preserve">the most upregulated with age. </w:t>
      </w:r>
      <w:r w:rsidRPr="00F27BBE">
        <w:rPr>
          <w:b/>
          <w:lang w:val="en-US"/>
        </w:rPr>
        <w:t>B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Expression of </w:t>
      </w:r>
      <w:r w:rsidRPr="00F27BBE">
        <w:rPr>
          <w:lang w:val="en-US"/>
        </w:rPr>
        <w:t xml:space="preserve">AP-1 complex genes for all mice samples. Expression levels were normalized using </w:t>
      </w:r>
      <w:proofErr w:type="spellStart"/>
      <w:r w:rsidRPr="00F27BBE">
        <w:rPr>
          <w:lang w:val="en-US"/>
        </w:rPr>
        <w:t>cpm</w:t>
      </w:r>
      <w:proofErr w:type="spellEnd"/>
      <w:r w:rsidRPr="00F27BBE">
        <w:rPr>
          <w:lang w:val="en-US"/>
        </w:rPr>
        <w:t xml:space="preserve"> function and then, z </w:t>
      </w:r>
      <w:r>
        <w:rPr>
          <w:lang w:val="en-US"/>
        </w:rPr>
        <w:t xml:space="preserve">score </w:t>
      </w:r>
      <w:r w:rsidRPr="00F27BBE">
        <w:rPr>
          <w:lang w:val="en-US"/>
        </w:rPr>
        <w:t>transformed.</w:t>
      </w:r>
      <w:r>
        <w:rPr>
          <w:lang w:val="en-US"/>
        </w:rPr>
        <w:t xml:space="preserve"> Motif enrichment results for opening peaks in mice(</w:t>
      </w:r>
      <w:r w:rsidRPr="006E0BE7">
        <w:rPr>
          <w:b/>
          <w:bCs/>
          <w:lang w:val="en-US"/>
        </w:rPr>
        <w:t>C</w:t>
      </w:r>
      <w:r>
        <w:rPr>
          <w:lang w:val="en-US"/>
        </w:rPr>
        <w:t>) and human (</w:t>
      </w:r>
      <w:r w:rsidRPr="006E0BE7">
        <w:rPr>
          <w:b/>
          <w:bCs/>
          <w:lang w:val="en-US"/>
        </w:rPr>
        <w:t>D</w:t>
      </w:r>
      <w:r>
        <w:rPr>
          <w:lang w:val="en-US"/>
        </w:rPr>
        <w:t xml:space="preserve">). Shared TF motifs are </w:t>
      </w:r>
      <w:r w:rsidRPr="00497C26">
        <w:rPr>
          <w:lang w:val="en-US"/>
        </w:rPr>
        <w:t xml:space="preserve">enriched among opening peaks. </w:t>
      </w:r>
    </w:p>
    <w:p w14:paraId="443F21BE" w14:textId="3AB6E016" w:rsidR="00216207" w:rsidRDefault="00216207"/>
    <w:p w14:paraId="63257498" w14:textId="77777777" w:rsidR="00216207" w:rsidRPr="00AA5566" w:rsidRDefault="00216207" w:rsidP="00216207">
      <w:pPr>
        <w:jc w:val="both"/>
        <w:rPr>
          <w:b/>
          <w:bCs/>
          <w:lang w:val="en-US"/>
        </w:rPr>
      </w:pPr>
      <w:r w:rsidRPr="00AA5566">
        <w:rPr>
          <w:b/>
          <w:bCs/>
          <w:lang w:val="en-US"/>
        </w:rPr>
        <w:t>Figure S9</w:t>
      </w:r>
    </w:p>
    <w:p w14:paraId="2EF6CA74" w14:textId="77777777" w:rsidR="00216207" w:rsidRPr="00AA5566" w:rsidRDefault="00216207" w:rsidP="00216207">
      <w:pPr>
        <w:jc w:val="both"/>
        <w:rPr>
          <w:lang w:val="en-US"/>
        </w:rPr>
      </w:pPr>
      <w:proofErr w:type="gramStart"/>
      <w:r w:rsidRPr="00AA5566">
        <w:rPr>
          <w:b/>
          <w:bCs/>
          <w:lang w:val="en-US"/>
        </w:rPr>
        <w:t xml:space="preserve">A </w:t>
      </w:r>
      <w:r w:rsidRPr="00AA5566">
        <w:rPr>
          <w:lang w:val="en-US"/>
        </w:rPr>
        <w:t>Number of</w:t>
      </w:r>
      <w:proofErr w:type="gramEnd"/>
      <w:r w:rsidRPr="00AA5566">
        <w:rPr>
          <w:lang w:val="en-US"/>
        </w:rPr>
        <w:t xml:space="preserve"> cells per cell type in the Tabula </w:t>
      </w:r>
      <w:proofErr w:type="spellStart"/>
      <w:r w:rsidRPr="00AA5566">
        <w:rPr>
          <w:lang w:val="en-US"/>
        </w:rPr>
        <w:t>Muris</w:t>
      </w:r>
      <w:proofErr w:type="spellEnd"/>
      <w:r w:rsidRPr="00AA5566">
        <w:rPr>
          <w:lang w:val="en-US"/>
        </w:rPr>
        <w:t xml:space="preserve"> </w:t>
      </w:r>
      <w:proofErr w:type="spellStart"/>
      <w:r w:rsidRPr="00AA5566">
        <w:rPr>
          <w:lang w:val="en-US"/>
        </w:rPr>
        <w:t>Senis</w:t>
      </w:r>
      <w:proofErr w:type="spellEnd"/>
      <w:r w:rsidRPr="00AA5566">
        <w:rPr>
          <w:lang w:val="en-US"/>
        </w:rPr>
        <w:t xml:space="preserve"> spleen data. Cell types that had less than 100 cells were removed from downstream analyses, resulting in 4 major cell types indicated with red colored bars. </w:t>
      </w:r>
      <w:r w:rsidRPr="00AA5566">
        <w:rPr>
          <w:b/>
          <w:bCs/>
          <w:lang w:val="en-US"/>
        </w:rPr>
        <w:t xml:space="preserve">B </w:t>
      </w:r>
      <w:r w:rsidRPr="00AA5566">
        <w:rPr>
          <w:lang w:val="en-US"/>
        </w:rPr>
        <w:t xml:space="preserve">Cell type compositions of the four B6 samples. </w:t>
      </w:r>
      <w:r w:rsidRPr="008A193D">
        <w:rPr>
          <w:b/>
          <w:lang w:val="en-US"/>
        </w:rPr>
        <w:t>C</w:t>
      </w:r>
      <w:r>
        <w:rPr>
          <w:lang w:val="en-US"/>
        </w:rPr>
        <w:t xml:space="preserve"> Expression of </w:t>
      </w:r>
      <w:r w:rsidRPr="008A193D">
        <w:rPr>
          <w:i/>
          <w:lang w:val="en-US"/>
        </w:rPr>
        <w:t>Jun</w:t>
      </w:r>
      <w:r>
        <w:rPr>
          <w:lang w:val="en-US"/>
        </w:rPr>
        <w:t xml:space="preserve"> and </w:t>
      </w:r>
      <w:proofErr w:type="spellStart"/>
      <w:r w:rsidRPr="008A193D">
        <w:rPr>
          <w:i/>
          <w:lang w:val="en-US"/>
        </w:rPr>
        <w:t>Fos</w:t>
      </w:r>
      <w:proofErr w:type="spellEnd"/>
      <w:r>
        <w:rPr>
          <w:lang w:val="en-US"/>
        </w:rPr>
        <w:t xml:space="preserve"> in single cell subsets. T-test is used to compared expression levels between old and young mice. Black portions of the pie charts represent the percent of cells that are expressing this molecule, gray – not expressing. </w:t>
      </w:r>
      <w:r>
        <w:rPr>
          <w:b/>
          <w:bCs/>
          <w:lang w:val="en-US"/>
        </w:rPr>
        <w:t>D</w:t>
      </w:r>
      <w:r w:rsidRPr="00AA5566">
        <w:rPr>
          <w:b/>
          <w:bCs/>
          <w:lang w:val="en-US"/>
        </w:rPr>
        <w:t xml:space="preserve"> </w:t>
      </w:r>
      <w:r w:rsidRPr="00AA5566">
        <w:rPr>
          <w:i/>
          <w:iCs/>
          <w:lang w:val="en-US"/>
        </w:rPr>
        <w:t>Tlr2-4</w:t>
      </w:r>
      <w:r w:rsidRPr="00AA5566">
        <w:rPr>
          <w:lang w:val="en-US"/>
        </w:rPr>
        <w:t xml:space="preserve"> expression levels projected onto UMAP plot. Note that the expression of TLRs with age are comparable across age groups. </w:t>
      </w:r>
    </w:p>
    <w:p w14:paraId="14BF8157" w14:textId="77777777" w:rsidR="00216207" w:rsidRDefault="00216207"/>
    <w:sectPr w:rsidR="00216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07"/>
    <w:rsid w:val="00216207"/>
    <w:rsid w:val="009C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837F5"/>
  <w15:chartTrackingRefBased/>
  <w15:docId w15:val="{8FF2843A-9C4A-4ADF-A6EF-AB0D04D60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207"/>
    <w:pPr>
      <w:spacing w:after="0" w:line="276" w:lineRule="auto"/>
    </w:pPr>
    <w:rPr>
      <w:rFonts w:ascii="Arial" w:eastAsia="Arial" w:hAnsi="Arial" w:cs="Arial"/>
      <w:lang w:val="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852</Words>
  <Characters>4859</Characters>
  <Application>Microsoft Office Word</Application>
  <DocSecurity>0</DocSecurity>
  <Lines>40</Lines>
  <Paragraphs>11</Paragraphs>
  <ScaleCrop>false</ScaleCrop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2021-11-17T19:43:00Z</dcterms:created>
  <dcterms:modified xsi:type="dcterms:W3CDTF">2021-11-17T19:45:00Z</dcterms:modified>
</cp:coreProperties>
</file>