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80"/>
        <w:jc w:val="left"/>
      </w:pPr>
      <w:r>
        <w:rPr>
          <w:rFonts w:ascii="Times New Roman" w:hAnsi="Times New Roman"/>
          <w:b/>
          <w:sz w:val="21"/>
        </w:rPr>
        <w:t>Supplementary Table S1. Trajectory availability by index and database</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2400"/>
        <w:gridCol w:w="2400"/>
        <w:gridCol w:w="2400"/>
        <w:gridCol w:w="2400"/>
        <w:gridCol w:w="2400"/>
        <w:gridCol w:w="2400"/>
      </w:tblGrid>
      <w:tr>
        <w:trPr>
          <w:tblHeader w:val="true"/>
        </w:trPr>
        <w:tc>
          <w:tcPr>
            <w:tcW w:type="dxa" w:w="2952"/>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3038"/>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2002"/>
            <w:vAlign w:val="center"/>
            <w:tcMar>
              <w:top w:w="65" w:type="dxa"/>
              <w:start w:w="75" w:type="dxa"/>
              <w:bottom w:w="65" w:type="dxa"/>
              <w:end w:w="75" w:type="dxa"/>
            </w:tcMar>
            <w:shd w:fill="D9E2F3"/>
          </w:tcPr>
          <w:p>
            <w:pPr>
              <w:jc w:val="center"/>
            </w:pPr>
            <w:r>
              <w:rPr>
                <w:rFonts w:ascii="Times New Roman" w:hAnsi="Times New Roman"/>
                <w:b/>
                <w:sz w:val="16"/>
              </w:rPr>
              <w:t>Cohort, n</w:t>
            </w:r>
          </w:p>
        </w:tc>
        <w:tc>
          <w:tcPr>
            <w:tcW w:type="dxa" w:w="2693"/>
            <w:vAlign w:val="center"/>
            <w:tcMar>
              <w:top w:w="65" w:type="dxa"/>
              <w:start w:w="75" w:type="dxa"/>
              <w:bottom w:w="65" w:type="dxa"/>
              <w:end w:w="75" w:type="dxa"/>
            </w:tcMar>
            <w:shd w:fill="D9E2F3"/>
          </w:tcPr>
          <w:p>
            <w:pPr>
              <w:jc w:val="center"/>
            </w:pPr>
            <w:r>
              <w:rPr>
                <w:rFonts w:ascii="Times New Roman" w:hAnsi="Times New Roman"/>
                <w:b/>
                <w:sz w:val="16"/>
              </w:rPr>
              <w:t>Trajectory eligible, n</w:t>
            </w:r>
          </w:p>
        </w:tc>
        <w:tc>
          <w:tcPr>
            <w:tcW w:type="dxa" w:w="1555"/>
            <w:vAlign w:val="center"/>
            <w:tcMar>
              <w:top w:w="65" w:type="dxa"/>
              <w:start w:w="75" w:type="dxa"/>
              <w:bottom w:w="65" w:type="dxa"/>
              <w:end w:w="75" w:type="dxa"/>
            </w:tcMar>
            <w:shd w:fill="D9E2F3"/>
          </w:tcPr>
          <w:p>
            <w:pPr>
              <w:jc w:val="center"/>
            </w:pPr>
            <w:r>
              <w:rPr>
                <w:rFonts w:ascii="Times New Roman" w:hAnsi="Times New Roman"/>
                <w:b/>
                <w:sz w:val="16"/>
              </w:rPr>
              <w:t>Trajectory eligible, %</w:t>
            </w:r>
          </w:p>
        </w:tc>
        <w:tc>
          <w:tcPr>
            <w:tcW w:type="dxa" w:w="2174"/>
            <w:vAlign w:val="center"/>
            <w:tcMar>
              <w:top w:w="65" w:type="dxa"/>
              <w:start w:w="75" w:type="dxa"/>
              <w:bottom w:w="65" w:type="dxa"/>
              <w:end w:w="75" w:type="dxa"/>
            </w:tcMar>
            <w:shd w:fill="D9E2F3"/>
          </w:tcPr>
          <w:p>
            <w:pPr>
              <w:jc w:val="center"/>
            </w:pPr>
            <w:r>
              <w:rPr>
                <w:rFonts w:ascii="Times New Roman" w:hAnsi="Times New Roman"/>
                <w:b/>
                <w:sz w:val="16"/>
              </w:rPr>
              <w:t>Deaths, n</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1562</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27.273</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51</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1562</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27.017</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50</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1562</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27.017</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50</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289</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49.481</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289</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49.481</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289</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57.785</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15</w:t>
            </w:r>
          </w:p>
        </w:tc>
      </w:tr>
    </w:tbl>
    <w:p>
      <w:pPr>
        <w:spacing w:before="80" w:after="0"/>
      </w:pPr>
      <w:r>
        <w:rPr>
          <w:rFonts w:ascii="Times New Roman" w:hAnsi="Times New Roman"/>
          <w:b/>
          <w:sz w:val="16"/>
        </w:rPr>
        <w:t xml:space="preserve">Notes: </w:t>
      </w:r>
      <w:r>
        <w:rPr>
          <w:rFonts w:ascii="Times New Roman" w:hAnsi="Times New Roman"/>
          <w:sz w:val="16"/>
        </w:rPr>
        <w:t>Trajectory eligibility required at least two valid daily index values during days 0–7.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S2. Index-specific analytic sample characteristics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Deaths, n (%)</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Age, years</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Male sex, n (%)</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TG18 Grade III, n (%)</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Baseline value</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Trajectory slope</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 (12.0)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69 (58–79)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243 (57.0)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280 (65.7)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10.76 (6.28–22.94)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-0.122 (-0.311–0.035)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 (11.8)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68 (58–79)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242 (57.3)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277 (65.6)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6.70 (1.95–16.06)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-0.076 (-0.292–0.075)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 (11.8)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68 (58–79)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242 (57.3)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277 (65.6)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0.70 (0.42–1.31)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-0.014 (-0.087–0.032)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12 (8.4)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70 (60–79)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71 (49.7)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90 (62.9)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14.50 (8.89–22.25)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-0.207 (-0.331--0.066)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12 (8.4)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70 (60–79)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71 (49.7)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90 (62.9)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12.39 (6.75–18.65)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-0.188 (-0.381--0.091)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15 (9.0)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70 (60–79)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88 (52.7)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107 (64.1)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1.00 (0.67–1.59)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-0.052 (-0.108--0.020)</w:t>
            </w:r>
          </w:p>
        </w:tc>
      </w:tr>
    </w:tbl>
    <w:p>
      <w:pPr>
        <w:spacing w:before="80" w:after="0"/>
      </w:pPr>
      <w:r>
        <w:rPr>
          <w:rFonts w:ascii="Times New Roman" w:hAnsi="Times New Roman"/>
          <w:b/>
          <w:sz w:val="16"/>
        </w:rPr>
        <w:t xml:space="preserve">Notes: </w:t>
      </w:r>
      <w:r>
        <w:rPr>
          <w:rFonts w:ascii="Times New Roman" w:hAnsi="Times New Roman"/>
          <w:sz w:val="16"/>
        </w:rPr>
        <w:t>Continuous variables are shown as median (IQR).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S3. SIRI trajectory-eligible versus non-eligible patients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2057"/>
        <w:gridCol w:w="2057"/>
        <w:gridCol w:w="2057"/>
        <w:gridCol w:w="2057"/>
        <w:gridCol w:w="2057"/>
        <w:gridCol w:w="2057"/>
        <w:gridCol w:w="2057"/>
      </w:tblGrid>
      <w:tr>
        <w:trPr>
          <w:tblHeader w:val="true"/>
        </w:trPr>
        <w:tc>
          <w:tcPr>
            <w:tcW w:type="dxa" w:w="2405"/>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843"/>
            <w:vAlign w:val="center"/>
            <w:tcMar>
              <w:top w:w="65" w:type="dxa"/>
              <w:start w:w="75" w:type="dxa"/>
              <w:bottom w:w="65" w:type="dxa"/>
              <w:end w:w="75" w:type="dxa"/>
            </w:tcMar>
            <w:shd w:fill="D9E2F3"/>
          </w:tcPr>
          <w:p>
            <w:pPr>
              <w:jc w:val="center"/>
            </w:pPr>
            <w:r>
              <w:rPr>
                <w:rFonts w:ascii="Times New Roman" w:hAnsi="Times New Roman"/>
                <w:b/>
                <w:sz w:val="16"/>
              </w:rPr>
              <w:t>Group</w:t>
            </w:r>
          </w:p>
        </w:tc>
        <w:tc>
          <w:tcPr>
            <w:tcW w:type="dxa" w:w="2160"/>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880"/>
            <w:vAlign w:val="center"/>
            <w:tcMar>
              <w:top w:w="65" w:type="dxa"/>
              <w:start w:w="75" w:type="dxa"/>
              <w:bottom w:w="65" w:type="dxa"/>
              <w:end w:w="75" w:type="dxa"/>
            </w:tcMar>
            <w:shd w:fill="D9E2F3"/>
          </w:tcPr>
          <w:p>
            <w:pPr>
              <w:jc w:val="center"/>
            </w:pPr>
            <w:r>
              <w:rPr>
                <w:rFonts w:ascii="Times New Roman" w:hAnsi="Times New Roman"/>
                <w:b/>
                <w:sz w:val="16"/>
              </w:rPr>
              <w:t>Hospital mortality, n (%)</w:t>
            </w:r>
          </w:p>
        </w:tc>
        <w:tc>
          <w:tcPr>
            <w:tcW w:type="dxa" w:w="1354"/>
            <w:vAlign w:val="center"/>
            <w:tcMar>
              <w:top w:w="65" w:type="dxa"/>
              <w:start w:w="75" w:type="dxa"/>
              <w:bottom w:w="65" w:type="dxa"/>
              <w:end w:w="75" w:type="dxa"/>
            </w:tcMar>
            <w:shd w:fill="D9E2F3"/>
          </w:tcPr>
          <w:p>
            <w:pPr>
              <w:jc w:val="center"/>
            </w:pPr>
            <w:r>
              <w:rPr>
                <w:rFonts w:ascii="Times New Roman" w:hAnsi="Times New Roman"/>
                <w:b/>
                <w:sz w:val="16"/>
              </w:rPr>
              <w:t>Age, years</w:t>
            </w:r>
          </w:p>
        </w:tc>
        <w:tc>
          <w:tcPr>
            <w:tcW w:type="dxa" w:w="2635"/>
            <w:vAlign w:val="center"/>
            <w:tcMar>
              <w:top w:w="65" w:type="dxa"/>
              <w:start w:w="75" w:type="dxa"/>
              <w:bottom w:w="65" w:type="dxa"/>
              <w:end w:w="75" w:type="dxa"/>
            </w:tcMar>
            <w:shd w:fill="D9E2F3"/>
          </w:tcPr>
          <w:p>
            <w:pPr>
              <w:jc w:val="center"/>
            </w:pPr>
            <w:r>
              <w:rPr>
                <w:rFonts w:ascii="Times New Roman" w:hAnsi="Times New Roman"/>
                <w:b/>
                <w:sz w:val="16"/>
              </w:rPr>
              <w:t>Male sex, n (%)</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TG18 Grade III, n (%)</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SIRI trajectory eligible</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50 (11.8)</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68 (58–79)</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242 (57.3)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277 (65.6)</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Not SIRI trajectory eligible</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1140</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68 (6.0)</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69 (57–81)</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631 (55.4)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529 (46.4)</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SIRI trajectory eligible</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12 (8.4)</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70 (60–79)</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71 (49.7)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90 (62.9)</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Not SIRI trajectory eligible</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146</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17 (11.6)</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71 (59–79)</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89 (61.0)</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96 (65.8)</w:t>
            </w:r>
          </w:p>
        </w:tc>
      </w:tr>
    </w:tbl>
    <w:p>
      <w:pPr>
        <w:spacing w:before="80" w:after="0"/>
      </w:pPr>
      <w:r>
        <w:rPr>
          <w:rFonts w:ascii="Times New Roman" w:hAnsi="Times New Roman"/>
          <w:b/>
          <w:sz w:val="16"/>
        </w:rPr>
        <w:t xml:space="preserve">Notes: </w:t>
      </w:r>
      <w:r>
        <w:rPr>
          <w:rFonts w:ascii="Times New Roman" w:hAnsi="Times New Roman"/>
          <w:sz w:val="16"/>
        </w:rPr>
        <w:t>This table describes selection into the primary SIRI trajectory analysis.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S4. Observation-window length by outcome</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Outcome group</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Observed days</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First observed day</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Last observed day</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&gt;=3 observed days, n (%)</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&gt;=4 observed days, n (%)</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375</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 (2–3)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178 (47.5)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88 (23.5)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 (2–4)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(0–2)</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6 (4–7)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35 (68.6)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20 (39.2)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372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 (2–3)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173 (46.5)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84 (22.6)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 (2–4)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(0–2)</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6 (3–7)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30 (60.0)</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17 (34.0)</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372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 (2–3)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173 (46.5)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84 (22.6)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 (2–4)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 (0–2)</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6 (3–7)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30 (60.0)</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17 (34.0)</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131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 (3–5)</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101 (77.1)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75 (57.3)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3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8 (66.7)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6 (50.0)</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131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 (3–5)</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100 (76.3)</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74 (56.5)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 (2–6)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3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8 (66.7)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5 (41.7)</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152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 (3–5)</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120 (78.9)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88 (57.9)</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Non-survivors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15</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 (2–7)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 (0–0)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4 (2–6)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 (73.3)</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7 (46.7)</w:t>
            </w:r>
          </w:p>
        </w:tc>
      </w:tr>
    </w:tbl>
    <w:p>
      <w:pPr>
        <w:spacing w:before="80" w:after="0"/>
      </w:pPr>
      <w:r>
        <w:rPr>
          <w:rFonts w:ascii="Times New Roman" w:hAnsi="Times New Roman"/>
          <w:b/>
          <w:sz w:val="16"/>
        </w:rPr>
        <w:t xml:space="preserve">Notes: </w:t>
      </w:r>
      <w:r>
        <w:rPr>
          <w:rFonts w:ascii="Times New Roman" w:hAnsi="Times New Roman"/>
          <w:sz w:val="16"/>
        </w:rPr>
        <w:t>Observation windows differed by database and outcome; these patterns motivated sensitivity analyses.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S5. Measurement-window sensitivity analysis in MIMIC-IV</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Scenario</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Term</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OR</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95% CI</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P value</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1.406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0.998–1.981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0.051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1.379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0.972–1.957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0.072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1.062–2.117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0.021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1.406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0.972–2.036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0.071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213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1.915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1.201–3.053</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213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1.741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1.115–2.717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0.015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1.712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0.908–3.229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0.096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1.635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0.874–3.058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0.124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1.612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1.151–2.258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1.615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1.164–2.241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1.668</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1.189–2.339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1.654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1.178–2.323</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1.964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1.229–3.136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1.039–2.495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0.033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1.402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0.740–2.657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0.301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0.743</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0.375–1.470</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0.393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1.396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1.012–1.926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0.042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Primary model</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1.223</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0.889–1.684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0.216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1.418</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1.027–1.958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0.034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Adjusted for number of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1.226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0.882–1.704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0.225</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1.596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1.024–2.488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0.039</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3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30</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1.231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0.811–1.868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0.329</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0.646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0.288–1.448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0.288</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Restricted to at least 4 observed days</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101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0.36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0.143–0.911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0.031</w:t>
            </w:r>
          </w:p>
        </w:tc>
      </w:tr>
    </w:tbl>
    <w:p>
      <w:pPr>
        <w:spacing w:before="80" w:after="0"/>
      </w:pPr>
      <w:r>
        <w:rPr>
          <w:rFonts w:ascii="Times New Roman" w:hAnsi="Times New Roman"/>
          <w:b/>
          <w:sz w:val="16"/>
        </w:rPr>
        <w:t xml:space="preserve">Notes: </w:t>
      </w:r>
      <w:r>
        <w:rPr>
          <w:rFonts w:ascii="Times New Roman" w:hAnsi="Times New Roman"/>
          <w:sz w:val="16"/>
        </w:rPr>
        <w:t>Odds ratios are adjusted as in the primary model, with the scenario-specific modification shown.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S6. Complete eICU Firth penalized logistic sensitivity models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440"/>
        <w:gridCol w:w="1440"/>
        <w:gridCol w:w="1440"/>
        <w:gridCol w:w="1440"/>
        <w:gridCol w:w="1440"/>
        <w:gridCol w:w="1440"/>
        <w:gridCol w:w="1440"/>
        <w:gridCol w:w="1440"/>
        <w:gridCol w:w="1440"/>
        <w:gridCol w:w="1440"/>
      </w:tblGrid>
      <w:tr>
        <w:trPr>
          <w:tblHeader w:val="true"/>
        </w:trPr>
        <w:tc>
          <w:tcPr>
            <w:tcW w:type="dxa" w:w="1094"/>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008"/>
            <w:vAlign w:val="center"/>
            <w:tcMar>
              <w:top w:w="65" w:type="dxa"/>
              <w:start w:w="75" w:type="dxa"/>
              <w:bottom w:w="65" w:type="dxa"/>
              <w:end w:w="75" w:type="dxa"/>
            </w:tcMar>
            <w:shd w:fill="D9E2F3"/>
          </w:tcPr>
          <w:p>
            <w:pPr>
              <w:jc w:val="center"/>
            </w:pPr>
            <w:r>
              <w:rPr>
                <w:rFonts w:ascii="Times New Roman" w:hAnsi="Times New Roman"/>
                <w:b/>
                <w:sz w:val="16"/>
              </w:rPr>
              <w:t>Term</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Estimator</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OR</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CI low</w:t>
            </w:r>
          </w:p>
        </w:tc>
        <w:tc>
          <w:tcPr>
            <w:tcW w:type="dxa" w:w="936"/>
            <w:vAlign w:val="center"/>
            <w:tcMar>
              <w:top w:w="65" w:type="dxa"/>
              <w:start w:w="75" w:type="dxa"/>
              <w:bottom w:w="65" w:type="dxa"/>
              <w:end w:w="75" w:type="dxa"/>
            </w:tcMar>
            <w:shd w:fill="D9E2F3"/>
          </w:tcPr>
          <w:p>
            <w:pPr>
              <w:jc w:val="center"/>
            </w:pPr>
            <w:r>
              <w:rPr>
                <w:rFonts w:ascii="Times New Roman" w:hAnsi="Times New Roman"/>
                <w:b/>
                <w:sz w:val="16"/>
              </w:rPr>
              <w:t>CI high</w:t>
            </w:r>
          </w:p>
        </w:tc>
        <w:tc>
          <w:tcPr>
            <w:tcW w:type="dxa" w:w="1094"/>
            <w:vAlign w:val="center"/>
            <w:tcMar>
              <w:top w:w="65" w:type="dxa"/>
              <w:start w:w="75" w:type="dxa"/>
              <w:bottom w:w="65" w:type="dxa"/>
              <w:end w:w="75" w:type="dxa"/>
            </w:tcMar>
            <w:shd w:fill="D9E2F3"/>
          </w:tcPr>
          <w:p>
            <w:pPr>
              <w:jc w:val="center"/>
            </w:pPr>
            <w:r>
              <w:rPr>
                <w:rFonts w:ascii="Times New Roman" w:hAnsi="Times New Roman"/>
                <w:b/>
                <w:sz w:val="16"/>
              </w:rPr>
              <w:t>P value</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Deaths, n</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2.024</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1.066</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4.131</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0.031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4.647</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1.815</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13.984</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1.338</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0.655</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3.217</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0.44</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2.24</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1.138</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4.751</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0.019</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2.403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1.072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5.623</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0.033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1.269</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0.652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2.901</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0.5</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12</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1.065</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0.572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1.927</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0.839</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15</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1.476</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0.833</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2.651</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0.177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15</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1.753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0.957</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3.9</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0.071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15</w:t>
            </w:r>
          </w:p>
        </w:tc>
      </w:tr>
    </w:tbl>
    <w:p>
      <w:pPr>
        <w:spacing w:before="80" w:after="0"/>
      </w:pPr>
      <w:r>
        <w:rPr>
          <w:rFonts w:ascii="Times New Roman" w:hAnsi="Times New Roman"/>
          <w:b/>
          <w:sz w:val="16"/>
        </w:rPr>
        <w:t xml:space="preserve">Notes: </w:t>
      </w:r>
      <w:r>
        <w:rPr>
          <w:rFonts w:ascii="Times New Roman" w:hAnsi="Times New Roman"/>
          <w:sz w:val="16"/>
        </w:rPr>
        <w:t>Firth penalization was used to address sparse events and complete separation.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S7. Calibration and overall prediction performance</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440"/>
        <w:gridCol w:w="1440"/>
        <w:gridCol w:w="1440"/>
        <w:gridCol w:w="1440"/>
        <w:gridCol w:w="1440"/>
        <w:gridCol w:w="1440"/>
        <w:gridCol w:w="1440"/>
        <w:gridCol w:w="1440"/>
        <w:gridCol w:w="1440"/>
        <w:gridCol w:w="1440"/>
      </w:tblGrid>
      <w:tr>
        <w:trPr>
          <w:tblHeader w:val="true"/>
        </w:trPr>
        <w:tc>
          <w:tcPr>
            <w:tcW w:type="dxa" w:w="1094"/>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Model</w:t>
            </w:r>
          </w:p>
        </w:tc>
        <w:tc>
          <w:tcPr>
            <w:tcW w:type="dxa" w:w="1008"/>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Event rate</w:t>
            </w:r>
          </w:p>
        </w:tc>
        <w:tc>
          <w:tcPr>
            <w:tcW w:type="dxa" w:w="936"/>
            <w:vAlign w:val="center"/>
            <w:tcMar>
              <w:top w:w="65" w:type="dxa"/>
              <w:start w:w="75" w:type="dxa"/>
              <w:bottom w:w="65" w:type="dxa"/>
              <w:end w:w="75" w:type="dxa"/>
            </w:tcMar>
            <w:shd w:fill="D9E2F3"/>
          </w:tcPr>
          <w:p>
            <w:pPr>
              <w:jc w:val="center"/>
            </w:pPr>
            <w:r>
              <w:rPr>
                <w:rFonts w:ascii="Times New Roman" w:hAnsi="Times New Roman"/>
                <w:b/>
                <w:sz w:val="16"/>
              </w:rPr>
              <w:t>AUC</w:t>
            </w:r>
          </w:p>
        </w:tc>
        <w:tc>
          <w:tcPr>
            <w:tcW w:type="dxa" w:w="1094"/>
            <w:vAlign w:val="center"/>
            <w:tcMar>
              <w:top w:w="65" w:type="dxa"/>
              <w:start w:w="75" w:type="dxa"/>
              <w:bottom w:w="65" w:type="dxa"/>
              <w:end w:w="75" w:type="dxa"/>
            </w:tcMar>
            <w:shd w:fill="D9E2F3"/>
          </w:tcPr>
          <w:p>
            <w:pPr>
              <w:jc w:val="center"/>
            </w:pPr>
            <w:r>
              <w:rPr>
                <w:rFonts w:ascii="Times New Roman" w:hAnsi="Times New Roman"/>
                <w:b/>
                <w:sz w:val="16"/>
              </w:rPr>
              <w:t>Brier score</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Calibration intercept</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Calibration slope</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0.672</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0.12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1.094</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0.084</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0.535</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0.08</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-1.456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0.443</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0.704</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0.107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1.089</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0.084</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0.646</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0.078</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-0.746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0.814</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0.118</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0.666</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0.124</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1.096</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0.084</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0.535</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0.079</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-1.37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0.485</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0.118</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0.722</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0.097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0.095</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1.085</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0.084</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0.666</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0.078</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-0.63</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0.885</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0.118</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0.666</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0.124</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1.096</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15</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0.09</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0.589</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0.082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-0.79</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0.749</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0.118</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0.685</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0.108</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1.089</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167</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15</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0.09</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0.599</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0.084</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-1.117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0.602</w:t>
            </w:r>
          </w:p>
        </w:tc>
      </w:tr>
    </w:tbl>
    <w:p>
      <w:pPr>
        <w:spacing w:before="80" w:after="0"/>
      </w:pPr>
      <w:r>
        <w:rPr>
          <w:rFonts w:ascii="Times New Roman" w:hAnsi="Times New Roman"/>
          <w:b/>
          <w:sz w:val="16"/>
        </w:rPr>
        <w:t xml:space="preserve">Notes: </w:t>
      </w:r>
      <w:r>
        <w:rPr>
          <w:rFonts w:ascii="Times New Roman" w:hAnsi="Times New Roman"/>
          <w:sz w:val="16"/>
        </w:rPr>
        <w:t>External eICU calibration estimates should be interpreted cautiously because event counts were small.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S8. SIRI trajectory-model calibration points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800"/>
        <w:gridCol w:w="1800"/>
        <w:gridCol w:w="1800"/>
        <w:gridCol w:w="1800"/>
        <w:gridCol w:w="1800"/>
        <w:gridCol w:w="1800"/>
        <w:gridCol w:w="1800"/>
        <w:gridCol w:w="1800"/>
      </w:tblGrid>
      <w:tr>
        <w:trPr>
          <w:tblHeader w:val="true"/>
        </w:trPr>
        <w:tc>
          <w:tcPr>
            <w:tcW w:type="dxa" w:w="2952"/>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Model</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Risk quintile</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Mean predicted risk</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Observed mortality</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85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0.033</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0.024</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84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0.068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0.083</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84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0.106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0.083</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84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10</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0.155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0.119</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MIMIC-IV apparent</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85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0.256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0.282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0.035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0.068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0.107</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0.113</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0.069</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0.071</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clinical+trajectory</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eICU external</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0.228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0.172</w:t>
            </w:r>
          </w:p>
        </w:tc>
      </w:tr>
    </w:tbl>
    <w:p>
      <w:pPr>
        <w:spacing w:before="80" w:after="0"/>
      </w:pPr>
      <w:r>
        <w:rPr>
          <w:rFonts w:ascii="Times New Roman" w:hAnsi="Times New Roman"/>
          <w:b/>
          <w:sz w:val="16"/>
        </w:rPr>
        <w:t xml:space="preserve">Notes: </w:t>
      </w:r>
      <w:r>
        <w:rPr>
          <w:rFonts w:ascii="Times New Roman" w:hAnsi="Times New Roman"/>
          <w:sz w:val="16"/>
        </w:rPr>
        <w:t>Risk bins are quintiles of predicted risk within each dataset.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S9. Mortality by exploratory baseline-slope phenotype</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Baseline-slope phenotype</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Mortality</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Baseline median</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Slope median</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Observed days, median</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High, rapidly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0.167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3.75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-0.76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near-stable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273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0.007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137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0.131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1.524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-0.096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High, rapidly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0.094</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37.25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-1.001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near-stable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0.114</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5.137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0.025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218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0.128</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18.71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-0.209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High, rapidly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0.105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22.542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-0.966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slowly rising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0.099</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1.142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0.049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213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0.136</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11.747</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-0.176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near-stable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74</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0.095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0.64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-0.024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93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0.086</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-0.092</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High, rapidly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0.111</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28.333</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-1.187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near-stable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0.083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6.548</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-0.066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98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8</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0.082</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17.6</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-0.244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4</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High, rapidly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0.182</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16.815</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-0.886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Low, slowly rising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2.403</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0.011</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3</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eICU</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Moderately elevated, declining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112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9</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0.08</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12.929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-0.206</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4</w:t>
            </w:r>
          </w:p>
        </w:tc>
      </w:tr>
    </w:tbl>
    <w:p>
      <w:pPr>
        <w:spacing w:before="80" w:after="0"/>
      </w:pPr>
      <w:r>
        <w:rPr>
          <w:rFonts w:ascii="Times New Roman" w:hAnsi="Times New Roman"/>
          <w:b/>
          <w:sz w:val="16"/>
        </w:rPr>
        <w:t xml:space="preserve">Notes: </w:t>
      </w:r>
      <w:r>
        <w:rPr>
          <w:rFonts w:ascii="Times New Roman" w:hAnsi="Times New Roman"/>
          <w:sz w:val="16"/>
        </w:rPr>
        <w:t>Phenotypes were named from MIMIC-IV baseline-slope profiles without reference to mortality and were not the primary inferential exposure.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S10. Eligibility and events for the MIMIC-IV strict 72-hour landmark Cox sensitivity analysis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800"/>
        <w:gridCol w:w="1800"/>
        <w:gridCol w:w="1800"/>
        <w:gridCol w:w="1800"/>
        <w:gridCol w:w="1800"/>
        <w:gridCol w:w="1800"/>
        <w:gridCol w:w="1800"/>
        <w:gridCol w:w="1800"/>
      </w:tblGrid>
      <w:tr>
        <w:trPr>
          <w:tblHeader w:val="true"/>
        </w:trPr>
        <w:tc>
          <w:tcPr>
            <w:tcW w:type="dxa" w:w="2952"/>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Analysis</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Mortality horizon, days</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Events, n</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Event rate</w:t>
            </w:r>
          </w:p>
        </w:tc>
        <w:tc>
          <w:tcPr>
            <w:tcW w:type="dxa" w:w="1642"/>
            <w:vAlign w:val="center"/>
            <w:tcMar>
              <w:top w:w="65" w:type="dxa"/>
              <w:start w:w="75" w:type="dxa"/>
              <w:bottom w:w="65" w:type="dxa"/>
              <w:end w:w="75" w:type="dxa"/>
            </w:tcMar>
            <w:shd w:fill="D9E2F3"/>
          </w:tcPr>
          <w:p>
            <w:pPr>
              <w:jc w:val="center"/>
            </w:pPr>
            <w:r>
              <w:rPr>
                <w:rFonts w:ascii="Times New Roman" w:hAnsi="Times New Roman"/>
                <w:b/>
                <w:sz w:val="16"/>
              </w:rPr>
              <w:t>Observed days in 0-72 h window</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0.034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0.141</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0.026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0.026</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0.129</w:t>
            </w:r>
          </w:p>
        </w:tc>
        <w:tc>
          <w:tcPr>
            <w:tcW w:type="dxa" w:w="1642"/>
            <w:vAlign w:val="center"/>
            <w:tcMar>
              <w:top w:w="65" w:type="dxa"/>
              <w:start w:w="75" w:type="dxa"/>
              <w:bottom w:w="65" w:type="dxa"/>
              <w:end w:w="75" w:type="dxa"/>
            </w:tcMar>
          </w:tcPr>
          <w:p>
            <w:pPr>
              <w:spacing w:after="0"/>
              <w:jc w:val="center"/>
            </w:pPr>
            <w:r>
              <w:rPr>
                <w:rFonts w:ascii="Times New Roman" w:hAnsi="Times New Roman"/>
                <w:sz w:val="16"/>
              </w:rPr>
              <w:t>2 (2–2)</w:t>
            </w:r>
          </w:p>
        </w:tc>
      </w:tr>
    </w:tbl>
    <w:p>
      <w:pPr>
        <w:spacing w:before="80" w:after="0"/>
      </w:pPr>
      <w:r>
        <w:rPr>
          <w:rFonts w:ascii="Times New Roman" w:hAnsi="Times New Roman"/>
          <w:b/>
          <w:sz w:val="16"/>
        </w:rPr>
        <w:t xml:space="preserve">Notes: </w:t>
      </w:r>
      <w:r>
        <w:rPr>
          <w:rFonts w:ascii="Times New Roman" w:hAnsi="Times New Roman"/>
          <w:sz w:val="16"/>
        </w:rPr>
        <w:t>Patients were alive and still hospitalized at 72 hours and had at least two valid daily index values from days 0-2.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S11. MIMIC-IV 72-hour landmark Cox sensitivity analysis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200"/>
        <w:gridCol w:w="1200"/>
        <w:gridCol w:w="1200"/>
        <w:gridCol w:w="1200"/>
        <w:gridCol w:w="1200"/>
        <w:gridCol w:w="1200"/>
        <w:gridCol w:w="1200"/>
        <w:gridCol w:w="1200"/>
        <w:gridCol w:w="1200"/>
        <w:gridCol w:w="1200"/>
        <w:gridCol w:w="1200"/>
        <w:gridCol w:w="1200"/>
      </w:tblGrid>
      <w:tr>
        <w:trPr>
          <w:tblHeader w:val="true"/>
        </w:trPr>
        <w:tc>
          <w:tcPr>
            <w:tcW w:type="dxa" w:w="2030"/>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Analysis</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Mortality horizon, days</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Term</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HR per SD</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CI low</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CI high</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P value</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Events, n</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Median follow-up, days</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1.644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0.693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3.902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0.259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0.856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0.426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1.721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0.663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1.545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4.503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0.425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1.167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0.321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4.238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0.814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1.551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0.747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3.222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0.239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1.141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0.763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1.707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0.521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1.115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0.764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1.626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0.574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1.453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0.924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2.286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1.174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0.745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1.851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0.489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1.395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0.919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2.118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0.118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1.257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0.692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2.285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0.453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0.542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0.172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1.708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0.296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1.057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0.309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3.609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3.566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1.596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7.969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0.002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3.434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18.778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0.155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1.247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0.813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1.913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0.312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1.018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0.676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1.533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0.931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1.358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0.861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2.14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0.188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1.484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0.902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2.441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2.199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1.289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3.752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0.004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1.561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0.897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2.717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0.115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0.549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0.172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1.751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0.311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1.404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0.493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3.994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0.525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2.808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0.923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8.543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0.069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2.766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0.637</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12.002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0.174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0.864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0.213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1.04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0.703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1.539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0.845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1.446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0.891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2.348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0.136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1.321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0.753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2.316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0.331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r>
        <w:tc>
          <w:tcPr>
            <w:tcW w:type="dxa" w:w="2030"/>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72h landmark Cox</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2.042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1.029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4.053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0.041</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194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28</w:t>
            </w:r>
          </w:p>
        </w:tc>
      </w:tr>
    </w:tbl>
    <w:p>
      <w:pPr>
        <w:spacing w:before="80" w:after="0"/>
      </w:pPr>
      <w:r>
        <w:rPr>
          <w:rFonts w:ascii="Times New Roman" w:hAnsi="Times New Roman"/>
          <w:b/>
          <w:sz w:val="16"/>
        </w:rPr>
        <w:t xml:space="preserve">Notes: </w:t>
      </w:r>
      <w:r>
        <w:rPr>
          <w:rFonts w:ascii="Times New Roman" w:hAnsi="Times New Roman"/>
          <w:sz w:val="16"/>
        </w:rPr>
        <w:t>Cox models were adjusted for age, sex, TG18 Grade III disease, log-baseline value, and log-scale slope; predictors were standardized.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S12. Hepatobiliary clinical-context sensitivity analyses in the MIMIC-IV SIRI cohort</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2400"/>
        <w:gridCol w:w="2400"/>
        <w:gridCol w:w="2400"/>
        <w:gridCol w:w="2400"/>
        <w:gridCol w:w="2400"/>
        <w:gridCol w:w="2400"/>
      </w:tblGrid>
      <w:tr>
        <w:trPr>
          <w:tblHeader w:val="true"/>
        </w:trPr>
        <w:tc>
          <w:tcPr>
            <w:tcW w:type="dxa" w:w="2952"/>
            <w:vAlign w:val="center"/>
            <w:tcMar>
              <w:top w:w="65" w:type="dxa"/>
              <w:start w:w="75" w:type="dxa"/>
              <w:bottom w:w="65" w:type="dxa"/>
              <w:end w:w="75" w:type="dxa"/>
            </w:tcMar>
            <w:shd w:fill="D9E2F3"/>
          </w:tcPr>
          <w:p>
            <w:pPr>
              <w:jc w:val="center"/>
            </w:pPr>
            <w:r>
              <w:rPr>
                <w:rFonts w:ascii="Times New Roman" w:hAnsi="Times New Roman"/>
                <w:b/>
                <w:sz w:val="16"/>
              </w:rPr>
              <w:t>Analysis</w:t>
            </w:r>
          </w:p>
        </w:tc>
        <w:tc>
          <w:tcPr>
            <w:tcW w:type="dxa" w:w="3038"/>
            <w:vAlign w:val="center"/>
            <w:tcMar>
              <w:top w:w="65" w:type="dxa"/>
              <w:start w:w="75" w:type="dxa"/>
              <w:bottom w:w="65" w:type="dxa"/>
              <w:end w:w="75" w:type="dxa"/>
            </w:tcMar>
            <w:shd w:fill="D9E2F3"/>
          </w:tcPr>
          <w:p>
            <w:pPr>
              <w:jc w:val="center"/>
            </w:pPr>
            <w:r>
              <w:rPr>
                <w:rFonts w:ascii="Times New Roman" w:hAnsi="Times New Roman"/>
                <w:b/>
                <w:sz w:val="16"/>
              </w:rPr>
              <w:t>Model/subgroup</w:t>
            </w:r>
          </w:p>
        </w:tc>
        <w:tc>
          <w:tcPr>
            <w:tcW w:type="dxa" w:w="2002"/>
            <w:vAlign w:val="center"/>
            <w:tcMar>
              <w:top w:w="65" w:type="dxa"/>
              <w:start w:w="75" w:type="dxa"/>
              <w:bottom w:w="65" w:type="dxa"/>
              <w:end w:w="75" w:type="dxa"/>
            </w:tcMar>
            <w:shd w:fill="D9E2F3"/>
          </w:tcPr>
          <w:p>
            <w:pPr>
              <w:jc w:val="center"/>
            </w:pPr>
            <w:r>
              <w:rPr>
                <w:rFonts w:ascii="Times New Roman" w:hAnsi="Times New Roman"/>
                <w:b/>
                <w:sz w:val="16"/>
              </w:rPr>
              <w:t>Feature</w:t>
            </w:r>
          </w:p>
        </w:tc>
        <w:tc>
          <w:tcPr>
            <w:tcW w:type="dxa" w:w="2693"/>
            <w:vAlign w:val="center"/>
            <w:tcMar>
              <w:top w:w="65" w:type="dxa"/>
              <w:start w:w="75" w:type="dxa"/>
              <w:bottom w:w="65" w:type="dxa"/>
              <w:end w:w="75" w:type="dxa"/>
            </w:tcMar>
            <w:shd w:fill="D9E2F3"/>
          </w:tcPr>
          <w:p>
            <w:pPr>
              <w:jc w:val="center"/>
            </w:pPr>
            <w:r>
              <w:rPr>
                <w:rFonts w:ascii="Times New Roman" w:hAnsi="Times New Roman"/>
                <w:b/>
                <w:sz w:val="16"/>
              </w:rPr>
              <w:t>n/deaths</w:t>
            </w:r>
          </w:p>
        </w:tc>
        <w:tc>
          <w:tcPr>
            <w:tcW w:type="dxa" w:w="1555"/>
            <w:vAlign w:val="center"/>
            <w:tcMar>
              <w:top w:w="65" w:type="dxa"/>
              <w:start w:w="75" w:type="dxa"/>
              <w:bottom w:w="65" w:type="dxa"/>
              <w:end w:w="75" w:type="dxa"/>
            </w:tcMar>
            <w:shd w:fill="D9E2F3"/>
          </w:tcPr>
          <w:p>
            <w:pPr>
              <w:jc w:val="center"/>
            </w:pPr>
            <w:r>
              <w:rPr>
                <w:rFonts w:ascii="Times New Roman" w:hAnsi="Times New Roman"/>
                <w:b/>
                <w:sz w:val="16"/>
              </w:rPr>
              <w:t>Estimate (95% CI)</w:t>
            </w:r>
          </w:p>
        </w:tc>
        <w:tc>
          <w:tcPr>
            <w:tcW w:type="dxa" w:w="2174"/>
            <w:vAlign w:val="center"/>
            <w:tcMar>
              <w:top w:w="65" w:type="dxa"/>
              <w:start w:w="75" w:type="dxa"/>
              <w:bottom w:w="65" w:type="dxa"/>
              <w:end w:w="75" w:type="dxa"/>
            </w:tcMar>
            <w:shd w:fill="D9E2F3"/>
          </w:tcPr>
          <w:p>
            <w:pPr>
              <w:jc w:val="center"/>
            </w:pPr>
            <w:r>
              <w:rPr>
                <w:rFonts w:ascii="Times New Roman" w:hAnsi="Times New Roman"/>
                <w:b/>
                <w:sz w:val="16"/>
              </w:rPr>
              <w:t>P value</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Comorbidity-burden adjusted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1.48 (1.05–2.09)</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0.025</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Comorbidity-burden adjusted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1.53 (1.09–2.16)</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0.013</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No recorded malignancy</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250/23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2.03 (1.21–3.40)</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0.007</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No recorded malignancy</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250/23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1.94 (1.19–3.14)</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0.007</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Recorded malignancy</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172/27</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1.40 (0.88–2.24)</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0.159</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Recorded malignancy</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172/27</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1.34 (0.86–2.08)</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0.191</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SOFA-adjusted ICU-linked subset</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228/43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1.09 (0.73–1.62)</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0.68</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SOFA-adjusted ICU-linked subset</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228/43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1.36 (0.92–2.00)</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0.121</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Adjusted association sensitivity</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SOFA-adjusted ICU-linked subset</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SOFA score, first 24 h</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228/43</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1.84 (1.24–2.72)</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0.002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Effect-modification screen</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Malignancy interaction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2.08 (1.21–3.59)</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0.008</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Effect-modification screen</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Malignancy interaction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1.88 (1.18–2.99)</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0.008</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Effect-modification screen</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Malignancy interaction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Malignancy × 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0.64 (0.31–1.33)</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0.232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Effect-modification screen</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Malignancy interaction model</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Malignancy × SIRI slope</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0.83 (0.56–1.23)</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0.361</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Structural-overlap assessment</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MIMIC-IV trajectory-eligible cohort</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TG18 Grade III vs log-baseline SIRI</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422/not applicable</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r = 0.021</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0.662</w:t>
            </w:r>
          </w:p>
        </w:tc>
      </w:tr>
      <w:tr>
        <w:tc>
          <w:tcPr>
            <w:tcW w:type="dxa" w:w="2952"/>
            <w:vAlign w:val="center"/>
            <w:tcMar>
              <w:top w:w="65" w:type="dxa"/>
              <w:start w:w="75" w:type="dxa"/>
              <w:bottom w:w="65" w:type="dxa"/>
              <w:end w:w="75" w:type="dxa"/>
            </w:tcMar>
          </w:tcPr>
          <w:p>
            <w:pPr>
              <w:spacing w:after="0"/>
              <w:jc w:val="left"/>
            </w:pPr>
            <w:r>
              <w:rPr>
                <w:rFonts w:ascii="Times New Roman" w:hAnsi="Times New Roman"/>
                <w:sz w:val="16"/>
              </w:rPr>
              <w:t>Structural-overlap assessment</w:t>
            </w:r>
          </w:p>
        </w:tc>
        <w:tc>
          <w:tcPr>
            <w:tcW w:type="dxa" w:w="3038"/>
            <w:vAlign w:val="center"/>
            <w:tcMar>
              <w:top w:w="65" w:type="dxa"/>
              <w:start w:w="75" w:type="dxa"/>
              <w:bottom w:w="65" w:type="dxa"/>
              <w:end w:w="75" w:type="dxa"/>
            </w:tcMar>
          </w:tcPr>
          <w:p>
            <w:pPr>
              <w:spacing w:after="0"/>
              <w:jc w:val="center"/>
            </w:pPr>
            <w:r>
              <w:rPr>
                <w:rFonts w:ascii="Times New Roman" w:hAnsi="Times New Roman"/>
                <w:sz w:val="16"/>
              </w:rPr>
              <w:t>MIMIC-IV trajectory-eligible cohort</w:t>
            </w:r>
          </w:p>
        </w:tc>
        <w:tc>
          <w:tcPr>
            <w:tcW w:type="dxa" w:w="2002"/>
            <w:vAlign w:val="center"/>
            <w:tcMar>
              <w:top w:w="65" w:type="dxa"/>
              <w:start w:w="75" w:type="dxa"/>
              <w:bottom w:w="65" w:type="dxa"/>
              <w:end w:w="75" w:type="dxa"/>
            </w:tcMar>
          </w:tcPr>
          <w:p>
            <w:pPr>
              <w:spacing w:after="0"/>
              <w:jc w:val="center"/>
            </w:pPr>
            <w:r>
              <w:rPr>
                <w:rFonts w:ascii="Times New Roman" w:hAnsi="Times New Roman"/>
                <w:sz w:val="16"/>
              </w:rPr>
              <w:t>TG18 Grade III vs log-baseline NLR</w:t>
            </w:r>
          </w:p>
        </w:tc>
        <w:tc>
          <w:tcPr>
            <w:tcW w:type="dxa" w:w="2693"/>
            <w:vAlign w:val="center"/>
            <w:tcMar>
              <w:top w:w="65" w:type="dxa"/>
              <w:start w:w="75" w:type="dxa"/>
              <w:bottom w:w="65" w:type="dxa"/>
              <w:end w:w="75" w:type="dxa"/>
            </w:tcMar>
          </w:tcPr>
          <w:p>
            <w:pPr>
              <w:spacing w:after="0"/>
              <w:jc w:val="center"/>
            </w:pPr>
            <w:r>
              <w:rPr>
                <w:rFonts w:ascii="Times New Roman" w:hAnsi="Times New Roman"/>
                <w:sz w:val="16"/>
              </w:rPr>
              <w:t>426/not applicable</w:t>
            </w:r>
          </w:p>
        </w:tc>
        <w:tc>
          <w:tcPr>
            <w:tcW w:type="dxa" w:w="1555"/>
            <w:vAlign w:val="center"/>
            <w:tcMar>
              <w:top w:w="65" w:type="dxa"/>
              <w:start w:w="75" w:type="dxa"/>
              <w:bottom w:w="65" w:type="dxa"/>
              <w:end w:w="75" w:type="dxa"/>
            </w:tcMar>
          </w:tcPr>
          <w:p>
            <w:pPr>
              <w:spacing w:after="0"/>
              <w:jc w:val="center"/>
            </w:pPr>
            <w:r>
              <w:rPr>
                <w:rFonts w:ascii="Times New Roman" w:hAnsi="Times New Roman"/>
                <w:sz w:val="16"/>
              </w:rPr>
              <w:t>r = 0.093</w:t>
            </w:r>
          </w:p>
        </w:tc>
        <w:tc>
          <w:tcPr>
            <w:tcW w:type="dxa" w:w="2174"/>
            <w:vAlign w:val="center"/>
            <w:tcMar>
              <w:top w:w="65" w:type="dxa"/>
              <w:start w:w="75" w:type="dxa"/>
              <w:bottom w:w="65" w:type="dxa"/>
              <w:end w:w="75" w:type="dxa"/>
            </w:tcMar>
          </w:tcPr>
          <w:p>
            <w:pPr>
              <w:spacing w:after="0"/>
              <w:jc w:val="center"/>
            </w:pPr>
            <w:r>
              <w:rPr>
                <w:rFonts w:ascii="Times New Roman" w:hAnsi="Times New Roman"/>
                <w:sz w:val="16"/>
              </w:rPr>
              <w:t>0.055</w:t>
            </w:r>
          </w:p>
        </w:tc>
      </w:tr>
    </w:tbl>
    <w:p>
      <w:pPr>
        <w:spacing w:before="80" w:after="0"/>
      </w:pPr>
      <w:r>
        <w:rPr>
          <w:rFonts w:ascii="Times New Roman" w:hAnsi="Times New Roman"/>
          <w:b/>
          <w:sz w:val="16"/>
        </w:rPr>
        <w:t xml:space="preserve">Notes: </w:t>
      </w:r>
      <w:r>
        <w:rPr>
          <w:rFonts w:ascii="Times New Roman" w:hAnsi="Times New Roman"/>
          <w:sz w:val="16"/>
        </w:rPr>
        <w:t>All odds ratios are per one standard deviation increase in the listed predictor and were estimated with maximum-likelihood logistic models. The comorbidity-burden score is the unweighted count of recorded malignancy, chronic liver disease/cirrhosis, renal disease, congestive heart failure, diabetes mellitus, hypertension, and chronic pulmonary disease; it is not a Charlson Comorbidity Index. The SOFA-adjusted model is restricted to ICU-linked MIMIC-IV records with available SOFA data and is therefore not directly comparable with the full cohort. Point-biserial correlations are between TG18 Grade III status and log-transformed baseline inflammatory-index values.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S13. Unadjusted associations of continuous inflammatory-index features with hospital mortality in MIMIC-IV</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440"/>
        <w:gridCol w:w="1440"/>
        <w:gridCol w:w="1440"/>
        <w:gridCol w:w="1440"/>
        <w:gridCol w:w="1440"/>
        <w:gridCol w:w="1440"/>
        <w:gridCol w:w="1440"/>
        <w:gridCol w:w="1440"/>
        <w:gridCol w:w="1440"/>
        <w:gridCol w:w="1440"/>
      </w:tblGrid>
      <w:tr>
        <w:trPr>
          <w:tblHeader w:val="true"/>
        </w:trPr>
        <w:tc>
          <w:tcPr>
            <w:tcW w:type="dxa" w:w="1094"/>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008"/>
            <w:vAlign w:val="center"/>
            <w:tcMar>
              <w:top w:w="65" w:type="dxa"/>
              <w:start w:w="75" w:type="dxa"/>
              <w:bottom w:w="65" w:type="dxa"/>
              <w:end w:w="75" w:type="dxa"/>
            </w:tcMar>
            <w:shd w:fill="D9E2F3"/>
          </w:tcPr>
          <w:p>
            <w:pPr>
              <w:jc w:val="center"/>
            </w:pPr>
            <w:r>
              <w:rPr>
                <w:rFonts w:ascii="Times New Roman" w:hAnsi="Times New Roman"/>
                <w:b/>
                <w:sz w:val="16"/>
              </w:rPr>
              <w:t>Term</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Model</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OR</w:t>
            </w:r>
          </w:p>
        </w:tc>
        <w:tc>
          <w:tcPr>
            <w:tcW w:type="dxa" w:w="1944"/>
            <w:vAlign w:val="center"/>
            <w:tcMar>
              <w:top w:w="65" w:type="dxa"/>
              <w:start w:w="75" w:type="dxa"/>
              <w:bottom w:w="65" w:type="dxa"/>
              <w:end w:w="75" w:type="dxa"/>
            </w:tcMar>
            <w:shd w:fill="D9E2F3"/>
          </w:tcPr>
          <w:p>
            <w:pPr>
              <w:jc w:val="center"/>
            </w:pPr>
            <w:r>
              <w:rPr>
                <w:rFonts w:ascii="Times New Roman" w:hAnsi="Times New Roman"/>
                <w:b/>
                <w:sz w:val="16"/>
              </w:rPr>
              <w:t>CI low</w:t>
            </w:r>
          </w:p>
        </w:tc>
        <w:tc>
          <w:tcPr>
            <w:tcW w:type="dxa" w:w="936"/>
            <w:vAlign w:val="center"/>
            <w:tcMar>
              <w:top w:w="65" w:type="dxa"/>
              <w:start w:w="75" w:type="dxa"/>
              <w:bottom w:w="65" w:type="dxa"/>
              <w:end w:w="75" w:type="dxa"/>
            </w:tcMar>
            <w:shd w:fill="D9E2F3"/>
          </w:tcPr>
          <w:p>
            <w:pPr>
              <w:jc w:val="center"/>
            </w:pPr>
            <w:r>
              <w:rPr>
                <w:rFonts w:ascii="Times New Roman" w:hAnsi="Times New Roman"/>
                <w:b/>
                <w:sz w:val="16"/>
              </w:rPr>
              <w:t>CI high</w:t>
            </w:r>
          </w:p>
        </w:tc>
        <w:tc>
          <w:tcPr>
            <w:tcW w:type="dxa" w:w="1094"/>
            <w:vAlign w:val="center"/>
            <w:tcMar>
              <w:top w:w="65" w:type="dxa"/>
              <w:start w:w="75" w:type="dxa"/>
              <w:bottom w:w="65" w:type="dxa"/>
              <w:end w:w="75" w:type="dxa"/>
            </w:tcMar>
            <w:shd w:fill="D9E2F3"/>
          </w:tcPr>
          <w:p>
            <w:pPr>
              <w:jc w:val="center"/>
            </w:pPr>
            <w:r>
              <w:rPr>
                <w:rFonts w:ascii="Times New Roman" w:hAnsi="Times New Roman"/>
                <w:b/>
                <w:sz w:val="16"/>
              </w:rPr>
              <w:t>P value</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1483"/>
            <w:vAlign w:val="center"/>
            <w:tcMar>
              <w:top w:w="65" w:type="dxa"/>
              <w:start w:w="75" w:type="dxa"/>
              <w:bottom w:w="65" w:type="dxa"/>
              <w:end w:w="75" w:type="dxa"/>
            </w:tcMar>
            <w:shd w:fill="D9E2F3"/>
          </w:tcPr>
          <w:p>
            <w:pPr>
              <w:jc w:val="center"/>
            </w:pPr>
            <w:r>
              <w:rPr>
                <w:rFonts w:ascii="Times New Roman" w:hAnsi="Times New Roman"/>
                <w:b/>
                <w:sz w:val="16"/>
              </w:rPr>
              <w:t>Deaths, n</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1.262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0.939</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1.698</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0.124</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51</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NLR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0.882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1.633</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0.247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51</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1.323</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0.981</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1.783</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0.066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50</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SIRI</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1.41</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1.039</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1.912</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0.027</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50</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Log-baseline value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1.295</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0.984</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1.704</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0.065</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50</w:t>
            </w:r>
          </w:p>
        </w:tc>
      </w:tr>
      <w:tr>
        <w:tc>
          <w:tcPr>
            <w:tcW w:type="dxa" w:w="1094"/>
            <w:vAlign w:val="center"/>
            <w:tcMar>
              <w:top w:w="65" w:type="dxa"/>
              <w:start w:w="75" w:type="dxa"/>
              <w:bottom w:w="65" w:type="dxa"/>
              <w:end w:w="75" w:type="dxa"/>
            </w:tcMar>
          </w:tcPr>
          <w:p>
            <w:pPr>
              <w:spacing w:after="0"/>
              <w:jc w:val="left"/>
            </w:pPr>
            <w:r>
              <w:rPr>
                <w:rFonts w:ascii="Times New Roman" w:hAnsi="Times New Roman"/>
                <w:sz w:val="16"/>
              </w:rPr>
              <w:t>MIMIC-IV</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MLR</w:t>
            </w:r>
          </w:p>
        </w:tc>
        <w:tc>
          <w:tcPr>
            <w:tcW w:type="dxa" w:w="1008"/>
            <w:vAlign w:val="center"/>
            <w:tcMar>
              <w:top w:w="65" w:type="dxa"/>
              <w:start w:w="75" w:type="dxa"/>
              <w:bottom w:w="65" w:type="dxa"/>
              <w:end w:w="75" w:type="dxa"/>
            </w:tcMar>
          </w:tcPr>
          <w:p>
            <w:pPr>
              <w:spacing w:after="0"/>
              <w:jc w:val="center"/>
            </w:pPr>
            <w:r>
              <w:rPr>
                <w:rFonts w:ascii="Times New Roman" w:hAnsi="Times New Roman"/>
                <w:sz w:val="16"/>
              </w:rPr>
              <w:t>Log-scale slope</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Unadjusted logistic regression</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1.074</w:t>
            </w:r>
          </w:p>
        </w:tc>
        <w:tc>
          <w:tcPr>
            <w:tcW w:type="dxa" w:w="1944"/>
            <w:vAlign w:val="center"/>
            <w:tcMar>
              <w:top w:w="65" w:type="dxa"/>
              <w:start w:w="75" w:type="dxa"/>
              <w:bottom w:w="65" w:type="dxa"/>
              <w:end w:w="75" w:type="dxa"/>
            </w:tcMar>
          </w:tcPr>
          <w:p>
            <w:pPr>
              <w:spacing w:after="0"/>
              <w:jc w:val="center"/>
            </w:pPr>
            <w:r>
              <w:rPr>
                <w:rFonts w:ascii="Times New Roman" w:hAnsi="Times New Roman"/>
                <w:sz w:val="16"/>
              </w:rPr>
              <w:t>0.792</w:t>
            </w:r>
          </w:p>
        </w:tc>
        <w:tc>
          <w:tcPr>
            <w:tcW w:type="dxa" w:w="936"/>
            <w:vAlign w:val="center"/>
            <w:tcMar>
              <w:top w:w="65" w:type="dxa"/>
              <w:start w:w="75" w:type="dxa"/>
              <w:bottom w:w="65" w:type="dxa"/>
              <w:end w:w="75" w:type="dxa"/>
            </w:tcMar>
          </w:tcPr>
          <w:p>
            <w:pPr>
              <w:spacing w:after="0"/>
              <w:jc w:val="center"/>
            </w:pPr>
            <w:r>
              <w:rPr>
                <w:rFonts w:ascii="Times New Roman" w:hAnsi="Times New Roman"/>
                <w:sz w:val="16"/>
              </w:rPr>
              <w:t>1.457</w:t>
            </w:r>
          </w:p>
        </w:tc>
        <w:tc>
          <w:tcPr>
            <w:tcW w:type="dxa" w:w="1094"/>
            <w:vAlign w:val="center"/>
            <w:tcMar>
              <w:top w:w="65" w:type="dxa"/>
              <w:start w:w="75" w:type="dxa"/>
              <w:bottom w:w="65" w:type="dxa"/>
              <w:end w:w="75" w:type="dxa"/>
            </w:tcMar>
          </w:tcPr>
          <w:p>
            <w:pPr>
              <w:spacing w:after="0"/>
              <w:jc w:val="center"/>
            </w:pPr>
            <w:r>
              <w:rPr>
                <w:rFonts w:ascii="Times New Roman" w:hAnsi="Times New Roman"/>
                <w:sz w:val="16"/>
              </w:rPr>
              <w:t>0.646</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1483"/>
            <w:vAlign w:val="center"/>
            <w:tcMar>
              <w:top w:w="65" w:type="dxa"/>
              <w:start w:w="75" w:type="dxa"/>
              <w:bottom w:w="65" w:type="dxa"/>
              <w:end w:w="75" w:type="dxa"/>
            </w:tcMar>
          </w:tcPr>
          <w:p>
            <w:pPr>
              <w:spacing w:after="0"/>
              <w:jc w:val="center"/>
            </w:pPr>
            <w:r>
              <w:rPr>
                <w:rFonts w:ascii="Times New Roman" w:hAnsi="Times New Roman"/>
                <w:sz w:val="16"/>
              </w:rPr>
              <w:t>50</w:t>
            </w:r>
          </w:p>
        </w:tc>
      </w:tr>
    </w:tbl>
    <w:p>
      <w:pPr>
        <w:spacing w:before="80" w:after="0"/>
      </w:pPr>
      <w:r>
        <w:rPr>
          <w:rFonts w:ascii="Times New Roman" w:hAnsi="Times New Roman"/>
          <w:b/>
          <w:sz w:val="16"/>
        </w:rPr>
        <w:t xml:space="preserve">Notes: </w:t>
      </w:r>
      <w:r>
        <w:rPr>
          <w:rFonts w:ascii="Times New Roman" w:hAnsi="Times New Roman"/>
          <w:sz w:val="16"/>
        </w:rPr>
        <w:t>Each feature was entered separately in an unadjusted logistic regression model; all estimates are per one standard deviation increase.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S14. Restricted cubic spline assessment of nonlinearity for SIRI and NLR features in MIMIC-IV</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Exposure</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Spline basis df</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Likelihood-ratio chi-square</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Comparison df</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P for nonlinearity</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Reference value (log scale)</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4.766</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0.092</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2.042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0.173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0.917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-0.076</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51</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1.148</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0.563</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2.465</w:t>
            </w:r>
          </w:p>
        </w:tc>
      </w:tr>
    </w:tbl>
    <w:p>
      <w:pPr>
        <w:spacing w:before="80" w:after="0"/>
      </w:pPr>
      <w:r>
        <w:rPr>
          <w:rFonts w:ascii="Times New Roman" w:hAnsi="Times New Roman"/>
          <w:b/>
          <w:sz w:val="16"/>
        </w:rPr>
        <w:t xml:space="preserve">Notes: </w:t>
      </w:r>
      <w:r>
        <w:rPr>
          <w:rFonts w:ascii="Times New Roman" w:hAnsi="Times New Roman"/>
          <w:sz w:val="16"/>
        </w:rPr>
        <w:t>Natural cubic restricted splines with 3 basis degrees of freedom were compared with linear terms in logistic models adjusted for age, sex, TG18 Grade III disease, and the alternate index feature when applicable. The reference value was the cohort median of the corresponding log-scale feature.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S15. Variance inflation factors in the MIMIC-IV inflammatory-index models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3600"/>
        <w:gridCol w:w="3600"/>
        <w:gridCol w:w="3600"/>
        <w:gridCol w:w="3600"/>
      </w:tblGrid>
      <w:tr>
        <w:trPr>
          <w:tblHeader w:val="true"/>
        </w:trPr>
        <w:tc>
          <w:tcPr>
            <w:tcW w:type="dxa" w:w="5400"/>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2995"/>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995"/>
            <w:vAlign w:val="center"/>
            <w:tcMar>
              <w:top w:w="65" w:type="dxa"/>
              <w:start w:w="75" w:type="dxa"/>
              <w:bottom w:w="65" w:type="dxa"/>
              <w:end w:w="75" w:type="dxa"/>
            </w:tcMar>
            <w:shd w:fill="D9E2F3"/>
          </w:tcPr>
          <w:p>
            <w:pPr>
              <w:jc w:val="center"/>
            </w:pPr>
            <w:r>
              <w:rPr>
                <w:rFonts w:ascii="Times New Roman" w:hAnsi="Times New Roman"/>
                <w:b/>
                <w:sz w:val="16"/>
              </w:rPr>
              <w:t>Predictor</w:t>
            </w:r>
          </w:p>
        </w:tc>
        <w:tc>
          <w:tcPr>
            <w:tcW w:type="dxa" w:w="2995"/>
            <w:vAlign w:val="center"/>
            <w:tcMar>
              <w:top w:w="65" w:type="dxa"/>
              <w:start w:w="75" w:type="dxa"/>
              <w:bottom w:w="65" w:type="dxa"/>
              <w:end w:w="75" w:type="dxa"/>
            </w:tcMar>
            <w:shd w:fill="D9E2F3"/>
          </w:tcPr>
          <w:p>
            <w:pPr>
              <w:jc w:val="center"/>
            </w:pPr>
            <w:r>
              <w:rPr>
                <w:rFonts w:ascii="Times New Roman" w:hAnsi="Times New Roman"/>
                <w:b/>
                <w:sz w:val="16"/>
              </w:rPr>
              <w:t>VIF</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1.031</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1.005</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1.019</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1.288</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1.266</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age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1.03</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male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1.006</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grade_iii</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1.026</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1.338</w:t>
            </w:r>
          </w:p>
        </w:tc>
      </w:tr>
      <w:tr>
        <w:tc>
          <w:tcPr>
            <w:tcW w:type="dxa" w:w="5400"/>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426</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995"/>
            <w:vAlign w:val="center"/>
            <w:tcMar>
              <w:top w:w="65" w:type="dxa"/>
              <w:start w:w="75" w:type="dxa"/>
              <w:bottom w:w="65" w:type="dxa"/>
              <w:end w:w="75" w:type="dxa"/>
            </w:tcMar>
          </w:tcPr>
          <w:p>
            <w:pPr>
              <w:spacing w:after="0"/>
              <w:jc w:val="center"/>
            </w:pPr>
            <w:r>
              <w:rPr>
                <w:rFonts w:ascii="Times New Roman" w:hAnsi="Times New Roman"/>
                <w:sz w:val="16"/>
              </w:rPr>
              <w:t>1.3</w:t>
            </w:r>
          </w:p>
        </w:tc>
      </w:tr>
    </w:tbl>
    <w:p>
      <w:pPr>
        <w:spacing w:before="80" w:after="0"/>
      </w:pPr>
      <w:r>
        <w:rPr>
          <w:rFonts w:ascii="Times New Roman" w:hAnsi="Times New Roman"/>
          <w:b/>
          <w:sz w:val="16"/>
        </w:rPr>
        <w:t xml:space="preserve">Notes: </w:t>
      </w:r>
      <w:r>
        <w:rPr>
          <w:rFonts w:ascii="Times New Roman" w:hAnsi="Times New Roman"/>
          <w:sz w:val="16"/>
        </w:rPr>
        <w:t>VIFs were calculated from models including age, sex, TG18 Grade III disease, log-baseline value, and log-scale slope. Values below 5 do not suggest material multicollinearity.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S16. Effect-modification screening and malignancy-exclusion sensitivity analysis in the MIMIC-IV SIRI cohort</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1600"/>
        <w:gridCol w:w="1600"/>
        <w:gridCol w:w="1600"/>
        <w:gridCol w:w="1600"/>
        <w:gridCol w:w="1600"/>
        <w:gridCol w:w="1600"/>
        <w:gridCol w:w="1600"/>
        <w:gridCol w:w="1600"/>
        <w:gridCol w:w="1600"/>
      </w:tblGrid>
      <w:tr>
        <w:trPr>
          <w:tblHeader w:val="true"/>
        </w:trPr>
        <w:tc>
          <w:tcPr>
            <w:tcW w:type="dxa" w:w="1109"/>
            <w:vAlign w:val="center"/>
            <w:tcMar>
              <w:top w:w="65" w:type="dxa"/>
              <w:start w:w="75" w:type="dxa"/>
              <w:bottom w:w="65" w:type="dxa"/>
              <w:end w:w="75" w:type="dxa"/>
            </w:tcMar>
            <w:shd w:fill="D9E2F3"/>
          </w:tcPr>
          <w:p>
            <w:pPr>
              <w:jc w:val="center"/>
            </w:pPr>
            <w:r>
              <w:rPr>
                <w:rFonts w:ascii="Times New Roman" w:hAnsi="Times New Roman"/>
                <w:b/>
                <w:sz w:val="16"/>
              </w:rPr>
              <w:t>Analysis</w:t>
            </w:r>
          </w:p>
        </w:tc>
        <w:tc>
          <w:tcPr>
            <w:tcW w:type="dxa" w:w="1613"/>
            <w:vAlign w:val="center"/>
            <w:tcMar>
              <w:top w:w="65" w:type="dxa"/>
              <w:start w:w="75" w:type="dxa"/>
              <w:bottom w:w="65" w:type="dxa"/>
              <w:end w:w="75" w:type="dxa"/>
            </w:tcMar>
            <w:shd w:fill="D9E2F3"/>
          </w:tcPr>
          <w:p>
            <w:pPr>
              <w:jc w:val="center"/>
            </w:pPr>
            <w:r>
              <w:rPr>
                <w:rFonts w:ascii="Times New Roman" w:hAnsi="Times New Roman"/>
                <w:b/>
                <w:sz w:val="16"/>
              </w:rPr>
              <w:t>Modifier/subgroup</w:t>
            </w:r>
          </w:p>
        </w:tc>
        <w:tc>
          <w:tcPr>
            <w:tcW w:type="dxa" w:w="1109"/>
            <w:vAlign w:val="center"/>
            <w:tcMar>
              <w:top w:w="65" w:type="dxa"/>
              <w:start w:w="75" w:type="dxa"/>
              <w:bottom w:w="65" w:type="dxa"/>
              <w:end w:w="75" w:type="dxa"/>
            </w:tcMar>
            <w:shd w:fill="D9E2F3"/>
          </w:tcPr>
          <w:p>
            <w:pPr>
              <w:jc w:val="center"/>
            </w:pPr>
            <w:r>
              <w:rPr>
                <w:rFonts w:ascii="Times New Roman" w:hAnsi="Times New Roman"/>
                <w:b/>
                <w:sz w:val="16"/>
              </w:rPr>
              <w:t>SIRI feature</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2275"/>
            <w:vAlign w:val="center"/>
            <w:tcMar>
              <w:top w:w="65" w:type="dxa"/>
              <w:start w:w="75" w:type="dxa"/>
              <w:bottom w:w="65" w:type="dxa"/>
              <w:end w:w="75" w:type="dxa"/>
            </w:tcMar>
            <w:shd w:fill="D9E2F3"/>
          </w:tcPr>
          <w:p>
            <w:pPr>
              <w:jc w:val="center"/>
            </w:pPr>
            <w:r>
              <w:rPr>
                <w:rFonts w:ascii="Times New Roman" w:hAnsi="Times New Roman"/>
                <w:b/>
                <w:sz w:val="16"/>
              </w:rPr>
              <w:t>OR</w:t>
            </w:r>
          </w:p>
        </w:tc>
        <w:tc>
          <w:tcPr>
            <w:tcW w:type="dxa" w:w="1181"/>
            <w:vAlign w:val="center"/>
            <w:tcMar>
              <w:top w:w="65" w:type="dxa"/>
              <w:start w:w="75" w:type="dxa"/>
              <w:bottom w:w="65" w:type="dxa"/>
              <w:end w:w="75" w:type="dxa"/>
            </w:tcMar>
            <w:shd w:fill="D9E2F3"/>
          </w:tcPr>
          <w:p>
            <w:pPr>
              <w:jc w:val="center"/>
            </w:pPr>
            <w:r>
              <w:rPr>
                <w:rFonts w:ascii="Times New Roman" w:hAnsi="Times New Roman"/>
                <w:b/>
                <w:sz w:val="16"/>
              </w:rPr>
              <w:t>CI low</w:t>
            </w:r>
          </w:p>
        </w:tc>
        <w:tc>
          <w:tcPr>
            <w:tcW w:type="dxa" w:w="1253"/>
            <w:vAlign w:val="center"/>
            <w:tcMar>
              <w:top w:w="65" w:type="dxa"/>
              <w:start w:w="75" w:type="dxa"/>
              <w:bottom w:w="65" w:type="dxa"/>
              <w:end w:w="75" w:type="dxa"/>
            </w:tcMar>
            <w:shd w:fill="D9E2F3"/>
          </w:tcPr>
          <w:p>
            <w:pPr>
              <w:jc w:val="center"/>
            </w:pPr>
            <w:r>
              <w:rPr>
                <w:rFonts w:ascii="Times New Roman" w:hAnsi="Times New Roman"/>
                <w:b/>
                <w:sz w:val="16"/>
              </w:rPr>
              <w:t>CI high</w:t>
            </w:r>
          </w:p>
        </w:tc>
        <w:tc>
          <w:tcPr>
            <w:tcW w:type="dxa" w:w="1325"/>
            <w:vAlign w:val="center"/>
            <w:tcMar>
              <w:top w:w="65" w:type="dxa"/>
              <w:start w:w="75" w:type="dxa"/>
              <w:bottom w:w="65" w:type="dxa"/>
              <w:end w:w="75" w:type="dxa"/>
            </w:tcMar>
            <w:shd w:fill="D9E2F3"/>
          </w:tcPr>
          <w:p>
            <w:pPr>
              <w:jc w:val="center"/>
            </w:pPr>
            <w:r>
              <w:rPr>
                <w:rFonts w:ascii="Times New Roman" w:hAnsi="Times New Roman"/>
                <w:b/>
                <w:sz w:val="16"/>
              </w:rPr>
              <w:t>P value or P for interaction</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Interaction test</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Recorded malignancy</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0.777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0.452</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1.337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0.362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Interaction test</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Recorded malignancy</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0.757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0.234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2.447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0.642</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Interaction test</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ICU admission</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0.605</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0.29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1.259</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0.179</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Interaction test</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t>ICU admission</w:t>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1.527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0.299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7.805</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0.611</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After excluding recorded malignancy</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1.943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1.199</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3.148</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0.007</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After excluding recorded malignancy</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250</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23</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3.467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1.394</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8.622</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0.007</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Recorded malignancy subgroup</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log_baseline</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1.307</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0.901</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1.897</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0.159</w:t>
            </w:r>
          </w:p>
        </w:tc>
      </w:tr>
      <w:tr>
        <w:tc>
          <w:tcPr>
            <w:tcW w:type="dxa" w:w="1109"/>
            <w:vAlign w:val="center"/>
            <w:tcMar>
              <w:top w:w="65" w:type="dxa"/>
              <w:start w:w="75" w:type="dxa"/>
              <w:bottom w:w="65" w:type="dxa"/>
              <w:end w:w="75" w:type="dxa"/>
            </w:tcMar>
          </w:tcPr>
          <w:p>
            <w:pPr>
              <w:spacing w:after="0"/>
              <w:jc w:val="left"/>
            </w:pPr>
            <w:r>
              <w:rPr>
                <w:rFonts w:ascii="Times New Roman" w:hAnsi="Times New Roman"/>
                <w:sz w:val="16"/>
              </w:rPr>
              <w:t>Recorded malignancy subgroup</w:t>
            </w:r>
          </w:p>
        </w:tc>
        <w:tc>
          <w:tcPr>
            <w:tcW w:type="dxa" w:w="1613"/>
            <w:vAlign w:val="center"/>
            <w:tcMar>
              <w:top w:w="65" w:type="dxa"/>
              <w:start w:w="75" w:type="dxa"/>
              <w:bottom w:w="65" w:type="dxa"/>
              <w:end w:w="75" w:type="dxa"/>
            </w:tcMar>
          </w:tcPr>
          <w:p>
            <w:pPr>
              <w:spacing w:after="0"/>
              <w:jc w:val="center"/>
            </w:pPr>
            <w:r>
              <w:rPr>
                <w:rFonts w:ascii="Times New Roman" w:hAnsi="Times New Roman"/>
                <w:sz w:val="16"/>
              </w:rPr>
            </w:r>
          </w:p>
        </w:tc>
        <w:tc>
          <w:tcPr>
            <w:tcW w:type="dxa" w:w="1109"/>
            <w:vAlign w:val="center"/>
            <w:tcMar>
              <w:top w:w="65" w:type="dxa"/>
              <w:start w:w="75" w:type="dxa"/>
              <w:bottom w:w="65" w:type="dxa"/>
              <w:end w:w="75" w:type="dxa"/>
            </w:tcMar>
          </w:tcPr>
          <w:p>
            <w:pPr>
              <w:spacing w:after="0"/>
              <w:jc w:val="center"/>
            </w:pPr>
            <w:r>
              <w:rPr>
                <w:rFonts w:ascii="Times New Roman" w:hAnsi="Times New Roman"/>
                <w:sz w:val="16"/>
              </w:rPr>
              <w:t>slope_log</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172</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27</w:t>
            </w:r>
          </w:p>
        </w:tc>
        <w:tc>
          <w:tcPr>
            <w:tcW w:type="dxa" w:w="2275"/>
            <w:vAlign w:val="center"/>
            <w:tcMar>
              <w:top w:w="65" w:type="dxa"/>
              <w:start w:w="75" w:type="dxa"/>
              <w:bottom w:w="65" w:type="dxa"/>
              <w:end w:w="75" w:type="dxa"/>
            </w:tcMar>
          </w:tcPr>
          <w:p>
            <w:pPr>
              <w:spacing w:after="0"/>
              <w:jc w:val="center"/>
            </w:pPr>
            <w:r>
              <w:rPr>
                <w:rFonts w:ascii="Times New Roman" w:hAnsi="Times New Roman"/>
                <w:sz w:val="16"/>
              </w:rPr>
              <w:t>1.843</w:t>
            </w:r>
          </w:p>
        </w:tc>
        <w:tc>
          <w:tcPr>
            <w:tcW w:type="dxa" w:w="1181"/>
            <w:vAlign w:val="center"/>
            <w:tcMar>
              <w:top w:w="65" w:type="dxa"/>
              <w:start w:w="75" w:type="dxa"/>
              <w:bottom w:w="65" w:type="dxa"/>
              <w:end w:w="75" w:type="dxa"/>
            </w:tcMar>
          </w:tcPr>
          <w:p>
            <w:pPr>
              <w:spacing w:after="0"/>
              <w:jc w:val="center"/>
            </w:pPr>
            <w:r>
              <w:rPr>
                <w:rFonts w:ascii="Times New Roman" w:hAnsi="Times New Roman"/>
                <w:sz w:val="16"/>
              </w:rPr>
              <w:t>0.738</w:t>
            </w:r>
          </w:p>
        </w:tc>
        <w:tc>
          <w:tcPr>
            <w:tcW w:type="dxa" w:w="1253"/>
            <w:vAlign w:val="center"/>
            <w:tcMar>
              <w:top w:w="65" w:type="dxa"/>
              <w:start w:w="75" w:type="dxa"/>
              <w:bottom w:w="65" w:type="dxa"/>
              <w:end w:w="75" w:type="dxa"/>
            </w:tcMar>
          </w:tcPr>
          <w:p>
            <w:pPr>
              <w:spacing w:after="0"/>
              <w:jc w:val="center"/>
            </w:pPr>
            <w:r>
              <w:rPr>
                <w:rFonts w:ascii="Times New Roman" w:hAnsi="Times New Roman"/>
                <w:sz w:val="16"/>
              </w:rPr>
              <w:t>4.604</w:t>
            </w:r>
          </w:p>
        </w:tc>
        <w:tc>
          <w:tcPr>
            <w:tcW w:type="dxa" w:w="1325"/>
            <w:vAlign w:val="center"/>
            <w:tcMar>
              <w:top w:w="65" w:type="dxa"/>
              <w:start w:w="75" w:type="dxa"/>
              <w:bottom w:w="65" w:type="dxa"/>
              <w:end w:w="75" w:type="dxa"/>
            </w:tcMar>
          </w:tcPr>
          <w:p>
            <w:pPr>
              <w:spacing w:after="0"/>
              <w:jc w:val="center"/>
            </w:pPr>
            <w:r>
              <w:rPr>
                <w:rFonts w:ascii="Times New Roman" w:hAnsi="Times New Roman"/>
                <w:sz w:val="16"/>
              </w:rPr>
              <w:t>0.191</w:t>
            </w:r>
          </w:p>
        </w:tc>
      </w:tr>
    </w:tbl>
    <w:p>
      <w:pPr>
        <w:spacing w:before="80" w:after="0"/>
      </w:pPr>
      <w:r>
        <w:rPr>
          <w:rFonts w:ascii="Times New Roman" w:hAnsi="Times New Roman"/>
          <w:b/>
          <w:sz w:val="16"/>
        </w:rPr>
        <w:t xml:space="preserve">Notes: </w:t>
      </w:r>
      <w:r>
        <w:rPr>
          <w:rFonts w:ascii="Times New Roman" w:hAnsi="Times New Roman"/>
          <w:sz w:val="16"/>
        </w:rPr>
        <w:t>All estimates are from maximum-likelihood logistic models adjusted for the primary covariates and the alternate SIRI feature. Interaction analyses were exploratory and were not powered to identify small effect modifications. The first sensitivity subgroup excludes patients with a recorded malignancy rather than classifying obstruction etiology.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p>
      <w:r>
        <w:br w:type="page"/>
      </w:r>
    </w:p>
    <w:p>
      <w:pPr>
        <w:keepNext/>
        <w:spacing w:after="80"/>
        <w:jc w:val="left"/>
      </w:pPr>
      <w:r>
        <w:rPr>
          <w:rFonts w:ascii="Times New Roman" w:hAnsi="Times New Roman"/>
          <w:b/>
          <w:sz w:val="21"/>
        </w:rPr>
        <w:t>Supplementary Table S17. Bootstrap internal validation of MIMIC-IV prediction models</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2057"/>
        <w:gridCol w:w="2057"/>
        <w:gridCol w:w="2057"/>
        <w:gridCol w:w="2057"/>
        <w:gridCol w:w="2057"/>
        <w:gridCol w:w="2057"/>
        <w:gridCol w:w="2057"/>
      </w:tblGrid>
      <w:tr>
        <w:trPr>
          <w:tblHeader w:val="true"/>
        </w:trPr>
        <w:tc>
          <w:tcPr>
            <w:tcW w:type="dxa" w:w="2405"/>
            <w:vAlign w:val="center"/>
            <w:tcMar>
              <w:top w:w="65" w:type="dxa"/>
              <w:start w:w="75" w:type="dxa"/>
              <w:bottom w:w="65" w:type="dxa"/>
              <w:end w:w="75" w:type="dxa"/>
            </w:tcMar>
            <w:shd w:fill="D9E2F3"/>
          </w:tcPr>
          <w:p>
            <w:pPr>
              <w:jc w:val="center"/>
            </w:pPr>
            <w:r>
              <w:rPr>
                <w:rFonts w:ascii="Times New Roman" w:hAnsi="Times New Roman"/>
                <w:b/>
                <w:sz w:val="16"/>
              </w:rPr>
              <w:t>Model</w:t>
            </w:r>
          </w:p>
        </w:tc>
        <w:tc>
          <w:tcPr>
            <w:tcW w:type="dxa" w:w="1843"/>
            <w:vAlign w:val="center"/>
            <w:tcMar>
              <w:top w:w="65" w:type="dxa"/>
              <w:start w:w="75" w:type="dxa"/>
              <w:bottom w:w="65" w:type="dxa"/>
              <w:end w:w="75" w:type="dxa"/>
            </w:tcMar>
            <w:shd w:fill="D9E2F3"/>
          </w:tcPr>
          <w:p>
            <w:pPr>
              <w:jc w:val="center"/>
            </w:pPr>
            <w:r>
              <w:rPr>
                <w:rFonts w:ascii="Times New Roman" w:hAnsi="Times New Roman"/>
                <w:b/>
                <w:sz w:val="16"/>
              </w:rPr>
              <w:t>Patients, n</w:t>
            </w:r>
          </w:p>
        </w:tc>
        <w:tc>
          <w:tcPr>
            <w:tcW w:type="dxa" w:w="2160"/>
            <w:vAlign w:val="center"/>
            <w:tcMar>
              <w:top w:w="65" w:type="dxa"/>
              <w:start w:w="75" w:type="dxa"/>
              <w:bottom w:w="65" w:type="dxa"/>
              <w:end w:w="75" w:type="dxa"/>
            </w:tcMar>
            <w:shd w:fill="D9E2F3"/>
          </w:tcPr>
          <w:p>
            <w:pPr>
              <w:jc w:val="center"/>
            </w:pPr>
            <w:r>
              <w:rPr>
                <w:rFonts w:ascii="Times New Roman" w:hAnsi="Times New Roman"/>
                <w:b/>
                <w:sz w:val="16"/>
              </w:rPr>
              <w:t>Deaths, n</w:t>
            </w:r>
          </w:p>
        </w:tc>
        <w:tc>
          <w:tcPr>
            <w:tcW w:type="dxa" w:w="2880"/>
            <w:vAlign w:val="center"/>
            <w:tcMar>
              <w:top w:w="65" w:type="dxa"/>
              <w:start w:w="75" w:type="dxa"/>
              <w:bottom w:w="65" w:type="dxa"/>
              <w:end w:w="75" w:type="dxa"/>
            </w:tcMar>
            <w:shd w:fill="D9E2F3"/>
          </w:tcPr>
          <w:p>
            <w:pPr>
              <w:jc w:val="center"/>
            </w:pPr>
            <w:r>
              <w:rPr>
                <w:rFonts w:ascii="Times New Roman" w:hAnsi="Times New Roman"/>
                <w:b/>
                <w:sz w:val="16"/>
              </w:rPr>
              <w:t>Bootstrap resamples</w:t>
            </w:r>
          </w:p>
        </w:tc>
        <w:tc>
          <w:tcPr>
            <w:tcW w:type="dxa" w:w="1354"/>
            <w:vAlign w:val="center"/>
            <w:tcMar>
              <w:top w:w="65" w:type="dxa"/>
              <w:start w:w="75" w:type="dxa"/>
              <w:bottom w:w="65" w:type="dxa"/>
              <w:end w:w="75" w:type="dxa"/>
            </w:tcMar>
            <w:shd w:fill="D9E2F3"/>
          </w:tcPr>
          <w:p>
            <w:pPr>
              <w:jc w:val="center"/>
            </w:pPr>
            <w:r>
              <w:rPr>
                <w:rFonts w:ascii="Times New Roman" w:hAnsi="Times New Roman"/>
                <w:b/>
                <w:sz w:val="16"/>
              </w:rPr>
              <w:t>Apparent AUC</w:t>
            </w:r>
          </w:p>
        </w:tc>
        <w:tc>
          <w:tcPr>
            <w:tcW w:type="dxa" w:w="2635"/>
            <w:vAlign w:val="center"/>
            <w:tcMar>
              <w:top w:w="65" w:type="dxa"/>
              <w:start w:w="75" w:type="dxa"/>
              <w:bottom w:w="65" w:type="dxa"/>
              <w:end w:w="75" w:type="dxa"/>
            </w:tcMar>
            <w:shd w:fill="D9E2F3"/>
          </w:tcPr>
          <w:p>
            <w:pPr>
              <w:jc w:val="center"/>
            </w:pPr>
            <w:r>
              <w:rPr>
                <w:rFonts w:ascii="Times New Roman" w:hAnsi="Times New Roman"/>
                <w:b/>
                <w:sz w:val="16"/>
              </w:rPr>
              <w:t>Mean optimism</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Optimism-corrected AUC</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Clinical model</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500</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0.666</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0.024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0.641</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Clinical plus SIRI trajectory model</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422</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50</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500</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0.722</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0.029</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0.693</w:t>
            </w:r>
          </w:p>
        </w:tc>
      </w:tr>
    </w:tbl>
    <w:p>
      <w:pPr>
        <w:spacing w:before="80" w:after="0"/>
      </w:pPr>
      <w:r>
        <w:rPr>
          <w:rFonts w:ascii="Times New Roman" w:hAnsi="Times New Roman"/>
          <w:b/>
          <w:sz w:val="16"/>
        </w:rPr>
        <w:t xml:space="preserve">Notes: </w:t>
      </w:r>
      <w:r>
        <w:rPr>
          <w:rFonts w:ascii="Times New Roman" w:hAnsi="Times New Roman"/>
          <w:sz w:val="16"/>
        </w:rPr>
        <w:t>For each of 500 bootstrap resamples, the L2-regularized logistic model was refitted and evaluated in the bootstrap sample and the original MIMIC-IV sample. The corrected AUC equals the apparent AUC minus mean optimism. Abbreviations: AUC, area under the receiver operating characteristic curve; CI, confidence interval; eICU, eICU Collaborative Research Database; HR, hazard ratio; ICU, intensive care unit; IQR, interquartile range; MIMIC-IV, Medical Information Mart for Intensive Care IV; MLR, monocyte-to-lymphocyte ratio; NLR, neutrophil-to-lymphocyte ratio; OR, odds ratio; SD, standard deviation; SIRI, systemic inflammation response index; SOFA, Sequential Organ Failure Assessment; TG18, Tokyo Guidelines 2018; VIF, variance inflation factor.</w:t>
      </w:r>
    </w:p>
    <w:sectPr w:rsidR="00FC693F" w:rsidRPr="0006063C" w:rsidSect="00034616">
      <w:pgSz w:w="15840" w:h="12240" w:orient="landscape"/>
      <w:pgMar w:top="792"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