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80"/>
        <w:jc w:val="left"/>
      </w:pPr>
      <w:r>
        <w:rPr>
          <w:rFonts w:ascii="Times New Roman" w:hAnsi="Times New Roman"/>
          <w:b/>
          <w:sz w:val="21"/>
        </w:rPr>
        <w:t>Table 3. Discrimination and external evaluation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000000"/>
          <w:bottom w:val="single" w:sz="8" w:color="000000"/>
          <w:insideH w:val="single" w:sz="4" w:color="B7B7B7"/>
          <w:left w:val="nil" w:sz="0" w:color="FFFFFF"/>
          <w:right w:val="nil" w:sz="0" w:color="FFFFFF"/>
          <w:insideV w:val="nil" w:sz="0" w:color="FFFFFF"/>
        </w:tblBorders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Index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Dataset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n/deaths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Clinical AUC (95% CI)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+ baseline AUC (95% CI)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+ trajectory AUC (95% CI)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Delta AUC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Brier score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Calibration intercept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  <w:shd w:fill="D9E2F3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Calibration slope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SIRI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MIMIC-IV apparent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422/50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0.666 (0.588–0.736)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0.681 (0.607–0.753)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0.722 (0.646–0.793)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0.057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0.097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0.095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1.085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SIRI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eICU external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143/12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0.535 (0.381–0.697)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0.612 (0.465–0.756)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0.666 (0.514–0.794)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0.131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0.078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-0.630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0.885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NLR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MIMIC-IV apparent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426/51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0.672 (0.597–0.743)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0.676 (0.601–0.744)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0.704 (0.631–0.775)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0.032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0.100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0.107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1.089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NLR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eICU external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143/12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0.535 (0.381–0.697)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0.572 (0.414–0.735)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0.646 (0.500–0.786)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0.112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0.078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-0.746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0.814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MLR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MIMIC-IV apparent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422/50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0.666 (0.588–0.736)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0.674 (0.604–0.747)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0.685 (0.615–0.755)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0.020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0.100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0.108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1.089</w:t>
            </w:r>
          </w:p>
        </w:tc>
      </w:tr>
      <w:tr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MLR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eICU external</w:t>
            </w:r>
          </w:p>
        </w:tc>
        <w:tc>
          <w:tcPr>
            <w:tcW w:type="dxa" w:w="1008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167/15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0.589 (0.441–0.729)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0.594 (0.452–0.723)</w:t>
            </w:r>
          </w:p>
        </w:tc>
        <w:tc>
          <w:tcPr>
            <w:tcW w:type="dxa" w:w="194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0.599 (0.453–0.731)</w:t>
            </w:r>
          </w:p>
        </w:tc>
        <w:tc>
          <w:tcPr>
            <w:tcW w:type="dxa" w:w="936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0.010</w:t>
            </w:r>
          </w:p>
        </w:tc>
        <w:tc>
          <w:tcPr>
            <w:tcW w:type="dxa" w:w="1094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0.084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-1.117</w:t>
            </w:r>
          </w:p>
        </w:tc>
        <w:tc>
          <w:tcPr>
            <w:tcW w:type="dxa" w:w="1483"/>
            <w:vAlign w:val="center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0.602</w:t>
            </w:r>
          </w:p>
        </w:tc>
      </w:tr>
    </w:tbl>
    <w:p>
      <w:pPr>
        <w:spacing w:before="80" w:after="0"/>
      </w:pPr>
      <w:r>
        <w:rPr>
          <w:rFonts w:ascii="Times New Roman" w:hAnsi="Times New Roman"/>
          <w:b/>
          <w:sz w:val="16"/>
        </w:rPr>
        <w:t xml:space="preserve">Notes: </w:t>
      </w:r>
      <w:r>
        <w:rPr>
          <w:rFonts w:ascii="Times New Roman" w:hAnsi="Times New Roman"/>
          <w:sz w:val="16"/>
        </w:rPr>
        <w:t>The clinical model included age, sex, and TG18 Grade III disease. The baseline model added the log-transformed first available index value; the trajectory model added both baseline value and log-scale slope. MIMIC-IV results represent apparent development performance; eICU results represent external evaluation of MIMIC-trained models without refitting. Delta AUC is descriptive and is the absolute difference between the clinical-plus-trajectory and clinical models. Abbreviations: AUC, area under the receiver operating characteristic curve; CI, confidence interval; eICU, eICU Collaborative Research Database; MIMIC-IV, Medical Information Mart for Intensive Care IV; MLR, monocyte-to-lymphocyte ratio; NLR, neutrophil-to-lymphocyte ratio; SIRI, systemic inflammation response index; TG18, Tokyo Guidelines 2018.</w:t>
      </w:r>
    </w:p>
    <w:sectPr w:rsidR="00FC693F" w:rsidRPr="0006063C" w:rsidSect="00034616">
      <w:pgSz w:w="15840" w:h="12240" w:orient="landscape"/>
      <w:pgMar w:top="792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