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after="80"/>
        <w:jc w:val="left"/>
      </w:pPr>
      <w:r>
        <w:rPr>
          <w:rFonts w:ascii="Times New Roman" w:hAnsi="Times New Roman"/>
          <w:b/>
          <w:sz w:val="21"/>
        </w:rPr>
        <w:t>Table 2. Adjusted associations of inflammatory-index features with hospital mortality</w:t>
      </w:r>
    </w:p>
    <w:tbl>
      <w:tblPr>
        <w:tblW w:type="auto" w:w="0"/>
        <w:jc w:val="center"/>
        <w:tblLayout w:type="fixed"/>
        <w:tblLook w:firstColumn="1" w:firstRow="1" w:lastColumn="0" w:lastRow="0" w:noHBand="0" w:noVBand="1" w:val="04A0"/>
        <w:tblBorders>
          <w:top w:val="single" w:sz="8" w:color="000000"/>
          <w:bottom w:val="single" w:sz="8" w:color="000000"/>
          <w:insideH w:val="single" w:sz="4" w:color="B7B7B7"/>
          <w:left w:val="nil" w:sz="0" w:color="FFFFFF"/>
          <w:right w:val="nil" w:sz="0" w:color="FFFFFF"/>
          <w:insideV w:val="nil" w:sz="0" w:color="FFFFFF"/>
        </w:tblBorders>
      </w:tblPr>
      <w:tblGrid>
        <w:gridCol w:w="2057"/>
        <w:gridCol w:w="2057"/>
        <w:gridCol w:w="2057"/>
        <w:gridCol w:w="2057"/>
        <w:gridCol w:w="2057"/>
        <w:gridCol w:w="2057"/>
        <w:gridCol w:w="2057"/>
      </w:tblGrid>
      <w:tr>
        <w:trPr>
          <w:tblHeader w:val="true"/>
        </w:trPr>
        <w:tc>
          <w:tcPr>
            <w:tcW w:type="dxa" w:w="2405"/>
            <w:vAlign w:val="center"/>
            <w:tcMar>
              <w:top w:w="65" w:type="dxa"/>
              <w:start w:w="75" w:type="dxa"/>
              <w:bottom w:w="65" w:type="dxa"/>
              <w:end w:w="75" w:type="dxa"/>
            </w:tcMar>
            <w:shd w:fill="D9E2F3"/>
          </w:tcPr>
          <w:p>
            <w:pPr>
              <w:jc w:val="center"/>
            </w:pPr>
            <w:r>
              <w:rPr>
                <w:rFonts w:ascii="Times New Roman" w:hAnsi="Times New Roman"/>
                <w:b/>
                <w:sz w:val="16"/>
              </w:rPr>
              <w:t>Index</w:t>
            </w:r>
          </w:p>
        </w:tc>
        <w:tc>
          <w:tcPr>
            <w:tcW w:type="dxa" w:w="1843"/>
            <w:vAlign w:val="center"/>
            <w:tcMar>
              <w:top w:w="65" w:type="dxa"/>
              <w:start w:w="75" w:type="dxa"/>
              <w:bottom w:w="65" w:type="dxa"/>
              <w:end w:w="75" w:type="dxa"/>
            </w:tcMar>
            <w:shd w:fill="D9E2F3"/>
          </w:tcPr>
          <w:p>
            <w:pPr>
              <w:jc w:val="center"/>
            </w:pPr>
            <w:r>
              <w:rPr>
                <w:rFonts w:ascii="Times New Roman" w:hAnsi="Times New Roman"/>
                <w:b/>
                <w:sz w:val="16"/>
              </w:rPr>
              <w:t>Dataset</w:t>
            </w:r>
          </w:p>
        </w:tc>
        <w:tc>
          <w:tcPr>
            <w:tcW w:type="dxa" w:w="2160"/>
            <w:vAlign w:val="center"/>
            <w:tcMar>
              <w:top w:w="65" w:type="dxa"/>
              <w:start w:w="75" w:type="dxa"/>
              <w:bottom w:w="65" w:type="dxa"/>
              <w:end w:w="75" w:type="dxa"/>
            </w:tcMar>
            <w:shd w:fill="D9E2F3"/>
          </w:tcPr>
          <w:p>
            <w:pPr>
              <w:jc w:val="center"/>
            </w:pPr>
            <w:r>
              <w:rPr>
                <w:rFonts w:ascii="Times New Roman" w:hAnsi="Times New Roman"/>
                <w:b/>
                <w:sz w:val="16"/>
              </w:rPr>
              <w:t>Trajectory feature</w:t>
            </w:r>
          </w:p>
        </w:tc>
        <w:tc>
          <w:tcPr>
            <w:tcW w:type="dxa" w:w="2880"/>
            <w:vAlign w:val="center"/>
            <w:tcMar>
              <w:top w:w="65" w:type="dxa"/>
              <w:start w:w="75" w:type="dxa"/>
              <w:bottom w:w="65" w:type="dxa"/>
              <w:end w:w="75" w:type="dxa"/>
            </w:tcMar>
            <w:shd w:fill="D9E2F3"/>
          </w:tcPr>
          <w:p>
            <w:pPr>
              <w:jc w:val="center"/>
            </w:pPr>
            <w:r>
              <w:rPr>
                <w:rFonts w:ascii="Times New Roman" w:hAnsi="Times New Roman"/>
                <w:b/>
                <w:sz w:val="16"/>
              </w:rPr>
              <w:t>Estimator</w:t>
            </w:r>
          </w:p>
        </w:tc>
        <w:tc>
          <w:tcPr>
            <w:tcW w:type="dxa" w:w="1354"/>
            <w:vAlign w:val="center"/>
            <w:tcMar>
              <w:top w:w="65" w:type="dxa"/>
              <w:start w:w="75" w:type="dxa"/>
              <w:bottom w:w="65" w:type="dxa"/>
              <w:end w:w="75" w:type="dxa"/>
            </w:tcMar>
            <w:shd w:fill="D9E2F3"/>
          </w:tcPr>
          <w:p>
            <w:pPr>
              <w:jc w:val="center"/>
            </w:pPr>
            <w:r>
              <w:rPr>
                <w:rFonts w:ascii="Times New Roman" w:hAnsi="Times New Roman"/>
                <w:b/>
                <w:sz w:val="16"/>
              </w:rPr>
              <w:t>n/deaths</w:t>
            </w:r>
          </w:p>
        </w:tc>
        <w:tc>
          <w:tcPr>
            <w:tcW w:type="dxa" w:w="2635"/>
            <w:vAlign w:val="center"/>
            <w:tcMar>
              <w:top w:w="65" w:type="dxa"/>
              <w:start w:w="75" w:type="dxa"/>
              <w:bottom w:w="65" w:type="dxa"/>
              <w:end w:w="75" w:type="dxa"/>
            </w:tcMar>
            <w:shd w:fill="D9E2F3"/>
          </w:tcPr>
          <w:p>
            <w:pPr>
              <w:jc w:val="center"/>
            </w:pPr>
            <w:r>
              <w:rPr>
                <w:rFonts w:ascii="Times New Roman" w:hAnsi="Times New Roman"/>
                <w:b/>
                <w:sz w:val="16"/>
              </w:rPr>
              <w:t>Adjusted OR (95% CI)</w:t>
            </w:r>
          </w:p>
        </w:tc>
        <w:tc>
          <w:tcPr>
            <w:tcW w:type="dxa" w:w="1123"/>
            <w:vAlign w:val="center"/>
            <w:tcMar>
              <w:top w:w="65" w:type="dxa"/>
              <w:start w:w="75" w:type="dxa"/>
              <w:bottom w:w="65" w:type="dxa"/>
              <w:end w:w="75" w:type="dxa"/>
            </w:tcMar>
            <w:shd w:fill="D9E2F3"/>
          </w:tcPr>
          <w:p>
            <w:pPr>
              <w:jc w:val="center"/>
            </w:pPr>
            <w:r>
              <w:rPr>
                <w:rFonts w:ascii="Times New Roman" w:hAnsi="Times New Roman"/>
                <w:b/>
                <w:sz w:val="16"/>
              </w:rPr>
              <w:t>P value</w:t>
            </w:r>
          </w:p>
        </w:tc>
      </w:tr>
      <w:tr>
        <w:tc>
          <w:tcPr>
            <w:tcW w:type="dxa" w:w="2405"/>
            <w:vAlign w:val="center"/>
            <w:tcMar>
              <w:top w:w="65" w:type="dxa"/>
              <w:start w:w="75" w:type="dxa"/>
              <w:bottom w:w="65" w:type="dxa"/>
              <w:end w:w="75" w:type="dxa"/>
            </w:tcMar>
          </w:tcPr>
          <w:p>
            <w:pPr>
              <w:spacing w:after="0"/>
              <w:jc w:val="left"/>
            </w:pPr>
            <w:r>
              <w:rPr>
                <w:rFonts w:ascii="Times New Roman" w:hAnsi="Times New Roman"/>
                <w:sz w:val="16"/>
              </w:rPr>
              <w:t>SIRI</w:t>
            </w:r>
          </w:p>
        </w:tc>
        <w:tc>
          <w:tcPr>
            <w:tcW w:type="dxa" w:w="1843"/>
            <w:vAlign w:val="center"/>
            <w:tcMar>
              <w:top w:w="65" w:type="dxa"/>
              <w:start w:w="75" w:type="dxa"/>
              <w:bottom w:w="65" w:type="dxa"/>
              <w:end w:w="75" w:type="dxa"/>
            </w:tcMar>
          </w:tcPr>
          <w:p>
            <w:pPr>
              <w:spacing w:after="0"/>
              <w:jc w:val="center"/>
            </w:pPr>
            <w:r>
              <w:rPr>
                <w:rFonts w:ascii="Times New Roman" w:hAnsi="Times New Roman"/>
                <w:sz w:val="16"/>
              </w:rPr>
              <w:t>MIMIC-IV</w:t>
            </w:r>
          </w:p>
        </w:tc>
        <w:tc>
          <w:tcPr>
            <w:tcW w:type="dxa" w:w="2160"/>
            <w:vAlign w:val="center"/>
            <w:tcMar>
              <w:top w:w="65" w:type="dxa"/>
              <w:start w:w="75" w:type="dxa"/>
              <w:bottom w:w="65" w:type="dxa"/>
              <w:end w:w="75" w:type="dxa"/>
            </w:tcMar>
          </w:tcPr>
          <w:p>
            <w:pPr>
              <w:spacing w:after="0"/>
              <w:jc w:val="center"/>
            </w:pPr>
            <w:r>
              <w:rPr>
                <w:rFonts w:ascii="Times New Roman" w:hAnsi="Times New Roman"/>
                <w:sz w:val="16"/>
              </w:rPr>
              <w:t>Baseline value</w:t>
            </w:r>
          </w:p>
        </w:tc>
        <w:tc>
          <w:tcPr>
            <w:tcW w:type="dxa" w:w="2880"/>
            <w:vAlign w:val="center"/>
            <w:tcMar>
              <w:top w:w="65" w:type="dxa"/>
              <w:start w:w="75" w:type="dxa"/>
              <w:bottom w:w="65" w:type="dxa"/>
              <w:end w:w="75" w:type="dxa"/>
            </w:tcMar>
          </w:tcPr>
          <w:p>
            <w:pPr>
              <w:spacing w:after="0"/>
              <w:jc w:val="center"/>
            </w:pPr>
            <w:r>
              <w:rPr>
                <w:rFonts w:ascii="Times New Roman" w:hAnsi="Times New Roman"/>
                <w:sz w:val="16"/>
              </w:rPr>
              <w:t>Maximum-likelihood logistic regression</w:t>
            </w:r>
          </w:p>
        </w:tc>
        <w:tc>
          <w:tcPr>
            <w:tcW w:type="dxa" w:w="1354"/>
            <w:vAlign w:val="center"/>
            <w:tcMar>
              <w:top w:w="65" w:type="dxa"/>
              <w:start w:w="75" w:type="dxa"/>
              <w:bottom w:w="65" w:type="dxa"/>
              <w:end w:w="75" w:type="dxa"/>
            </w:tcMar>
          </w:tcPr>
          <w:p>
            <w:pPr>
              <w:spacing w:after="0"/>
              <w:jc w:val="center"/>
            </w:pPr>
            <w:r>
              <w:rPr>
                <w:rFonts w:ascii="Times New Roman" w:hAnsi="Times New Roman"/>
                <w:sz w:val="16"/>
              </w:rPr>
              <w:t>422/50</w:t>
            </w:r>
          </w:p>
        </w:tc>
        <w:tc>
          <w:tcPr>
            <w:tcW w:type="dxa" w:w="2635"/>
            <w:vAlign w:val="center"/>
            <w:tcMar>
              <w:top w:w="65" w:type="dxa"/>
              <w:start w:w="75" w:type="dxa"/>
              <w:bottom w:w="65" w:type="dxa"/>
              <w:end w:w="75" w:type="dxa"/>
            </w:tcMar>
          </w:tcPr>
          <w:p>
            <w:pPr>
              <w:spacing w:after="0"/>
              <w:jc w:val="center"/>
            </w:pPr>
            <w:r>
              <w:rPr>
                <w:rFonts w:ascii="Times New Roman" w:hAnsi="Times New Roman"/>
                <w:sz w:val="16"/>
              </w:rPr>
              <w:t>1.61 (1.15–2.26)</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0.005</w:t>
            </w:r>
          </w:p>
        </w:tc>
      </w:tr>
      <w:tr>
        <w:tc>
          <w:tcPr>
            <w:tcW w:type="dxa" w:w="2405"/>
            <w:vAlign w:val="center"/>
            <w:tcMar>
              <w:top w:w="65" w:type="dxa"/>
              <w:start w:w="75" w:type="dxa"/>
              <w:bottom w:w="65" w:type="dxa"/>
              <w:end w:w="75" w:type="dxa"/>
            </w:tcMar>
          </w:tcPr>
          <w:p>
            <w:pPr>
              <w:spacing w:after="0"/>
              <w:jc w:val="left"/>
            </w:pPr>
            <w:r>
              <w:rPr>
                <w:rFonts w:ascii="Times New Roman" w:hAnsi="Times New Roman"/>
                <w:sz w:val="16"/>
              </w:rPr>
              <w:t>SIRI</w:t>
            </w:r>
          </w:p>
        </w:tc>
        <w:tc>
          <w:tcPr>
            <w:tcW w:type="dxa" w:w="1843"/>
            <w:vAlign w:val="center"/>
            <w:tcMar>
              <w:top w:w="65" w:type="dxa"/>
              <w:start w:w="75" w:type="dxa"/>
              <w:bottom w:w="65" w:type="dxa"/>
              <w:end w:w="75" w:type="dxa"/>
            </w:tcMar>
          </w:tcPr>
          <w:p>
            <w:pPr>
              <w:spacing w:after="0"/>
              <w:jc w:val="center"/>
            </w:pPr>
            <w:r>
              <w:rPr>
                <w:rFonts w:ascii="Times New Roman" w:hAnsi="Times New Roman"/>
                <w:sz w:val="16"/>
              </w:rPr>
              <w:t>MIMIC-IV</w:t>
            </w:r>
          </w:p>
        </w:tc>
        <w:tc>
          <w:tcPr>
            <w:tcW w:type="dxa" w:w="2160"/>
            <w:vAlign w:val="center"/>
            <w:tcMar>
              <w:top w:w="65" w:type="dxa"/>
              <w:start w:w="75" w:type="dxa"/>
              <w:bottom w:w="65" w:type="dxa"/>
              <w:end w:w="75" w:type="dxa"/>
            </w:tcMar>
          </w:tcPr>
          <w:p>
            <w:pPr>
              <w:spacing w:after="0"/>
              <w:jc w:val="center"/>
            </w:pPr>
            <w:r>
              <w:rPr>
                <w:rFonts w:ascii="Times New Roman" w:hAnsi="Times New Roman"/>
                <w:sz w:val="16"/>
              </w:rPr>
              <w:t>Trajectory slope</w:t>
            </w:r>
          </w:p>
        </w:tc>
        <w:tc>
          <w:tcPr>
            <w:tcW w:type="dxa" w:w="2880"/>
            <w:vAlign w:val="center"/>
            <w:tcMar>
              <w:top w:w="65" w:type="dxa"/>
              <w:start w:w="75" w:type="dxa"/>
              <w:bottom w:w="65" w:type="dxa"/>
              <w:end w:w="75" w:type="dxa"/>
            </w:tcMar>
          </w:tcPr>
          <w:p>
            <w:pPr>
              <w:spacing w:after="0"/>
              <w:jc w:val="center"/>
            </w:pPr>
            <w:r>
              <w:rPr>
                <w:rFonts w:ascii="Times New Roman" w:hAnsi="Times New Roman"/>
                <w:sz w:val="16"/>
              </w:rPr>
              <w:t>Maximum-likelihood logistic regression</w:t>
            </w:r>
          </w:p>
        </w:tc>
        <w:tc>
          <w:tcPr>
            <w:tcW w:type="dxa" w:w="1354"/>
            <w:vAlign w:val="center"/>
            <w:tcMar>
              <w:top w:w="65" w:type="dxa"/>
              <w:start w:w="75" w:type="dxa"/>
              <w:bottom w:w="65" w:type="dxa"/>
              <w:end w:w="75" w:type="dxa"/>
            </w:tcMar>
          </w:tcPr>
          <w:p>
            <w:pPr>
              <w:spacing w:after="0"/>
              <w:jc w:val="center"/>
            </w:pPr>
            <w:r>
              <w:rPr>
                <w:rFonts w:ascii="Times New Roman" w:hAnsi="Times New Roman"/>
                <w:sz w:val="16"/>
              </w:rPr>
              <w:t>422/50</w:t>
            </w:r>
          </w:p>
        </w:tc>
        <w:tc>
          <w:tcPr>
            <w:tcW w:type="dxa" w:w="2635"/>
            <w:vAlign w:val="center"/>
            <w:tcMar>
              <w:top w:w="65" w:type="dxa"/>
              <w:start w:w="75" w:type="dxa"/>
              <w:bottom w:w="65" w:type="dxa"/>
              <w:end w:w="75" w:type="dxa"/>
            </w:tcMar>
          </w:tcPr>
          <w:p>
            <w:pPr>
              <w:spacing w:after="0"/>
              <w:jc w:val="center"/>
            </w:pPr>
            <w:r>
              <w:rPr>
                <w:rFonts w:ascii="Times New Roman" w:hAnsi="Times New Roman"/>
                <w:sz w:val="16"/>
              </w:rPr>
              <w:t>1.62 (1.16–2.24)</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0.004</w:t>
            </w:r>
          </w:p>
        </w:tc>
      </w:tr>
      <w:tr>
        <w:tc>
          <w:tcPr>
            <w:tcW w:type="dxa" w:w="2405"/>
            <w:vAlign w:val="center"/>
            <w:tcMar>
              <w:top w:w="65" w:type="dxa"/>
              <w:start w:w="75" w:type="dxa"/>
              <w:bottom w:w="65" w:type="dxa"/>
              <w:end w:w="75" w:type="dxa"/>
            </w:tcMar>
          </w:tcPr>
          <w:p>
            <w:pPr>
              <w:spacing w:after="0"/>
              <w:jc w:val="left"/>
            </w:pPr>
            <w:r>
              <w:rPr>
                <w:rFonts w:ascii="Times New Roman" w:hAnsi="Times New Roman"/>
                <w:sz w:val="16"/>
              </w:rPr>
              <w:t>SIRI</w:t>
            </w:r>
          </w:p>
        </w:tc>
        <w:tc>
          <w:tcPr>
            <w:tcW w:type="dxa" w:w="1843"/>
            <w:vAlign w:val="center"/>
            <w:tcMar>
              <w:top w:w="65" w:type="dxa"/>
              <w:start w:w="75" w:type="dxa"/>
              <w:bottom w:w="65" w:type="dxa"/>
              <w:end w:w="75" w:type="dxa"/>
            </w:tcMar>
          </w:tcPr>
          <w:p>
            <w:pPr>
              <w:spacing w:after="0"/>
              <w:jc w:val="center"/>
            </w:pPr>
            <w:r>
              <w:rPr>
                <w:rFonts w:ascii="Times New Roman" w:hAnsi="Times New Roman"/>
                <w:sz w:val="16"/>
              </w:rPr>
              <w:t>eICU</w:t>
            </w:r>
          </w:p>
        </w:tc>
        <w:tc>
          <w:tcPr>
            <w:tcW w:type="dxa" w:w="2160"/>
            <w:vAlign w:val="center"/>
            <w:tcMar>
              <w:top w:w="65" w:type="dxa"/>
              <w:start w:w="75" w:type="dxa"/>
              <w:bottom w:w="65" w:type="dxa"/>
              <w:end w:w="75" w:type="dxa"/>
            </w:tcMar>
          </w:tcPr>
          <w:p>
            <w:pPr>
              <w:spacing w:after="0"/>
              <w:jc w:val="center"/>
            </w:pPr>
            <w:r>
              <w:rPr>
                <w:rFonts w:ascii="Times New Roman" w:hAnsi="Times New Roman"/>
                <w:sz w:val="16"/>
              </w:rPr>
              <w:t>Baseline value</w:t>
            </w:r>
          </w:p>
        </w:tc>
        <w:tc>
          <w:tcPr>
            <w:tcW w:type="dxa" w:w="2880"/>
            <w:vAlign w:val="center"/>
            <w:tcMar>
              <w:top w:w="65" w:type="dxa"/>
              <w:start w:w="75" w:type="dxa"/>
              <w:bottom w:w="65" w:type="dxa"/>
              <w:end w:w="75" w:type="dxa"/>
            </w:tcMar>
          </w:tcPr>
          <w:p>
            <w:pPr>
              <w:spacing w:after="0"/>
              <w:jc w:val="center"/>
            </w:pPr>
            <w:r>
              <w:rPr>
                <w:rFonts w:ascii="Times New Roman" w:hAnsi="Times New Roman"/>
                <w:sz w:val="16"/>
              </w:rPr>
              <w:t>Firth penalized logistic regression</w:t>
            </w:r>
          </w:p>
        </w:tc>
        <w:tc>
          <w:tcPr>
            <w:tcW w:type="dxa" w:w="1354"/>
            <w:vAlign w:val="center"/>
            <w:tcMar>
              <w:top w:w="65" w:type="dxa"/>
              <w:start w:w="75" w:type="dxa"/>
              <w:bottom w:w="65" w:type="dxa"/>
              <w:end w:w="75" w:type="dxa"/>
            </w:tcMar>
          </w:tcPr>
          <w:p>
            <w:pPr>
              <w:spacing w:after="0"/>
              <w:jc w:val="center"/>
            </w:pPr>
            <w:r>
              <w:rPr>
                <w:rFonts w:ascii="Times New Roman" w:hAnsi="Times New Roman"/>
                <w:sz w:val="16"/>
              </w:rPr>
              <w:t>143/12</w:t>
            </w:r>
          </w:p>
        </w:tc>
        <w:tc>
          <w:tcPr>
            <w:tcW w:type="dxa" w:w="2635"/>
            <w:vAlign w:val="center"/>
            <w:tcMar>
              <w:top w:w="65" w:type="dxa"/>
              <w:start w:w="75" w:type="dxa"/>
              <w:bottom w:w="65" w:type="dxa"/>
              <w:end w:w="75" w:type="dxa"/>
            </w:tcMar>
          </w:tcPr>
          <w:p>
            <w:pPr>
              <w:spacing w:after="0"/>
              <w:jc w:val="center"/>
            </w:pPr>
            <w:r>
              <w:rPr>
                <w:rFonts w:ascii="Times New Roman" w:hAnsi="Times New Roman"/>
                <w:sz w:val="16"/>
              </w:rPr>
              <w:t>2.24 (1.14–4.75)</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0.019</w:t>
            </w:r>
          </w:p>
        </w:tc>
      </w:tr>
      <w:tr>
        <w:tc>
          <w:tcPr>
            <w:tcW w:type="dxa" w:w="2405"/>
            <w:vAlign w:val="center"/>
            <w:tcMar>
              <w:top w:w="65" w:type="dxa"/>
              <w:start w:w="75" w:type="dxa"/>
              <w:bottom w:w="65" w:type="dxa"/>
              <w:end w:w="75" w:type="dxa"/>
            </w:tcMar>
          </w:tcPr>
          <w:p>
            <w:pPr>
              <w:spacing w:after="0"/>
              <w:jc w:val="left"/>
            </w:pPr>
            <w:r>
              <w:rPr>
                <w:rFonts w:ascii="Times New Roman" w:hAnsi="Times New Roman"/>
                <w:sz w:val="16"/>
              </w:rPr>
              <w:t>SIRI</w:t>
            </w:r>
          </w:p>
        </w:tc>
        <w:tc>
          <w:tcPr>
            <w:tcW w:type="dxa" w:w="1843"/>
            <w:vAlign w:val="center"/>
            <w:tcMar>
              <w:top w:w="65" w:type="dxa"/>
              <w:start w:w="75" w:type="dxa"/>
              <w:bottom w:w="65" w:type="dxa"/>
              <w:end w:w="75" w:type="dxa"/>
            </w:tcMar>
          </w:tcPr>
          <w:p>
            <w:pPr>
              <w:spacing w:after="0"/>
              <w:jc w:val="center"/>
            </w:pPr>
            <w:r>
              <w:rPr>
                <w:rFonts w:ascii="Times New Roman" w:hAnsi="Times New Roman"/>
                <w:sz w:val="16"/>
              </w:rPr>
              <w:t>eICU</w:t>
            </w:r>
          </w:p>
        </w:tc>
        <w:tc>
          <w:tcPr>
            <w:tcW w:type="dxa" w:w="2160"/>
            <w:vAlign w:val="center"/>
            <w:tcMar>
              <w:top w:w="65" w:type="dxa"/>
              <w:start w:w="75" w:type="dxa"/>
              <w:bottom w:w="65" w:type="dxa"/>
              <w:end w:w="75" w:type="dxa"/>
            </w:tcMar>
          </w:tcPr>
          <w:p>
            <w:pPr>
              <w:spacing w:after="0"/>
              <w:jc w:val="center"/>
            </w:pPr>
            <w:r>
              <w:rPr>
                <w:rFonts w:ascii="Times New Roman" w:hAnsi="Times New Roman"/>
                <w:sz w:val="16"/>
              </w:rPr>
              <w:t>Trajectory slope</w:t>
            </w:r>
          </w:p>
        </w:tc>
        <w:tc>
          <w:tcPr>
            <w:tcW w:type="dxa" w:w="2880"/>
            <w:vAlign w:val="center"/>
            <w:tcMar>
              <w:top w:w="65" w:type="dxa"/>
              <w:start w:w="75" w:type="dxa"/>
              <w:bottom w:w="65" w:type="dxa"/>
              <w:end w:w="75" w:type="dxa"/>
            </w:tcMar>
          </w:tcPr>
          <w:p>
            <w:pPr>
              <w:spacing w:after="0"/>
              <w:jc w:val="center"/>
            </w:pPr>
            <w:r>
              <w:rPr>
                <w:rFonts w:ascii="Times New Roman" w:hAnsi="Times New Roman"/>
                <w:sz w:val="16"/>
              </w:rPr>
              <w:t>Firth penalized logistic regression</w:t>
            </w:r>
          </w:p>
        </w:tc>
        <w:tc>
          <w:tcPr>
            <w:tcW w:type="dxa" w:w="1354"/>
            <w:vAlign w:val="center"/>
            <w:tcMar>
              <w:top w:w="65" w:type="dxa"/>
              <w:start w:w="75" w:type="dxa"/>
              <w:bottom w:w="65" w:type="dxa"/>
              <w:end w:w="75" w:type="dxa"/>
            </w:tcMar>
          </w:tcPr>
          <w:p>
            <w:pPr>
              <w:spacing w:after="0"/>
              <w:jc w:val="center"/>
            </w:pPr>
            <w:r>
              <w:rPr>
                <w:rFonts w:ascii="Times New Roman" w:hAnsi="Times New Roman"/>
                <w:sz w:val="16"/>
              </w:rPr>
              <w:t>143/12</w:t>
            </w:r>
          </w:p>
        </w:tc>
        <w:tc>
          <w:tcPr>
            <w:tcW w:type="dxa" w:w="2635"/>
            <w:vAlign w:val="center"/>
            <w:tcMar>
              <w:top w:w="65" w:type="dxa"/>
              <w:start w:w="75" w:type="dxa"/>
              <w:bottom w:w="65" w:type="dxa"/>
              <w:end w:w="75" w:type="dxa"/>
            </w:tcMar>
          </w:tcPr>
          <w:p>
            <w:pPr>
              <w:spacing w:after="0"/>
              <w:jc w:val="center"/>
            </w:pPr>
            <w:r>
              <w:rPr>
                <w:rFonts w:ascii="Times New Roman" w:hAnsi="Times New Roman"/>
                <w:sz w:val="16"/>
              </w:rPr>
              <w:t>2.40 (1.07–5.62)</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0.033</w:t>
            </w:r>
          </w:p>
        </w:tc>
      </w:tr>
      <w:tr>
        <w:tc>
          <w:tcPr>
            <w:tcW w:type="dxa" w:w="2405"/>
            <w:vAlign w:val="center"/>
            <w:tcMar>
              <w:top w:w="65" w:type="dxa"/>
              <w:start w:w="75" w:type="dxa"/>
              <w:bottom w:w="65" w:type="dxa"/>
              <w:end w:w="75" w:type="dxa"/>
            </w:tcMar>
          </w:tcPr>
          <w:p>
            <w:pPr>
              <w:spacing w:after="0"/>
              <w:jc w:val="left"/>
            </w:pPr>
            <w:r>
              <w:rPr>
                <w:rFonts w:ascii="Times New Roman" w:hAnsi="Times New Roman"/>
                <w:sz w:val="16"/>
              </w:rPr>
              <w:t>NLR</w:t>
            </w:r>
          </w:p>
        </w:tc>
        <w:tc>
          <w:tcPr>
            <w:tcW w:type="dxa" w:w="1843"/>
            <w:vAlign w:val="center"/>
            <w:tcMar>
              <w:top w:w="65" w:type="dxa"/>
              <w:start w:w="75" w:type="dxa"/>
              <w:bottom w:w="65" w:type="dxa"/>
              <w:end w:w="75" w:type="dxa"/>
            </w:tcMar>
          </w:tcPr>
          <w:p>
            <w:pPr>
              <w:spacing w:after="0"/>
              <w:jc w:val="center"/>
            </w:pPr>
            <w:r>
              <w:rPr>
                <w:rFonts w:ascii="Times New Roman" w:hAnsi="Times New Roman"/>
                <w:sz w:val="16"/>
              </w:rPr>
              <w:t>MIMIC-IV</w:t>
            </w:r>
          </w:p>
        </w:tc>
        <w:tc>
          <w:tcPr>
            <w:tcW w:type="dxa" w:w="2160"/>
            <w:vAlign w:val="center"/>
            <w:tcMar>
              <w:top w:w="65" w:type="dxa"/>
              <w:start w:w="75" w:type="dxa"/>
              <w:bottom w:w="65" w:type="dxa"/>
              <w:end w:w="75" w:type="dxa"/>
            </w:tcMar>
          </w:tcPr>
          <w:p>
            <w:pPr>
              <w:spacing w:after="0"/>
              <w:jc w:val="center"/>
            </w:pPr>
            <w:r>
              <w:rPr>
                <w:rFonts w:ascii="Times New Roman" w:hAnsi="Times New Roman"/>
                <w:sz w:val="16"/>
              </w:rPr>
              <w:t>Baseline value</w:t>
            </w:r>
          </w:p>
        </w:tc>
        <w:tc>
          <w:tcPr>
            <w:tcW w:type="dxa" w:w="2880"/>
            <w:vAlign w:val="center"/>
            <w:tcMar>
              <w:top w:w="65" w:type="dxa"/>
              <w:start w:w="75" w:type="dxa"/>
              <w:bottom w:w="65" w:type="dxa"/>
              <w:end w:w="75" w:type="dxa"/>
            </w:tcMar>
          </w:tcPr>
          <w:p>
            <w:pPr>
              <w:spacing w:after="0"/>
              <w:jc w:val="center"/>
            </w:pPr>
            <w:r>
              <w:rPr>
                <w:rFonts w:ascii="Times New Roman" w:hAnsi="Times New Roman"/>
                <w:sz w:val="16"/>
              </w:rPr>
              <w:t>Maximum-likelihood logistic regression</w:t>
            </w:r>
          </w:p>
        </w:tc>
        <w:tc>
          <w:tcPr>
            <w:tcW w:type="dxa" w:w="1354"/>
            <w:vAlign w:val="center"/>
            <w:tcMar>
              <w:top w:w="65" w:type="dxa"/>
              <w:start w:w="75" w:type="dxa"/>
              <w:bottom w:w="65" w:type="dxa"/>
              <w:end w:w="75" w:type="dxa"/>
            </w:tcMar>
          </w:tcPr>
          <w:p>
            <w:pPr>
              <w:spacing w:after="0"/>
              <w:jc w:val="center"/>
            </w:pPr>
            <w:r>
              <w:rPr>
                <w:rFonts w:ascii="Times New Roman" w:hAnsi="Times New Roman"/>
                <w:sz w:val="16"/>
              </w:rPr>
              <w:t>426/51</w:t>
            </w:r>
          </w:p>
        </w:tc>
        <w:tc>
          <w:tcPr>
            <w:tcW w:type="dxa" w:w="2635"/>
            <w:vAlign w:val="center"/>
            <w:tcMar>
              <w:top w:w="65" w:type="dxa"/>
              <w:start w:w="75" w:type="dxa"/>
              <w:bottom w:w="65" w:type="dxa"/>
              <w:end w:w="75" w:type="dxa"/>
            </w:tcMar>
          </w:tcPr>
          <w:p>
            <w:pPr>
              <w:spacing w:after="0"/>
              <w:jc w:val="center"/>
            </w:pPr>
            <w:r>
              <w:rPr>
                <w:rFonts w:ascii="Times New Roman" w:hAnsi="Times New Roman"/>
                <w:sz w:val="16"/>
              </w:rPr>
              <w:t>1.41 (1.00–1.98)</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0.051</w:t>
            </w:r>
          </w:p>
        </w:tc>
      </w:tr>
      <w:tr>
        <w:tc>
          <w:tcPr>
            <w:tcW w:type="dxa" w:w="2405"/>
            <w:vAlign w:val="center"/>
            <w:tcMar>
              <w:top w:w="65" w:type="dxa"/>
              <w:start w:w="75" w:type="dxa"/>
              <w:bottom w:w="65" w:type="dxa"/>
              <w:end w:w="75" w:type="dxa"/>
            </w:tcMar>
          </w:tcPr>
          <w:p>
            <w:pPr>
              <w:spacing w:after="0"/>
              <w:jc w:val="left"/>
            </w:pPr>
            <w:r>
              <w:rPr>
                <w:rFonts w:ascii="Times New Roman" w:hAnsi="Times New Roman"/>
                <w:sz w:val="16"/>
              </w:rPr>
              <w:t>NLR</w:t>
            </w:r>
          </w:p>
        </w:tc>
        <w:tc>
          <w:tcPr>
            <w:tcW w:type="dxa" w:w="1843"/>
            <w:vAlign w:val="center"/>
            <w:tcMar>
              <w:top w:w="65" w:type="dxa"/>
              <w:start w:w="75" w:type="dxa"/>
              <w:bottom w:w="65" w:type="dxa"/>
              <w:end w:w="75" w:type="dxa"/>
            </w:tcMar>
          </w:tcPr>
          <w:p>
            <w:pPr>
              <w:spacing w:after="0"/>
              <w:jc w:val="center"/>
            </w:pPr>
            <w:r>
              <w:rPr>
                <w:rFonts w:ascii="Times New Roman" w:hAnsi="Times New Roman"/>
                <w:sz w:val="16"/>
              </w:rPr>
              <w:t>MIMIC-IV</w:t>
            </w:r>
          </w:p>
        </w:tc>
        <w:tc>
          <w:tcPr>
            <w:tcW w:type="dxa" w:w="2160"/>
            <w:vAlign w:val="center"/>
            <w:tcMar>
              <w:top w:w="65" w:type="dxa"/>
              <w:start w:w="75" w:type="dxa"/>
              <w:bottom w:w="65" w:type="dxa"/>
              <w:end w:w="75" w:type="dxa"/>
            </w:tcMar>
          </w:tcPr>
          <w:p>
            <w:pPr>
              <w:spacing w:after="0"/>
              <w:jc w:val="center"/>
            </w:pPr>
            <w:r>
              <w:rPr>
                <w:rFonts w:ascii="Times New Roman" w:hAnsi="Times New Roman"/>
                <w:sz w:val="16"/>
              </w:rPr>
              <w:t>Trajectory slope</w:t>
            </w:r>
          </w:p>
        </w:tc>
        <w:tc>
          <w:tcPr>
            <w:tcW w:type="dxa" w:w="2880"/>
            <w:vAlign w:val="center"/>
            <w:tcMar>
              <w:top w:w="65" w:type="dxa"/>
              <w:start w:w="75" w:type="dxa"/>
              <w:bottom w:w="65" w:type="dxa"/>
              <w:end w:w="75" w:type="dxa"/>
            </w:tcMar>
          </w:tcPr>
          <w:p>
            <w:pPr>
              <w:spacing w:after="0"/>
              <w:jc w:val="center"/>
            </w:pPr>
            <w:r>
              <w:rPr>
                <w:rFonts w:ascii="Times New Roman" w:hAnsi="Times New Roman"/>
                <w:sz w:val="16"/>
              </w:rPr>
              <w:t>Maximum-likelihood logistic regression</w:t>
            </w:r>
          </w:p>
        </w:tc>
        <w:tc>
          <w:tcPr>
            <w:tcW w:type="dxa" w:w="1354"/>
            <w:vAlign w:val="center"/>
            <w:tcMar>
              <w:top w:w="65" w:type="dxa"/>
              <w:start w:w="75" w:type="dxa"/>
              <w:bottom w:w="65" w:type="dxa"/>
              <w:end w:w="75" w:type="dxa"/>
            </w:tcMar>
          </w:tcPr>
          <w:p>
            <w:pPr>
              <w:spacing w:after="0"/>
              <w:jc w:val="center"/>
            </w:pPr>
            <w:r>
              <w:rPr>
                <w:rFonts w:ascii="Times New Roman" w:hAnsi="Times New Roman"/>
                <w:sz w:val="16"/>
              </w:rPr>
              <w:t>426/51</w:t>
            </w:r>
          </w:p>
        </w:tc>
        <w:tc>
          <w:tcPr>
            <w:tcW w:type="dxa" w:w="2635"/>
            <w:vAlign w:val="center"/>
            <w:tcMar>
              <w:top w:w="65" w:type="dxa"/>
              <w:start w:w="75" w:type="dxa"/>
              <w:bottom w:w="65" w:type="dxa"/>
              <w:end w:w="75" w:type="dxa"/>
            </w:tcMar>
          </w:tcPr>
          <w:p>
            <w:pPr>
              <w:spacing w:after="0"/>
              <w:jc w:val="center"/>
            </w:pPr>
            <w:r>
              <w:rPr>
                <w:rFonts w:ascii="Times New Roman" w:hAnsi="Times New Roman"/>
                <w:sz w:val="16"/>
              </w:rPr>
              <w:t>1.38 (0.97–1.96)</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0.072</w:t>
            </w:r>
          </w:p>
        </w:tc>
      </w:tr>
      <w:tr>
        <w:tc>
          <w:tcPr>
            <w:tcW w:type="dxa" w:w="2405"/>
            <w:vAlign w:val="center"/>
            <w:tcMar>
              <w:top w:w="65" w:type="dxa"/>
              <w:start w:w="75" w:type="dxa"/>
              <w:bottom w:w="65" w:type="dxa"/>
              <w:end w:w="75" w:type="dxa"/>
            </w:tcMar>
          </w:tcPr>
          <w:p>
            <w:pPr>
              <w:spacing w:after="0"/>
              <w:jc w:val="left"/>
            </w:pPr>
            <w:r>
              <w:rPr>
                <w:rFonts w:ascii="Times New Roman" w:hAnsi="Times New Roman"/>
                <w:sz w:val="16"/>
              </w:rPr>
              <w:t>NLR</w:t>
            </w:r>
          </w:p>
        </w:tc>
        <w:tc>
          <w:tcPr>
            <w:tcW w:type="dxa" w:w="1843"/>
            <w:vAlign w:val="center"/>
            <w:tcMar>
              <w:top w:w="65" w:type="dxa"/>
              <w:start w:w="75" w:type="dxa"/>
              <w:bottom w:w="65" w:type="dxa"/>
              <w:end w:w="75" w:type="dxa"/>
            </w:tcMar>
          </w:tcPr>
          <w:p>
            <w:pPr>
              <w:spacing w:after="0"/>
              <w:jc w:val="center"/>
            </w:pPr>
            <w:r>
              <w:rPr>
                <w:rFonts w:ascii="Times New Roman" w:hAnsi="Times New Roman"/>
                <w:sz w:val="16"/>
              </w:rPr>
              <w:t>eICU</w:t>
            </w:r>
          </w:p>
        </w:tc>
        <w:tc>
          <w:tcPr>
            <w:tcW w:type="dxa" w:w="2160"/>
            <w:vAlign w:val="center"/>
            <w:tcMar>
              <w:top w:w="65" w:type="dxa"/>
              <w:start w:w="75" w:type="dxa"/>
              <w:bottom w:w="65" w:type="dxa"/>
              <w:end w:w="75" w:type="dxa"/>
            </w:tcMar>
          </w:tcPr>
          <w:p>
            <w:pPr>
              <w:spacing w:after="0"/>
              <w:jc w:val="center"/>
            </w:pPr>
            <w:r>
              <w:rPr>
                <w:rFonts w:ascii="Times New Roman" w:hAnsi="Times New Roman"/>
                <w:sz w:val="16"/>
              </w:rPr>
              <w:t>Baseline value</w:t>
            </w:r>
          </w:p>
        </w:tc>
        <w:tc>
          <w:tcPr>
            <w:tcW w:type="dxa" w:w="2880"/>
            <w:vAlign w:val="center"/>
            <w:tcMar>
              <w:top w:w="65" w:type="dxa"/>
              <w:start w:w="75" w:type="dxa"/>
              <w:bottom w:w="65" w:type="dxa"/>
              <w:end w:w="75" w:type="dxa"/>
            </w:tcMar>
          </w:tcPr>
          <w:p>
            <w:pPr>
              <w:spacing w:after="0"/>
              <w:jc w:val="center"/>
            </w:pPr>
            <w:r>
              <w:rPr>
                <w:rFonts w:ascii="Times New Roman" w:hAnsi="Times New Roman"/>
                <w:sz w:val="16"/>
              </w:rPr>
              <w:t>Firth penalized logistic regression</w:t>
            </w:r>
          </w:p>
        </w:tc>
        <w:tc>
          <w:tcPr>
            <w:tcW w:type="dxa" w:w="1354"/>
            <w:vAlign w:val="center"/>
            <w:tcMar>
              <w:top w:w="65" w:type="dxa"/>
              <w:start w:w="75" w:type="dxa"/>
              <w:bottom w:w="65" w:type="dxa"/>
              <w:end w:w="75" w:type="dxa"/>
            </w:tcMar>
          </w:tcPr>
          <w:p>
            <w:pPr>
              <w:spacing w:after="0"/>
              <w:jc w:val="center"/>
            </w:pPr>
            <w:r>
              <w:rPr>
                <w:rFonts w:ascii="Times New Roman" w:hAnsi="Times New Roman"/>
                <w:sz w:val="16"/>
              </w:rPr>
              <w:t>143/12</w:t>
            </w:r>
          </w:p>
        </w:tc>
        <w:tc>
          <w:tcPr>
            <w:tcW w:type="dxa" w:w="2635"/>
            <w:vAlign w:val="center"/>
            <w:tcMar>
              <w:top w:w="65" w:type="dxa"/>
              <w:start w:w="75" w:type="dxa"/>
              <w:bottom w:w="65" w:type="dxa"/>
              <w:end w:w="75" w:type="dxa"/>
            </w:tcMar>
          </w:tcPr>
          <w:p>
            <w:pPr>
              <w:spacing w:after="0"/>
              <w:jc w:val="center"/>
            </w:pPr>
            <w:r>
              <w:rPr>
                <w:rFonts w:ascii="Times New Roman" w:hAnsi="Times New Roman"/>
                <w:sz w:val="16"/>
              </w:rPr>
              <w:t>2.02 (1.07–4.13)</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0.031</w:t>
            </w:r>
          </w:p>
        </w:tc>
      </w:tr>
      <w:tr>
        <w:tc>
          <w:tcPr>
            <w:tcW w:type="dxa" w:w="2405"/>
            <w:vAlign w:val="center"/>
            <w:tcMar>
              <w:top w:w="65" w:type="dxa"/>
              <w:start w:w="75" w:type="dxa"/>
              <w:bottom w:w="65" w:type="dxa"/>
              <w:end w:w="75" w:type="dxa"/>
            </w:tcMar>
          </w:tcPr>
          <w:p>
            <w:pPr>
              <w:spacing w:after="0"/>
              <w:jc w:val="left"/>
            </w:pPr>
            <w:r>
              <w:rPr>
                <w:rFonts w:ascii="Times New Roman" w:hAnsi="Times New Roman"/>
                <w:sz w:val="16"/>
              </w:rPr>
              <w:t>NLR</w:t>
            </w:r>
          </w:p>
        </w:tc>
        <w:tc>
          <w:tcPr>
            <w:tcW w:type="dxa" w:w="1843"/>
            <w:vAlign w:val="center"/>
            <w:tcMar>
              <w:top w:w="65" w:type="dxa"/>
              <w:start w:w="75" w:type="dxa"/>
              <w:bottom w:w="65" w:type="dxa"/>
              <w:end w:w="75" w:type="dxa"/>
            </w:tcMar>
          </w:tcPr>
          <w:p>
            <w:pPr>
              <w:spacing w:after="0"/>
              <w:jc w:val="center"/>
            </w:pPr>
            <w:r>
              <w:rPr>
                <w:rFonts w:ascii="Times New Roman" w:hAnsi="Times New Roman"/>
                <w:sz w:val="16"/>
              </w:rPr>
              <w:t>eICU</w:t>
            </w:r>
          </w:p>
        </w:tc>
        <w:tc>
          <w:tcPr>
            <w:tcW w:type="dxa" w:w="2160"/>
            <w:vAlign w:val="center"/>
            <w:tcMar>
              <w:top w:w="65" w:type="dxa"/>
              <w:start w:w="75" w:type="dxa"/>
              <w:bottom w:w="65" w:type="dxa"/>
              <w:end w:w="75" w:type="dxa"/>
            </w:tcMar>
          </w:tcPr>
          <w:p>
            <w:pPr>
              <w:spacing w:after="0"/>
              <w:jc w:val="center"/>
            </w:pPr>
            <w:r>
              <w:rPr>
                <w:rFonts w:ascii="Times New Roman" w:hAnsi="Times New Roman"/>
                <w:sz w:val="16"/>
              </w:rPr>
              <w:t>Trajectory slope</w:t>
            </w:r>
          </w:p>
        </w:tc>
        <w:tc>
          <w:tcPr>
            <w:tcW w:type="dxa" w:w="2880"/>
            <w:vAlign w:val="center"/>
            <w:tcMar>
              <w:top w:w="65" w:type="dxa"/>
              <w:start w:w="75" w:type="dxa"/>
              <w:bottom w:w="65" w:type="dxa"/>
              <w:end w:w="75" w:type="dxa"/>
            </w:tcMar>
          </w:tcPr>
          <w:p>
            <w:pPr>
              <w:spacing w:after="0"/>
              <w:jc w:val="center"/>
            </w:pPr>
            <w:r>
              <w:rPr>
                <w:rFonts w:ascii="Times New Roman" w:hAnsi="Times New Roman"/>
                <w:sz w:val="16"/>
              </w:rPr>
              <w:t>Firth penalized logistic regression</w:t>
            </w:r>
          </w:p>
        </w:tc>
        <w:tc>
          <w:tcPr>
            <w:tcW w:type="dxa" w:w="1354"/>
            <w:vAlign w:val="center"/>
            <w:tcMar>
              <w:top w:w="65" w:type="dxa"/>
              <w:start w:w="75" w:type="dxa"/>
              <w:bottom w:w="65" w:type="dxa"/>
              <w:end w:w="75" w:type="dxa"/>
            </w:tcMar>
          </w:tcPr>
          <w:p>
            <w:pPr>
              <w:spacing w:after="0"/>
              <w:jc w:val="center"/>
            </w:pPr>
            <w:r>
              <w:rPr>
                <w:rFonts w:ascii="Times New Roman" w:hAnsi="Times New Roman"/>
                <w:sz w:val="16"/>
              </w:rPr>
              <w:t>143/12</w:t>
            </w:r>
          </w:p>
        </w:tc>
        <w:tc>
          <w:tcPr>
            <w:tcW w:type="dxa" w:w="2635"/>
            <w:vAlign w:val="center"/>
            <w:tcMar>
              <w:top w:w="65" w:type="dxa"/>
              <w:start w:w="75" w:type="dxa"/>
              <w:bottom w:w="65" w:type="dxa"/>
              <w:end w:w="75" w:type="dxa"/>
            </w:tcMar>
          </w:tcPr>
          <w:p>
            <w:pPr>
              <w:spacing w:after="0"/>
              <w:jc w:val="center"/>
            </w:pPr>
            <w:r>
              <w:rPr>
                <w:rFonts w:ascii="Times New Roman" w:hAnsi="Times New Roman"/>
                <w:sz w:val="16"/>
              </w:rPr>
              <w:t>4.65 (1.81–13.98)</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&lt;0.001</w:t>
            </w:r>
          </w:p>
        </w:tc>
      </w:tr>
      <w:tr>
        <w:tc>
          <w:tcPr>
            <w:tcW w:type="dxa" w:w="2405"/>
            <w:vAlign w:val="center"/>
            <w:tcMar>
              <w:top w:w="65" w:type="dxa"/>
              <w:start w:w="75" w:type="dxa"/>
              <w:bottom w:w="65" w:type="dxa"/>
              <w:end w:w="75" w:type="dxa"/>
            </w:tcMar>
          </w:tcPr>
          <w:p>
            <w:pPr>
              <w:spacing w:after="0"/>
              <w:jc w:val="left"/>
            </w:pPr>
            <w:r>
              <w:rPr>
                <w:rFonts w:ascii="Times New Roman" w:hAnsi="Times New Roman"/>
                <w:sz w:val="16"/>
              </w:rPr>
              <w:t>MLR</w:t>
            </w:r>
          </w:p>
        </w:tc>
        <w:tc>
          <w:tcPr>
            <w:tcW w:type="dxa" w:w="1843"/>
            <w:vAlign w:val="center"/>
            <w:tcMar>
              <w:top w:w="65" w:type="dxa"/>
              <w:start w:w="75" w:type="dxa"/>
              <w:bottom w:w="65" w:type="dxa"/>
              <w:end w:w="75" w:type="dxa"/>
            </w:tcMar>
          </w:tcPr>
          <w:p>
            <w:pPr>
              <w:spacing w:after="0"/>
              <w:jc w:val="center"/>
            </w:pPr>
            <w:r>
              <w:rPr>
                <w:rFonts w:ascii="Times New Roman" w:hAnsi="Times New Roman"/>
                <w:sz w:val="16"/>
              </w:rPr>
              <w:t>MIMIC-IV</w:t>
            </w:r>
          </w:p>
        </w:tc>
        <w:tc>
          <w:tcPr>
            <w:tcW w:type="dxa" w:w="2160"/>
            <w:vAlign w:val="center"/>
            <w:tcMar>
              <w:top w:w="65" w:type="dxa"/>
              <w:start w:w="75" w:type="dxa"/>
              <w:bottom w:w="65" w:type="dxa"/>
              <w:end w:w="75" w:type="dxa"/>
            </w:tcMar>
          </w:tcPr>
          <w:p>
            <w:pPr>
              <w:spacing w:after="0"/>
              <w:jc w:val="center"/>
            </w:pPr>
            <w:r>
              <w:rPr>
                <w:rFonts w:ascii="Times New Roman" w:hAnsi="Times New Roman"/>
                <w:sz w:val="16"/>
              </w:rPr>
              <w:t>Baseline value</w:t>
            </w:r>
          </w:p>
        </w:tc>
        <w:tc>
          <w:tcPr>
            <w:tcW w:type="dxa" w:w="2880"/>
            <w:vAlign w:val="center"/>
            <w:tcMar>
              <w:top w:w="65" w:type="dxa"/>
              <w:start w:w="75" w:type="dxa"/>
              <w:bottom w:w="65" w:type="dxa"/>
              <w:end w:w="75" w:type="dxa"/>
            </w:tcMar>
          </w:tcPr>
          <w:p>
            <w:pPr>
              <w:spacing w:after="0"/>
              <w:jc w:val="center"/>
            </w:pPr>
            <w:r>
              <w:rPr>
                <w:rFonts w:ascii="Times New Roman" w:hAnsi="Times New Roman"/>
                <w:sz w:val="16"/>
              </w:rPr>
              <w:t>Maximum-likelihood logistic regression</w:t>
            </w:r>
          </w:p>
        </w:tc>
        <w:tc>
          <w:tcPr>
            <w:tcW w:type="dxa" w:w="1354"/>
            <w:vAlign w:val="center"/>
            <w:tcMar>
              <w:top w:w="65" w:type="dxa"/>
              <w:start w:w="75" w:type="dxa"/>
              <w:bottom w:w="65" w:type="dxa"/>
              <w:end w:w="75" w:type="dxa"/>
            </w:tcMar>
          </w:tcPr>
          <w:p>
            <w:pPr>
              <w:spacing w:after="0"/>
              <w:jc w:val="center"/>
            </w:pPr>
            <w:r>
              <w:rPr>
                <w:rFonts w:ascii="Times New Roman" w:hAnsi="Times New Roman"/>
                <w:sz w:val="16"/>
              </w:rPr>
              <w:t>422/50</w:t>
            </w:r>
          </w:p>
        </w:tc>
        <w:tc>
          <w:tcPr>
            <w:tcW w:type="dxa" w:w="2635"/>
            <w:vAlign w:val="center"/>
            <w:tcMar>
              <w:top w:w="65" w:type="dxa"/>
              <w:start w:w="75" w:type="dxa"/>
              <w:bottom w:w="65" w:type="dxa"/>
              <w:end w:w="75" w:type="dxa"/>
            </w:tcMar>
          </w:tcPr>
          <w:p>
            <w:pPr>
              <w:spacing w:after="0"/>
              <w:jc w:val="center"/>
            </w:pPr>
            <w:r>
              <w:rPr>
                <w:rFonts w:ascii="Times New Roman" w:hAnsi="Times New Roman"/>
                <w:sz w:val="16"/>
              </w:rPr>
              <w:t>1.40 (1.01–1.93)</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0.042</w:t>
            </w:r>
          </w:p>
        </w:tc>
      </w:tr>
      <w:tr>
        <w:tc>
          <w:tcPr>
            <w:tcW w:type="dxa" w:w="2405"/>
            <w:vAlign w:val="center"/>
            <w:tcMar>
              <w:top w:w="65" w:type="dxa"/>
              <w:start w:w="75" w:type="dxa"/>
              <w:bottom w:w="65" w:type="dxa"/>
              <w:end w:w="75" w:type="dxa"/>
            </w:tcMar>
          </w:tcPr>
          <w:p>
            <w:pPr>
              <w:spacing w:after="0"/>
              <w:jc w:val="left"/>
            </w:pPr>
            <w:r>
              <w:rPr>
                <w:rFonts w:ascii="Times New Roman" w:hAnsi="Times New Roman"/>
                <w:sz w:val="16"/>
              </w:rPr>
              <w:t>MLR</w:t>
            </w:r>
          </w:p>
        </w:tc>
        <w:tc>
          <w:tcPr>
            <w:tcW w:type="dxa" w:w="1843"/>
            <w:vAlign w:val="center"/>
            <w:tcMar>
              <w:top w:w="65" w:type="dxa"/>
              <w:start w:w="75" w:type="dxa"/>
              <w:bottom w:w="65" w:type="dxa"/>
              <w:end w:w="75" w:type="dxa"/>
            </w:tcMar>
          </w:tcPr>
          <w:p>
            <w:pPr>
              <w:spacing w:after="0"/>
              <w:jc w:val="center"/>
            </w:pPr>
            <w:r>
              <w:rPr>
                <w:rFonts w:ascii="Times New Roman" w:hAnsi="Times New Roman"/>
                <w:sz w:val="16"/>
              </w:rPr>
              <w:t>MIMIC-IV</w:t>
            </w:r>
          </w:p>
        </w:tc>
        <w:tc>
          <w:tcPr>
            <w:tcW w:type="dxa" w:w="2160"/>
            <w:vAlign w:val="center"/>
            <w:tcMar>
              <w:top w:w="65" w:type="dxa"/>
              <w:start w:w="75" w:type="dxa"/>
              <w:bottom w:w="65" w:type="dxa"/>
              <w:end w:w="75" w:type="dxa"/>
            </w:tcMar>
          </w:tcPr>
          <w:p>
            <w:pPr>
              <w:spacing w:after="0"/>
              <w:jc w:val="center"/>
            </w:pPr>
            <w:r>
              <w:rPr>
                <w:rFonts w:ascii="Times New Roman" w:hAnsi="Times New Roman"/>
                <w:sz w:val="16"/>
              </w:rPr>
              <w:t>Trajectory slope</w:t>
            </w:r>
          </w:p>
        </w:tc>
        <w:tc>
          <w:tcPr>
            <w:tcW w:type="dxa" w:w="2880"/>
            <w:vAlign w:val="center"/>
            <w:tcMar>
              <w:top w:w="65" w:type="dxa"/>
              <w:start w:w="75" w:type="dxa"/>
              <w:bottom w:w="65" w:type="dxa"/>
              <w:end w:w="75" w:type="dxa"/>
            </w:tcMar>
          </w:tcPr>
          <w:p>
            <w:pPr>
              <w:spacing w:after="0"/>
              <w:jc w:val="center"/>
            </w:pPr>
            <w:r>
              <w:rPr>
                <w:rFonts w:ascii="Times New Roman" w:hAnsi="Times New Roman"/>
                <w:sz w:val="16"/>
              </w:rPr>
              <w:t>Maximum-likelihood logistic regression</w:t>
            </w:r>
          </w:p>
        </w:tc>
        <w:tc>
          <w:tcPr>
            <w:tcW w:type="dxa" w:w="1354"/>
            <w:vAlign w:val="center"/>
            <w:tcMar>
              <w:top w:w="65" w:type="dxa"/>
              <w:start w:w="75" w:type="dxa"/>
              <w:bottom w:w="65" w:type="dxa"/>
              <w:end w:w="75" w:type="dxa"/>
            </w:tcMar>
          </w:tcPr>
          <w:p>
            <w:pPr>
              <w:spacing w:after="0"/>
              <w:jc w:val="center"/>
            </w:pPr>
            <w:r>
              <w:rPr>
                <w:rFonts w:ascii="Times New Roman" w:hAnsi="Times New Roman"/>
                <w:sz w:val="16"/>
              </w:rPr>
              <w:t>422/50</w:t>
            </w:r>
          </w:p>
        </w:tc>
        <w:tc>
          <w:tcPr>
            <w:tcW w:type="dxa" w:w="2635"/>
            <w:vAlign w:val="center"/>
            <w:tcMar>
              <w:top w:w="65" w:type="dxa"/>
              <w:start w:w="75" w:type="dxa"/>
              <w:bottom w:w="65" w:type="dxa"/>
              <w:end w:w="75" w:type="dxa"/>
            </w:tcMar>
          </w:tcPr>
          <w:p>
            <w:pPr>
              <w:spacing w:after="0"/>
              <w:jc w:val="center"/>
            </w:pPr>
            <w:r>
              <w:rPr>
                <w:rFonts w:ascii="Times New Roman" w:hAnsi="Times New Roman"/>
                <w:sz w:val="16"/>
              </w:rPr>
              <w:t>1.22 (0.89–1.68)</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0.216</w:t>
            </w:r>
          </w:p>
        </w:tc>
      </w:tr>
      <w:tr>
        <w:tc>
          <w:tcPr>
            <w:tcW w:type="dxa" w:w="2405"/>
            <w:vAlign w:val="center"/>
            <w:tcMar>
              <w:top w:w="65" w:type="dxa"/>
              <w:start w:w="75" w:type="dxa"/>
              <w:bottom w:w="65" w:type="dxa"/>
              <w:end w:w="75" w:type="dxa"/>
            </w:tcMar>
          </w:tcPr>
          <w:p>
            <w:pPr>
              <w:spacing w:after="0"/>
              <w:jc w:val="left"/>
            </w:pPr>
            <w:r>
              <w:rPr>
                <w:rFonts w:ascii="Times New Roman" w:hAnsi="Times New Roman"/>
                <w:sz w:val="16"/>
              </w:rPr>
              <w:t>MLR</w:t>
            </w:r>
          </w:p>
        </w:tc>
        <w:tc>
          <w:tcPr>
            <w:tcW w:type="dxa" w:w="1843"/>
            <w:vAlign w:val="center"/>
            <w:tcMar>
              <w:top w:w="65" w:type="dxa"/>
              <w:start w:w="75" w:type="dxa"/>
              <w:bottom w:w="65" w:type="dxa"/>
              <w:end w:w="75" w:type="dxa"/>
            </w:tcMar>
          </w:tcPr>
          <w:p>
            <w:pPr>
              <w:spacing w:after="0"/>
              <w:jc w:val="center"/>
            </w:pPr>
            <w:r>
              <w:rPr>
                <w:rFonts w:ascii="Times New Roman" w:hAnsi="Times New Roman"/>
                <w:sz w:val="16"/>
              </w:rPr>
              <w:t>eICU</w:t>
            </w:r>
          </w:p>
        </w:tc>
        <w:tc>
          <w:tcPr>
            <w:tcW w:type="dxa" w:w="2160"/>
            <w:vAlign w:val="center"/>
            <w:tcMar>
              <w:top w:w="65" w:type="dxa"/>
              <w:start w:w="75" w:type="dxa"/>
              <w:bottom w:w="65" w:type="dxa"/>
              <w:end w:w="75" w:type="dxa"/>
            </w:tcMar>
          </w:tcPr>
          <w:p>
            <w:pPr>
              <w:spacing w:after="0"/>
              <w:jc w:val="center"/>
            </w:pPr>
            <w:r>
              <w:rPr>
                <w:rFonts w:ascii="Times New Roman" w:hAnsi="Times New Roman"/>
                <w:sz w:val="16"/>
              </w:rPr>
              <w:t>Baseline value</w:t>
            </w:r>
          </w:p>
        </w:tc>
        <w:tc>
          <w:tcPr>
            <w:tcW w:type="dxa" w:w="2880"/>
            <w:vAlign w:val="center"/>
            <w:tcMar>
              <w:top w:w="65" w:type="dxa"/>
              <w:start w:w="75" w:type="dxa"/>
              <w:bottom w:w="65" w:type="dxa"/>
              <w:end w:w="75" w:type="dxa"/>
            </w:tcMar>
          </w:tcPr>
          <w:p>
            <w:pPr>
              <w:spacing w:after="0"/>
              <w:jc w:val="center"/>
            </w:pPr>
            <w:r>
              <w:rPr>
                <w:rFonts w:ascii="Times New Roman" w:hAnsi="Times New Roman"/>
                <w:sz w:val="16"/>
              </w:rPr>
              <w:t>Firth penalized logistic regression</w:t>
            </w:r>
          </w:p>
        </w:tc>
        <w:tc>
          <w:tcPr>
            <w:tcW w:type="dxa" w:w="1354"/>
            <w:vAlign w:val="center"/>
            <w:tcMar>
              <w:top w:w="65" w:type="dxa"/>
              <w:start w:w="75" w:type="dxa"/>
              <w:bottom w:w="65" w:type="dxa"/>
              <w:end w:w="75" w:type="dxa"/>
            </w:tcMar>
          </w:tcPr>
          <w:p>
            <w:pPr>
              <w:spacing w:after="0"/>
              <w:jc w:val="center"/>
            </w:pPr>
            <w:r>
              <w:rPr>
                <w:rFonts w:ascii="Times New Roman" w:hAnsi="Times New Roman"/>
                <w:sz w:val="16"/>
              </w:rPr>
              <w:t>167/15</w:t>
            </w:r>
          </w:p>
        </w:tc>
        <w:tc>
          <w:tcPr>
            <w:tcW w:type="dxa" w:w="2635"/>
            <w:vAlign w:val="center"/>
            <w:tcMar>
              <w:top w:w="65" w:type="dxa"/>
              <w:start w:w="75" w:type="dxa"/>
              <w:bottom w:w="65" w:type="dxa"/>
              <w:end w:w="75" w:type="dxa"/>
            </w:tcMar>
          </w:tcPr>
          <w:p>
            <w:pPr>
              <w:spacing w:after="0"/>
              <w:jc w:val="center"/>
            </w:pPr>
            <w:r>
              <w:rPr>
                <w:rFonts w:ascii="Times New Roman" w:hAnsi="Times New Roman"/>
                <w:sz w:val="16"/>
              </w:rPr>
              <w:t>1.06 (0.57–1.93)</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0.839</w:t>
            </w:r>
          </w:p>
        </w:tc>
      </w:tr>
      <w:tr>
        <w:tc>
          <w:tcPr>
            <w:tcW w:type="dxa" w:w="2405"/>
            <w:vAlign w:val="center"/>
            <w:tcMar>
              <w:top w:w="65" w:type="dxa"/>
              <w:start w:w="75" w:type="dxa"/>
              <w:bottom w:w="65" w:type="dxa"/>
              <w:end w:w="75" w:type="dxa"/>
            </w:tcMar>
          </w:tcPr>
          <w:p>
            <w:pPr>
              <w:spacing w:after="0"/>
              <w:jc w:val="left"/>
            </w:pPr>
            <w:r>
              <w:rPr>
                <w:rFonts w:ascii="Times New Roman" w:hAnsi="Times New Roman"/>
                <w:sz w:val="16"/>
              </w:rPr>
              <w:t>MLR</w:t>
            </w:r>
          </w:p>
        </w:tc>
        <w:tc>
          <w:tcPr>
            <w:tcW w:type="dxa" w:w="1843"/>
            <w:vAlign w:val="center"/>
            <w:tcMar>
              <w:top w:w="65" w:type="dxa"/>
              <w:start w:w="75" w:type="dxa"/>
              <w:bottom w:w="65" w:type="dxa"/>
              <w:end w:w="75" w:type="dxa"/>
            </w:tcMar>
          </w:tcPr>
          <w:p>
            <w:pPr>
              <w:spacing w:after="0"/>
              <w:jc w:val="center"/>
            </w:pPr>
            <w:r>
              <w:rPr>
                <w:rFonts w:ascii="Times New Roman" w:hAnsi="Times New Roman"/>
                <w:sz w:val="16"/>
              </w:rPr>
              <w:t>eICU</w:t>
            </w:r>
          </w:p>
        </w:tc>
        <w:tc>
          <w:tcPr>
            <w:tcW w:type="dxa" w:w="2160"/>
            <w:vAlign w:val="center"/>
            <w:tcMar>
              <w:top w:w="65" w:type="dxa"/>
              <w:start w:w="75" w:type="dxa"/>
              <w:bottom w:w="65" w:type="dxa"/>
              <w:end w:w="75" w:type="dxa"/>
            </w:tcMar>
          </w:tcPr>
          <w:p>
            <w:pPr>
              <w:spacing w:after="0"/>
              <w:jc w:val="center"/>
            </w:pPr>
            <w:r>
              <w:rPr>
                <w:rFonts w:ascii="Times New Roman" w:hAnsi="Times New Roman"/>
                <w:sz w:val="16"/>
              </w:rPr>
              <w:t>Trajectory slope</w:t>
            </w:r>
          </w:p>
        </w:tc>
        <w:tc>
          <w:tcPr>
            <w:tcW w:type="dxa" w:w="2880"/>
            <w:vAlign w:val="center"/>
            <w:tcMar>
              <w:top w:w="65" w:type="dxa"/>
              <w:start w:w="75" w:type="dxa"/>
              <w:bottom w:w="65" w:type="dxa"/>
              <w:end w:w="75" w:type="dxa"/>
            </w:tcMar>
          </w:tcPr>
          <w:p>
            <w:pPr>
              <w:spacing w:after="0"/>
              <w:jc w:val="center"/>
            </w:pPr>
            <w:r>
              <w:rPr>
                <w:rFonts w:ascii="Times New Roman" w:hAnsi="Times New Roman"/>
                <w:sz w:val="16"/>
              </w:rPr>
              <w:t>Firth penalized logistic regression</w:t>
            </w:r>
          </w:p>
        </w:tc>
        <w:tc>
          <w:tcPr>
            <w:tcW w:type="dxa" w:w="1354"/>
            <w:vAlign w:val="center"/>
            <w:tcMar>
              <w:top w:w="65" w:type="dxa"/>
              <w:start w:w="75" w:type="dxa"/>
              <w:bottom w:w="65" w:type="dxa"/>
              <w:end w:w="75" w:type="dxa"/>
            </w:tcMar>
          </w:tcPr>
          <w:p>
            <w:pPr>
              <w:spacing w:after="0"/>
              <w:jc w:val="center"/>
            </w:pPr>
            <w:r>
              <w:rPr>
                <w:rFonts w:ascii="Times New Roman" w:hAnsi="Times New Roman"/>
                <w:sz w:val="16"/>
              </w:rPr>
              <w:t>167/15</w:t>
            </w:r>
          </w:p>
        </w:tc>
        <w:tc>
          <w:tcPr>
            <w:tcW w:type="dxa" w:w="2635"/>
            <w:vAlign w:val="center"/>
            <w:tcMar>
              <w:top w:w="65" w:type="dxa"/>
              <w:start w:w="75" w:type="dxa"/>
              <w:bottom w:w="65" w:type="dxa"/>
              <w:end w:w="75" w:type="dxa"/>
            </w:tcMar>
          </w:tcPr>
          <w:p>
            <w:pPr>
              <w:spacing w:after="0"/>
              <w:jc w:val="center"/>
            </w:pPr>
            <w:r>
              <w:rPr>
                <w:rFonts w:ascii="Times New Roman" w:hAnsi="Times New Roman"/>
                <w:sz w:val="16"/>
              </w:rPr>
              <w:t>1.48 (0.83–2.65)</w:t>
            </w:r>
          </w:p>
        </w:tc>
        <w:tc>
          <w:tcPr>
            <w:tcW w:type="dxa" w:w="1123"/>
            <w:vAlign w:val="center"/>
            <w:tcMar>
              <w:top w:w="65" w:type="dxa"/>
              <w:start w:w="75" w:type="dxa"/>
              <w:bottom w:w="65" w:type="dxa"/>
              <w:end w:w="75" w:type="dxa"/>
            </w:tcMar>
          </w:tcPr>
          <w:p>
            <w:pPr>
              <w:spacing w:after="0"/>
              <w:jc w:val="center"/>
            </w:pPr>
            <w:r>
              <w:rPr>
                <w:rFonts w:ascii="Times New Roman" w:hAnsi="Times New Roman"/>
                <w:sz w:val="16"/>
              </w:rPr>
              <w:t>0.177</w:t>
            </w:r>
          </w:p>
        </w:tc>
      </w:tr>
    </w:tbl>
    <w:p>
      <w:pPr>
        <w:spacing w:before="80" w:after="0"/>
      </w:pPr>
      <w:r>
        <w:rPr>
          <w:rFonts w:ascii="Times New Roman" w:hAnsi="Times New Roman"/>
          <w:b/>
          <w:sz w:val="16"/>
        </w:rPr>
        <w:t xml:space="preserve">Notes: </w:t>
      </w:r>
      <w:r>
        <w:rPr>
          <w:rFonts w:ascii="Times New Roman" w:hAnsi="Times New Roman"/>
          <w:sz w:val="16"/>
        </w:rPr>
        <w:t>Odds ratios are per one standard deviation increase after adjustment for age, sex, and TG18 Grade III disease. MIMIC-IV estimates use maximum-likelihood logistic regression; eICU estimates use Firth penalized logistic regression because of sparse events. SIRI is shown first because it was selected as the focal index on the basis of multicenter sepsis evidence and comparative performance in this analysis. NLR and MLR are comparator indices. Abbreviations: CI, confidence interval; eICU, eICU Collaborative Research Database; MIMIC-IV, Medical Information Mart for Intensive Care IV; MLR, monocyte-to-lymphocyte ratio; NLR, neutrophil-to-lymphocyte ratio; OR, odds ratio; SD, standard deviation; SIRI, systemic inflammation response index; TG18, Tokyo Guidelines 2018.</w:t>
      </w:r>
    </w:p>
    <w:sectPr w:rsidR="00FC693F" w:rsidRPr="0006063C" w:rsidSect="00034616">
      <w:pgSz w:w="15840" w:h="12240" w:orient="landscape"/>
      <w:pgMar w:top="792" w:right="720" w:bottom="79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