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60"/>
      </w:pPr>
      <w:r>
        <w:rPr>
          <w:rFonts w:ascii="Times New Roman" w:hAnsi="Times New Roman"/>
          <w:b/>
          <w:i w:val="0"/>
          <w:color w:val="000000"/>
          <w:sz w:val="20"/>
        </w:rPr>
        <w:t>Supplementary Table S1 Robustness of the association between dome laminoplasty and the JOA recovery rate</w:t>
      </w:r>
    </w:p>
    <w:tbl>
      <w:tblPr>
        <w:tblStyle w:val="TableGrid"/>
        <w:tblW w:type="auto" w:w="0"/>
        <w:tblLook w:firstColumn="1" w:firstRow="1" w:lastColumn="0" w:lastRow="0" w:noHBand="0" w:noVBand="1" w:val="04A0"/>
      </w:tblPr>
      <w:tblGrid>
        <w:gridCol w:w="2822"/>
        <w:gridCol w:w="2822"/>
        <w:gridCol w:w="2822"/>
        <w:gridCol w:w="2822"/>
        <w:gridCol w:w="2822"/>
      </w:tblGrid>
      <w:tr>
        <w:tc>
          <w:tcPr>
            <w:tcW w:type="dxa" w:w="282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Analytic specification</w:t>
            </w:r>
          </w:p>
        </w:tc>
        <w:tc>
          <w:tcPr>
            <w:tcW w:type="dxa" w:w="282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Estimate for Dome LP</w:t>
            </w:r>
          </w:p>
        </w:tc>
        <w:tc>
          <w:tcPr>
            <w:tcW w:type="dxa" w:w="282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95% CI</w:t>
            </w:r>
          </w:p>
        </w:tc>
        <w:tc>
          <w:tcPr>
            <w:tcW w:type="dxa" w:w="282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color w:val="000000"/>
                <w:sz w:val="16"/>
              </w:rPr>
              <w:t>p</w:t>
            </w:r>
          </w:p>
        </w:tc>
        <w:tc>
          <w:tcPr>
            <w:tcW w:type="dxa" w:w="282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n</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Matched-pair analyses (79 pairs)</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 xml:space="preserve">Paired </w:t>
            </w:r>
            <w:r>
              <w:rPr>
                <w:rFonts w:ascii="Times New Roman" w:hAnsi="Times New Roman"/>
                <w:b w:val="0"/>
                <w:i/>
                <w:color w:val="000000"/>
                <w:sz w:val="16"/>
              </w:rPr>
              <w:t>t</w:t>
            </w:r>
            <w:r>
              <w:rPr>
                <w:rFonts w:ascii="Times New Roman" w:hAnsi="Times New Roman"/>
                <w:b w:val="0"/>
                <w:i w:val="0"/>
                <w:color w:val="000000"/>
                <w:sz w:val="16"/>
              </w:rPr>
              <w:t>-test (primary, Table 2)</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mean difference +10.69</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−0.55 to 21.94</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0.062</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79 pairs</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Wilcoxon signed-rank on paired values</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median difference +3.85</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0.057</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79 pairs</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Ordinary least squares, pair-clustered SE</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+10.69</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−0.42 to 21.80</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0.059</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158</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Multivariable models, pair-clustered SE</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Prespecified model (Table 2b)</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+11.31</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0.54 to 22.07</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0.040</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158</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 T1 slope and C0–2 Cobb angle</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+13.84</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1.04 to 26.64</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0.034</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148</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 number of laminoplasty levels</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+11.40</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0.58 to 22.22</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0.039</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158</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 T1 slope, C0–2 Cobb angle and year of surgery</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+12.99</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0.08 to 25.90</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0.049</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148</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 year of surgery</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+10.97</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−0.54 to 22.48</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0.062</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158</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Alternative matching specifications</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Re-matched without number of laminoplasty levels</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+9.98</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−0.39 to 20.34</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0.059</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77 pairs</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Re-matched with a caliper of 0.1 SD</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+9.96</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−1.55 to 21.46</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0.090</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69 pairs</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Weighting on the full cohort</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Inverse probability of treatment weighting (ATE)</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+7.86</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−2.34 to 18.07</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0.131</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215</w:t>
            </w:r>
          </w:p>
        </w:tc>
      </w:tr>
      <w:tr>
        <w:tc>
          <w:tcPr>
            <w:tcW w:type="dxa" w:w="282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Overlap weighting (ATO)</w:t>
            </w:r>
          </w:p>
        </w:tc>
        <w:tc>
          <w:tcPr>
            <w:tcW w:type="dxa" w:w="282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+9.05</w:t>
            </w:r>
          </w:p>
        </w:tc>
        <w:tc>
          <w:tcPr>
            <w:tcW w:type="dxa" w:w="282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−1.31 to 19.40</w:t>
            </w:r>
          </w:p>
        </w:tc>
        <w:tc>
          <w:tcPr>
            <w:tcW w:type="dxa" w:w="282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0.087</w:t>
            </w:r>
          </w:p>
        </w:tc>
        <w:tc>
          <w:tcPr>
            <w:tcW w:type="dxa" w:w="282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215</w:t>
            </w:r>
          </w:p>
        </w:tc>
      </w:tr>
    </w:tbl>
    <w:p>
      <w:pPr>
        <w:spacing w:line="276" w:lineRule="auto" w:before="40" w:after="0"/>
      </w:pPr>
      <w:r>
        <w:rPr>
          <w:rFonts w:ascii="Times New Roman" w:hAnsi="Times New Roman"/>
          <w:b/>
          <w:i w:val="0"/>
          <w:color w:val="000000"/>
          <w:sz w:val="18"/>
        </w:rPr>
        <w:t>Notes</w:t>
      </w:r>
      <w:r>
        <w:rPr>
          <w:rFonts w:ascii="Times New Roman" w:hAnsi="Times New Roman"/>
          <w:b w:val="0"/>
          <w:i w:val="0"/>
          <w:color w:val="000000"/>
          <w:sz w:val="18"/>
        </w:rPr>
        <w:t xml:space="preserve"> All estimates are in percentage points of the JOA recovery rate and all favour Dome LP. Dome laminoplasty was performed predominantly in the later years of the 17-year study period (year of surgery: Conventional LP 2018.0 ± 3.7 vs. Dome LP 2020.5 ± 4.5; SMD 0.60 after matching), and the specification adjusting for year of surgery is reported above. Matched-pair analyses respect the dependence induced by 1:1 matching. Propensity score overlap was adequate (Conventional LP 0.09–0.79; Dome LP 0.14–0.90). </w:t>
      </w:r>
      <w:r>
        <w:rPr>
          <w:rFonts w:ascii="Times New Roman" w:hAnsi="Times New Roman"/>
          <w:b w:val="0"/>
          <w:i/>
          <w:color w:val="000000"/>
          <w:sz w:val="18"/>
        </w:rPr>
        <w:t>ATE</w:t>
      </w:r>
      <w:r>
        <w:rPr>
          <w:rFonts w:ascii="Times New Roman" w:hAnsi="Times New Roman"/>
          <w:b w:val="0"/>
          <w:i w:val="0"/>
          <w:color w:val="000000"/>
          <w:sz w:val="18"/>
        </w:rPr>
        <w:t xml:space="preserve"> average treatment effect, </w:t>
      </w:r>
      <w:r>
        <w:rPr>
          <w:rFonts w:ascii="Times New Roman" w:hAnsi="Times New Roman"/>
          <w:b w:val="0"/>
          <w:i/>
          <w:color w:val="000000"/>
          <w:sz w:val="18"/>
        </w:rPr>
        <w:t>ATO</w:t>
      </w:r>
      <w:r>
        <w:rPr>
          <w:rFonts w:ascii="Times New Roman" w:hAnsi="Times New Roman"/>
          <w:b w:val="0"/>
          <w:i w:val="0"/>
          <w:color w:val="000000"/>
          <w:sz w:val="18"/>
        </w:rPr>
        <w:t xml:space="preserve"> average treatment effect in the overlap population, </w:t>
      </w:r>
      <w:r>
        <w:rPr>
          <w:rFonts w:ascii="Times New Roman" w:hAnsi="Times New Roman"/>
          <w:b w:val="0"/>
          <w:i/>
          <w:color w:val="000000"/>
          <w:sz w:val="18"/>
        </w:rPr>
        <w:t>SD</w:t>
      </w:r>
      <w:r>
        <w:rPr>
          <w:rFonts w:ascii="Times New Roman" w:hAnsi="Times New Roman"/>
          <w:b w:val="0"/>
          <w:i w:val="0"/>
          <w:color w:val="000000"/>
          <w:sz w:val="18"/>
        </w:rPr>
        <w:t xml:space="preserve"> standard deviation, </w:t>
      </w:r>
      <w:r>
        <w:rPr>
          <w:rFonts w:ascii="Times New Roman" w:hAnsi="Times New Roman"/>
          <w:b w:val="0"/>
          <w:i/>
          <w:color w:val="000000"/>
          <w:sz w:val="18"/>
        </w:rPr>
        <w:t>SE</w:t>
      </w:r>
      <w:r>
        <w:rPr>
          <w:rFonts w:ascii="Times New Roman" w:hAnsi="Times New Roman"/>
          <w:b w:val="0"/>
          <w:i w:val="0"/>
          <w:color w:val="000000"/>
          <w:sz w:val="18"/>
        </w:rPr>
        <w:t xml:space="preserve"> standard error.</w:t>
      </w:r>
    </w:p>
    <w:p>
      <w:pPr>
        <w:spacing w:line="276" w:lineRule="auto" w:before="40" w:after="0"/>
      </w:pPr>
      <w:r>
        <w:rPr>
          <w:rFonts w:ascii="Times New Roman" w:hAnsi="Times New Roman"/>
          <w:b w:val="0"/>
          <w:i w:val="0"/>
          <w:color w:val="000000"/>
          <w:sz w:val="18"/>
        </w:rPr>
        <w:t xml:space="preserve">Secondary outcomes in the matched cohort, as mean within-pair differences with paired </w:t>
      </w:r>
      <w:r>
        <w:rPr>
          <w:rFonts w:ascii="Times New Roman" w:hAnsi="Times New Roman"/>
          <w:b w:val="0"/>
          <w:i/>
          <w:color w:val="000000"/>
          <w:sz w:val="18"/>
        </w:rPr>
        <w:t>t</w:t>
      </w:r>
      <w:r>
        <w:rPr>
          <w:rFonts w:ascii="Times New Roman" w:hAnsi="Times New Roman"/>
          <w:b w:val="0"/>
          <w:i w:val="0"/>
          <w:color w:val="000000"/>
          <w:sz w:val="18"/>
        </w:rPr>
        <w:t xml:space="preserve">-test </w:t>
      </w:r>
      <w:r>
        <w:rPr>
          <w:rFonts w:ascii="Times New Roman" w:hAnsi="Times New Roman"/>
          <w:b w:val="0"/>
          <w:i/>
          <w:color w:val="000000"/>
          <w:sz w:val="18"/>
        </w:rPr>
        <w:t>p</w:t>
      </w:r>
      <w:r>
        <w:rPr>
          <w:rFonts w:ascii="Times New Roman" w:hAnsi="Times New Roman"/>
          <w:b w:val="0"/>
          <w:i w:val="0"/>
          <w:color w:val="000000"/>
          <w:sz w:val="18"/>
        </w:rPr>
        <w:t xml:space="preserve"> (Wilcoxon signed-rank </w:t>
      </w:r>
      <w:r>
        <w:rPr>
          <w:rFonts w:ascii="Times New Roman" w:hAnsi="Times New Roman"/>
          <w:b w:val="0"/>
          <w:i/>
          <w:color w:val="000000"/>
          <w:sz w:val="18"/>
        </w:rPr>
        <w:t>p</w:t>
      </w:r>
      <w:r>
        <w:rPr>
          <w:rFonts w:ascii="Times New Roman" w:hAnsi="Times New Roman"/>
          <w:b w:val="0"/>
          <w:i w:val="0"/>
          <w:color w:val="000000"/>
          <w:sz w:val="18"/>
        </w:rPr>
        <w:t xml:space="preserve"> in parentheses): preoperative mJOA +0.44 (95% CI −0.24 to 1.13), </w:t>
      </w:r>
      <w:r>
        <w:rPr>
          <w:rFonts w:ascii="Times New Roman" w:hAnsi="Times New Roman"/>
          <w:b w:val="0"/>
          <w:i/>
          <w:color w:val="000000"/>
          <w:sz w:val="18"/>
        </w:rPr>
        <w:t>p</w:t>
      </w:r>
      <w:r>
        <w:rPr>
          <w:rFonts w:ascii="Times New Roman" w:hAnsi="Times New Roman"/>
          <w:b w:val="0"/>
          <w:i w:val="0"/>
          <w:color w:val="000000"/>
          <w:sz w:val="18"/>
        </w:rPr>
        <w:t xml:space="preserve"> = 0.201 (0.144); postoperative mJOA +0.77 (95% CI 0.10 to 1.44), </w:t>
      </w:r>
      <w:r>
        <w:rPr>
          <w:rFonts w:ascii="Times New Roman" w:hAnsi="Times New Roman"/>
          <w:b w:val="0"/>
          <w:i/>
          <w:color w:val="000000"/>
          <w:sz w:val="18"/>
        </w:rPr>
        <w:t>p</w:t>
      </w:r>
      <w:r>
        <w:rPr>
          <w:rFonts w:ascii="Times New Roman" w:hAnsi="Times New Roman"/>
          <w:b w:val="0"/>
          <w:i w:val="0"/>
          <w:color w:val="000000"/>
          <w:sz w:val="18"/>
        </w:rPr>
        <w:t xml:space="preserve"> = 0.024 (0.016); ΔmJOA +0.33 (95% CI −0.29 to 0.95), </w:t>
      </w:r>
      <w:r>
        <w:rPr>
          <w:rFonts w:ascii="Times New Roman" w:hAnsi="Times New Roman"/>
          <w:b w:val="0"/>
          <w:i/>
          <w:color w:val="000000"/>
          <w:sz w:val="18"/>
        </w:rPr>
        <w:t>p</w:t>
      </w:r>
      <w:r>
        <w:rPr>
          <w:rFonts w:ascii="Times New Roman" w:hAnsi="Times New Roman"/>
          <w:b w:val="0"/>
          <w:i w:val="0"/>
          <w:color w:val="000000"/>
          <w:sz w:val="18"/>
        </w:rPr>
        <w:t xml:space="preserve"> = 0.297 (0.360). Good recovery: conditional logistic odds ratio 2.10 (95% CI 0.99 to 4.46), </w:t>
      </w:r>
      <w:r>
        <w:rPr>
          <w:rFonts w:ascii="Times New Roman" w:hAnsi="Times New Roman"/>
          <w:b w:val="0"/>
          <w:i/>
          <w:color w:val="000000"/>
          <w:sz w:val="18"/>
        </w:rPr>
        <w:t>p</w:t>
      </w:r>
      <w:r>
        <w:rPr>
          <w:rFonts w:ascii="Times New Roman" w:hAnsi="Times New Roman"/>
          <w:b w:val="0"/>
          <w:i w:val="0"/>
          <w:color w:val="000000"/>
          <w:sz w:val="18"/>
        </w:rPr>
        <w:t xml:space="preserve"> = 0.054; exact McNemar </w:t>
      </w:r>
      <w:r>
        <w:rPr>
          <w:rFonts w:ascii="Times New Roman" w:hAnsi="Times New Roman"/>
          <w:b w:val="0"/>
          <w:i/>
          <w:color w:val="000000"/>
          <w:sz w:val="18"/>
        </w:rPr>
        <w:t>p</w:t>
      </w:r>
      <w:r>
        <w:rPr>
          <w:rFonts w:ascii="Times New Roman" w:hAnsi="Times New Roman"/>
          <w:b w:val="0"/>
          <w:i w:val="0"/>
          <w:color w:val="000000"/>
          <w:sz w:val="18"/>
        </w:rPr>
        <w:t xml:space="preserve"> = 0.071.</w:t>
      </w:r>
    </w:p>
    <w:p>
      <w:pPr>
        <w:spacing w:before="240" w:after="60"/>
      </w:pPr>
      <w:r>
        <w:rPr>
          <w:rFonts w:ascii="Times New Roman" w:hAnsi="Times New Roman"/>
          <w:b/>
          <w:i w:val="0"/>
          <w:color w:val="000000"/>
          <w:sz w:val="20"/>
        </w:rPr>
        <w:t>Supplementary Table S2 Preoperative and one-year magnetic resonance measurements, by decompression level</w:t>
      </w:r>
    </w:p>
    <w:tbl>
      <w:tblPr>
        <w:tblStyle w:val="TableGrid"/>
        <w:tblW w:type="auto" w:w="0"/>
        <w:tblLook w:firstColumn="1" w:firstRow="1" w:lastColumn="0" w:lastRow="0" w:noHBand="0" w:noVBand="1" w:val="04A0"/>
      </w:tblPr>
      <w:tblGrid>
        <w:gridCol w:w="2352"/>
        <w:gridCol w:w="2352"/>
        <w:gridCol w:w="2352"/>
        <w:gridCol w:w="2352"/>
        <w:gridCol w:w="2352"/>
        <w:gridCol w:w="2352"/>
      </w:tblGrid>
      <w:tr>
        <w:tc>
          <w:tcPr>
            <w:tcW w:type="dxa" w:w="235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Level</w:t>
            </w:r>
          </w:p>
        </w:tc>
        <w:tc>
          <w:tcPr>
            <w:tcW w:type="dxa" w:w="235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Parameter</w:t>
            </w:r>
          </w:p>
        </w:tc>
        <w:tc>
          <w:tcPr>
            <w:tcW w:type="dxa" w:w="235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Conventional LP, preoperative</w:t>
            </w:r>
          </w:p>
        </w:tc>
        <w:tc>
          <w:tcPr>
            <w:tcW w:type="dxa" w:w="235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Conventional LP, postoperative</w:t>
            </w:r>
          </w:p>
        </w:tc>
        <w:tc>
          <w:tcPr>
            <w:tcW w:type="dxa" w:w="235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Dome LP, preoperative</w:t>
            </w:r>
          </w:p>
        </w:tc>
        <w:tc>
          <w:tcPr>
            <w:tcW w:type="dxa" w:w="235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Dome LP, postoperative</w:t>
            </w:r>
          </w:p>
        </w:tc>
      </w:tr>
      <w:tr>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Level of maximum compression</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Cord-to-lamina distance, mm</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4.98 [4.50–5.94]</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5.86 [4.88–6.78]</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5.10 ± 1.71</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5.85 ± 1.55</w:t>
            </w:r>
          </w:p>
        </w:tc>
      </w:tr>
      <w:tr>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Space available for cord, mm</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2.83 ± 1.13</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5.61 [4.36–6.85]</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2.58 ± 0.95</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4.79 [3.82–5.47]</w:t>
            </w:r>
          </w:p>
        </w:tc>
      </w:tr>
      <w:tr>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Canal anteroposterior diameter, mm</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12.73 [11.89–13.71]</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17.41 ± 2.22</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12.52 [11.60–14.08]</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16.91 ± 2.10</w:t>
            </w:r>
          </w:p>
        </w:tc>
      </w:tr>
      <w:tr>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Cord cross-sectional area, mm²</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68.91 ± 16.14</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65.36 ± 16.71</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68.50 ± 12.88</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73.25 ± 12.62</w:t>
            </w:r>
          </w:p>
        </w:tc>
      </w:tr>
      <w:tr>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Adjacent levels</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Cord-to-lamina distance, mm</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4.97 ± 1.19</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4.95 ± 1.15</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5.17 ± 1.42</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5.47 ± 1.41</w:t>
            </w:r>
          </w:p>
        </w:tc>
      </w:tr>
      <w:tr>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Space available for cord, mm</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3.36 ± 0.86</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3.40 ± 0.90</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3.14 ± 1.02</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3.57 [2.84–4.53]</w:t>
            </w:r>
          </w:p>
        </w:tc>
      </w:tr>
      <w:tr>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Canal anteroposterior diameter, mm</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14.20 [13.70–14.89]</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14.64 ± 1.39</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14.43 ± 1.89</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15.62 [14.36–16.65]</w:t>
            </w:r>
          </w:p>
        </w:tc>
      </w:tr>
      <w:tr>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Cord cross-sectional area, mm²</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61.89 ± 10.69</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56.56 [51.77–70.15]</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64.24 ± 12.68</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65.22 ± 12.11</w:t>
            </w:r>
          </w:p>
        </w:tc>
      </w:tr>
      <w:tr>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C2</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Cord-to-lamina distance, mm</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6.27 ± 1.74</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6.07 ± 1.66</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5.62 ± 1.40</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5.79 ± 1.35</w:t>
            </w:r>
          </w:p>
        </w:tc>
      </w:tr>
      <w:tr>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Space available for cord, mm</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4.05 ± 1.17</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4.18 ± 1.32</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3.42 [2.71–4.35]</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3.20 [2.48–4.56]</w:t>
            </w:r>
          </w:p>
        </w:tc>
      </w:tr>
      <w:tr>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Canal anteroposterior diameter, mm</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16.54 ± 1.64</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16.39 ± 1.73</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15.80 ± 1.74</w:t>
            </w:r>
          </w:p>
        </w:tc>
        <w:tc>
          <w:tcPr>
            <w:tcW w:type="dxa" w:w="235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16.05 ± 1.76</w:t>
            </w:r>
          </w:p>
        </w:tc>
      </w:tr>
      <w:tr>
        <w:tc>
          <w:tcPr>
            <w:tcW w:type="dxa" w:w="235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p>
        </w:tc>
        <w:tc>
          <w:tcPr>
            <w:tcW w:type="dxa" w:w="235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Cord cross-sectional area, mm²</w:t>
            </w:r>
          </w:p>
        </w:tc>
        <w:tc>
          <w:tcPr>
            <w:tcW w:type="dxa" w:w="235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75.69 ± 12.55</w:t>
            </w:r>
          </w:p>
        </w:tc>
        <w:tc>
          <w:tcPr>
            <w:tcW w:type="dxa" w:w="235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74.07 ± 14.50</w:t>
            </w:r>
          </w:p>
        </w:tc>
        <w:tc>
          <w:tcPr>
            <w:tcW w:type="dxa" w:w="235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72.88 ± 9.94</w:t>
            </w:r>
          </w:p>
        </w:tc>
        <w:tc>
          <w:tcPr>
            <w:tcW w:type="dxa" w:w="235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73.57 ± 10.68</w:t>
            </w:r>
          </w:p>
        </w:tc>
      </w:tr>
    </w:tbl>
    <w:p>
      <w:pPr>
        <w:spacing w:line="276" w:lineRule="auto" w:before="40" w:after="0"/>
      </w:pPr>
      <w:r>
        <w:rPr>
          <w:rFonts w:ascii="Times New Roman" w:hAnsi="Times New Roman"/>
          <w:b/>
          <w:i w:val="0"/>
          <w:color w:val="000000"/>
          <w:sz w:val="18"/>
        </w:rPr>
        <w:t>Notes</w:t>
      </w:r>
      <w:r>
        <w:rPr>
          <w:rFonts w:ascii="Times New Roman" w:hAnsi="Times New Roman"/>
          <w:b w:val="0"/>
          <w:i w:val="0"/>
          <w:color w:val="000000"/>
          <w:sz w:val="18"/>
        </w:rPr>
        <w:t xml:space="preserve"> Values are mean ± SD or median [IQR] according to the Shapiro-Wilk test. Changes, adjusted between-group differences and interaction terms are given in Table 3.</w:t>
      </w:r>
    </w:p>
    <w:p>
      <w:pPr>
        <w:spacing w:before="240" w:after="60"/>
      </w:pPr>
      <w:r>
        <w:rPr>
          <w:rFonts w:ascii="Times New Roman" w:hAnsi="Times New Roman"/>
          <w:b/>
          <w:i w:val="0"/>
          <w:color w:val="000000"/>
          <w:sz w:val="20"/>
        </w:rPr>
        <w:t>Supplementary Table S3 Cervical alignment, extension reserve and complications</w:t>
      </w:r>
    </w:p>
    <w:tbl>
      <w:tblPr>
        <w:tblStyle w:val="TableGrid"/>
        <w:tblW w:type="auto" w:w="0"/>
        <w:tblLook w:firstColumn="1" w:firstRow="1" w:lastColumn="0" w:lastRow="0" w:noHBand="0" w:noVBand="1" w:val="04A0"/>
      </w:tblPr>
      <w:tblGrid>
        <w:gridCol w:w="2822"/>
        <w:gridCol w:w="2822"/>
        <w:gridCol w:w="2822"/>
        <w:gridCol w:w="2822"/>
        <w:gridCol w:w="2822"/>
      </w:tblGrid>
      <w:tr>
        <w:tc>
          <w:tcPr>
            <w:tcW w:type="dxa" w:w="282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Outcome</w:t>
            </w:r>
          </w:p>
        </w:tc>
        <w:tc>
          <w:tcPr>
            <w:tcW w:type="dxa" w:w="282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Conventional LP</w:t>
            </w:r>
          </w:p>
        </w:tc>
        <w:tc>
          <w:tcPr>
            <w:tcW w:type="dxa" w:w="282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Dome LP</w:t>
            </w:r>
          </w:p>
        </w:tc>
        <w:tc>
          <w:tcPr>
            <w:tcW w:type="dxa" w:w="282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val="0"/>
                <w:color w:val="000000"/>
                <w:sz w:val="16"/>
              </w:rPr>
              <w:t>Adjusted difference (95% CI) †</w:t>
            </w:r>
          </w:p>
        </w:tc>
        <w:tc>
          <w:tcPr>
            <w:tcW w:type="dxa" w:w="2822"/>
            <w:shd w:fill="FFFFFF" w:val="clear"/>
            <w:tcBorders>
              <w:top w:val="single" w:sz="12" w:color="000000"/>
              <w:bottom w:val="single" w:sz="6"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i/>
                <w:color w:val="000000"/>
                <w:sz w:val="16"/>
              </w:rPr>
              <w:t>p</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C2–C7 Cobb angle, neutral, change °</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−2.8 ± 8.5 ‡</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−3.2 ± 9.9 ‡</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+0.96 (−1.37 to 3.30)</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0.418</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C2–C7 Cobb angle, extension, change °</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−9.2 ± 10.5 ‡</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−10.0 ± 11.0 ‡</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+0.84 (−1.98 to 3.67)</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0.560</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Extension reserve, change °</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−6.4 ± 7.4 ‡</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−6.7 ± 6.7 ‡</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−0.10 (−1.64 to 1.44)</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0.897</w:t>
            </w:r>
          </w:p>
        </w:tc>
      </w:tr>
      <w:tr>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Postoperative kyphosis (neutral Cobb ≤ 0°), n (%)</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4 (4.2)</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3 (3.0)</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w:t>
            </w:r>
          </w:p>
        </w:tc>
        <w:tc>
          <w:tcPr>
            <w:tcW w:type="dxa" w:w="2822"/>
            <w:shd w:fill="FFFFFF" w:val="clear"/>
            <w:tcBorders>
              <w:top w:val="none" w:sz="0" w:color="000000"/>
              <w:bottom w:val="none" w:sz="0"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0.718</w:t>
            </w:r>
          </w:p>
        </w:tc>
      </w:tr>
      <w:tr>
        <w:tc>
          <w:tcPr>
            <w:tcW w:type="dxa" w:w="282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Any complication, n (%)</w:t>
            </w:r>
          </w:p>
        </w:tc>
        <w:tc>
          <w:tcPr>
            <w:tcW w:type="dxa" w:w="282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15 (13.2)</w:t>
            </w:r>
          </w:p>
        </w:tc>
        <w:tc>
          <w:tcPr>
            <w:tcW w:type="dxa" w:w="282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12 (11.9)</w:t>
            </w:r>
          </w:p>
        </w:tc>
        <w:tc>
          <w:tcPr>
            <w:tcW w:type="dxa" w:w="282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w:t>
            </w:r>
          </w:p>
        </w:tc>
        <w:tc>
          <w:tcPr>
            <w:tcW w:type="dxa" w:w="2822"/>
            <w:shd w:fill="FFFFFF" w:val="clear"/>
            <w:tcBorders>
              <w:top w:val="none" w:sz="0" w:color="000000"/>
              <w:bottom w:val="single" w:sz="12" w:color="000000"/>
              <w:left w:val="none" w:sz="0" w:color="000000"/>
              <w:right w:val="none" w:sz="0" w:color="000000"/>
              <w:insideH w:val="none" w:sz="0" w:color="000000"/>
              <w:insideV w:val="none" w:sz="0" w:color="000000"/>
            </w:tcBorders>
          </w:tcPr>
          <w:p>
            <w:pPr>
              <w:spacing w:before="0" w:after="0" w:line="240" w:lineRule="auto"/>
            </w:pPr>
            <w:r/>
            <w:r>
              <w:rPr>
                <w:rFonts w:ascii="Times New Roman" w:hAnsi="Times New Roman"/>
                <w:b w:val="0"/>
                <w:i w:val="0"/>
                <w:color w:val="000000"/>
                <w:sz w:val="16"/>
              </w:rPr>
              <w:t>0.839</w:t>
            </w:r>
          </w:p>
        </w:tc>
      </w:tr>
    </w:tbl>
    <w:p>
      <w:pPr>
        <w:spacing w:line="276" w:lineRule="auto" w:before="40" w:after="0"/>
      </w:pPr>
      <w:r>
        <w:rPr>
          <w:rFonts w:ascii="Times New Roman" w:hAnsi="Times New Roman"/>
          <w:b/>
          <w:i w:val="0"/>
          <w:color w:val="000000"/>
          <w:sz w:val="18"/>
        </w:rPr>
        <w:t>Notes</w:t>
      </w:r>
      <w:r>
        <w:rPr>
          <w:rFonts w:ascii="Times New Roman" w:hAnsi="Times New Roman"/>
          <w:b w:val="0"/>
          <w:i w:val="0"/>
          <w:color w:val="000000"/>
          <w:sz w:val="18"/>
        </w:rPr>
        <w:t xml:space="preserve"> Alignment analyses include 195 patients with paired standing radiographs in neutral and maximal extension (Conventional LP 96, Dome LP 99); complications are reported for the full cohort (n = 215). Extension reserve is the extension minus the neutral Cobb angle.</w:t>
      </w:r>
    </w:p>
    <w:p>
      <w:pPr>
        <w:spacing w:line="276" w:lineRule="auto" w:before="40" w:after="0"/>
      </w:pPr>
      <w:r>
        <w:rPr>
          <w:rFonts w:ascii="Times New Roman" w:hAnsi="Times New Roman"/>
          <w:b w:val="0"/>
          <w:i w:val="0"/>
          <w:color w:val="000000"/>
          <w:sz w:val="18"/>
        </w:rPr>
        <w:t>† Analysis of covariance adjusted for the preoperative value, age, sex, preoperative mJOA, body mass index and number of laminoplasty levels; the extension models were additionally adjusted for the preoperative neutral Cobb angle. Kyphosis and complications were compared with the Fisher exact test.</w:t>
      </w:r>
    </w:p>
    <w:p>
      <w:pPr>
        <w:spacing w:line="276" w:lineRule="auto" w:before="40" w:after="0"/>
      </w:pPr>
      <w:r>
        <w:rPr>
          <w:rFonts w:ascii="Times New Roman" w:hAnsi="Times New Roman"/>
          <w:b w:val="0"/>
          <w:i w:val="0"/>
          <w:color w:val="000000"/>
          <w:sz w:val="18"/>
        </w:rPr>
        <w:t xml:space="preserve">‡ Significant within-group change (Wilcoxon signed-rank test, </w:t>
      </w:r>
      <w:r>
        <w:rPr>
          <w:rFonts w:ascii="Times New Roman" w:hAnsi="Times New Roman"/>
          <w:b w:val="0"/>
          <w:i/>
          <w:color w:val="000000"/>
          <w:sz w:val="18"/>
        </w:rPr>
        <w:t>p</w:t>
      </w:r>
      <w:r>
        <w:rPr>
          <w:rFonts w:ascii="Times New Roman" w:hAnsi="Times New Roman"/>
          <w:b w:val="0"/>
          <w:i w:val="0"/>
          <w:color w:val="000000"/>
          <w:sz w:val="18"/>
        </w:rPr>
        <w:t xml:space="preserve"> ≤ 0.002).</w:t>
      </w:r>
    </w:p>
    <w:p>
      <w:pPr>
        <w:spacing w:line="276" w:lineRule="auto" w:before="40" w:after="0"/>
      </w:pPr>
      <w:r>
        <w:rPr>
          <w:rFonts w:ascii="Times New Roman" w:hAnsi="Times New Roman"/>
          <w:b w:val="0"/>
          <w:i w:val="0"/>
          <w:color w:val="000000"/>
          <w:sz w:val="18"/>
        </w:rPr>
        <w:t>Complications comprised dizziness (5 vs. 4), throat discomfort (3 vs. 3), headache (2 vs. 1), hoarseness (2 vs. 0), hematoma (1 vs. 1), C5 palsy (1 vs. 1), scalp paraesthesia (1 vs. 1) and neck cellulitis (0 vs. 1), in Conventional LP versus Dome LP respectively.</w:t>
      </w:r>
    </w:p>
    <w:sectPr w:rsidR="00FC693F" w:rsidRPr="0006063C" w:rsidSect="00034616">
      <w:footerReference w:type="default" r:id="rId9"/>
      <w:pgSz w:w="15840" w:h="12240" w:orient="landscape"/>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r>
    <w:r>
      <w:instrText> PAGE </w:instrText>
    </w:r>
    <w: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40" w:lineRule="auto" w:before="0" w:after="0"/>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