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35548A">
      <w:pPr>
        <w:pStyle w:val="2"/>
        <w:numPr>
          <w:ilvl w:val="0"/>
          <w:numId w:val="0"/>
        </w:numPr>
        <w:spacing w:before="0" w:after="0" w:line="360" w:lineRule="auto"/>
        <w:rPr>
          <w:rFonts w:ascii="Times New Roman" w:hAnsi="Times New Roman"/>
          <w:color w:val="auto"/>
          <w:sz w:val="36"/>
          <w:szCs w:val="36"/>
        </w:rPr>
      </w:pPr>
      <w:r>
        <w:rPr>
          <w:rFonts w:ascii="Times New Roman" w:hAnsi="Times New Roman"/>
          <w:color w:val="auto"/>
          <w:sz w:val="36"/>
          <w:szCs w:val="36"/>
        </w:rPr>
        <w:t>Supplementary material</w:t>
      </w:r>
    </w:p>
    <w:p w14:paraId="3B3A34C4">
      <w:pPr>
        <w:spacing w:before="0" w:after="0" w:line="360" w:lineRule="auto"/>
        <w:rPr>
          <w:rFonts w:hint="eastAsia" w:ascii="Times New Roman" w:hAnsi="Times New Roman" w:eastAsia="宋体" w:cs="Times New Roman"/>
          <w:b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z w:val="28"/>
          <w:szCs w:val="28"/>
          <w:lang w:val="en-US" w:eastAsia="zh-CN"/>
        </w:rPr>
        <w:t>S1: TRIPOD Checklist</w:t>
      </w:r>
    </w:p>
    <w:p w14:paraId="3FA0098E">
      <w:pPr>
        <w:spacing w:before="0" w:after="0" w:line="360" w:lineRule="auto"/>
        <w:rPr>
          <w:rFonts w:hint="default" w:ascii="Times New Roman" w:hAnsi="Times New Roman" w:eastAsia="宋体" w:cs="Times New Roman"/>
          <w:b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 w:val="0"/>
          <w:sz w:val="24"/>
          <w:szCs w:val="24"/>
          <w:lang w:val="en-US" w:eastAsia="zh-CN"/>
        </w:rPr>
        <w:t>Title and Abstract</w:t>
      </w:r>
    </w:p>
    <w:p w14:paraId="15D4AE1B">
      <w:pPr>
        <w:spacing w:before="0" w:after="0" w:line="360" w:lineRule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 w:val="0"/>
          <w:sz w:val="24"/>
          <w:szCs w:val="24"/>
          <w:lang w:val="en-US" w:eastAsia="zh-CN"/>
        </w:rPr>
        <w:t>Item 1: Title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br w:type="textWrapping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The title identifies the study as an external validation study of prediction models.</w:t>
      </w:r>
    </w:p>
    <w:p w14:paraId="77CC0339">
      <w:pPr>
        <w:spacing w:before="0" w:after="0" w:line="360" w:lineRule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 w:val="0"/>
          <w:sz w:val="24"/>
          <w:szCs w:val="24"/>
          <w:lang w:val="en-US" w:eastAsia="zh-CN"/>
        </w:rPr>
        <w:t>Item 2: Abstract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br w:type="textWrapping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The abstract provides information on the study objective, study design, participants, predictors, outcomes, statistical analysis, model performance, and conclusions.</w:t>
      </w:r>
    </w:p>
    <w:p w14:paraId="63CDF319">
      <w:pPr>
        <w:spacing w:before="0" w:after="0" w:line="360" w:lineRule="auto"/>
        <w:rPr>
          <w:rFonts w:hint="default" w:ascii="Times New Roman" w:hAnsi="Times New Roman" w:eastAsia="宋体" w:cs="Times New Roman"/>
          <w:b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 w:val="0"/>
          <w:sz w:val="24"/>
          <w:szCs w:val="24"/>
          <w:lang w:val="en-US" w:eastAsia="zh-CN"/>
        </w:rPr>
        <w:t>Introduction</w:t>
      </w:r>
    </w:p>
    <w:p w14:paraId="328B8246">
      <w:pPr>
        <w:spacing w:before="0" w:after="0" w:line="360" w:lineRule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 w:val="0"/>
          <w:sz w:val="24"/>
          <w:szCs w:val="24"/>
          <w:lang w:val="en-US" w:eastAsia="zh-CN"/>
        </w:rPr>
        <w:t>Item 3: Background and objectives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br w:type="textWrapping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The study background describes the clinical importance of postoperative stress urinary incontinence after pelvic organ prolapse surgery and the need for externally validating existing prediction models.</w:t>
      </w:r>
    </w:p>
    <w:p w14:paraId="171452FB">
      <w:pPr>
        <w:spacing w:before="0" w:after="0" w:line="360" w:lineRule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 w:val="0"/>
          <w:sz w:val="24"/>
          <w:szCs w:val="24"/>
          <w:lang w:val="en-US" w:eastAsia="zh-CN"/>
        </w:rPr>
        <w:t>Item 4: Objectives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br w:type="textWrapping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The objective of this study was to externally validate and compare currently available prediction models for postoperative stress urinary incontinence in Chinese women undergoing pelvic organ prolapse surgery.</w:t>
      </w:r>
    </w:p>
    <w:p w14:paraId="115ECF87">
      <w:pPr>
        <w:spacing w:before="0" w:after="0" w:line="360" w:lineRule="auto"/>
        <w:rPr>
          <w:rFonts w:hint="default" w:ascii="Times New Roman" w:hAnsi="Times New Roman" w:eastAsia="宋体" w:cs="Times New Roman"/>
          <w:b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 w:val="0"/>
          <w:sz w:val="24"/>
          <w:szCs w:val="24"/>
          <w:lang w:val="en-US" w:eastAsia="zh-CN"/>
        </w:rPr>
        <w:t>Methods</w:t>
      </w:r>
    </w:p>
    <w:p w14:paraId="61350565">
      <w:pPr>
        <w:spacing w:before="0" w:after="0" w:line="360" w:lineRule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 w:val="0"/>
          <w:sz w:val="24"/>
          <w:szCs w:val="24"/>
          <w:lang w:val="en-US" w:eastAsia="zh-CN"/>
        </w:rPr>
        <w:t>Item 5: Source of data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br w:type="textWrapping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A multicenter retrospective cohort was established using medical records from three Chinese medical centers.</w:t>
      </w:r>
    </w:p>
    <w:p w14:paraId="4262B1CD">
      <w:pPr>
        <w:spacing w:before="0" w:after="0" w:line="360" w:lineRule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 w:val="0"/>
          <w:sz w:val="24"/>
          <w:szCs w:val="24"/>
          <w:lang w:val="en-US" w:eastAsia="zh-CN"/>
        </w:rPr>
        <w:t>Item 6: Participants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br w:type="textWrapping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Participants were women with POP-Q stage 2–4 apical or anterior prolapse who underwent prolapse surgery and completed 1-year follow-up.</w:t>
      </w:r>
    </w:p>
    <w:p w14:paraId="0A05B20E">
      <w:pPr>
        <w:spacing w:before="0" w:after="0" w:line="360" w:lineRule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 w:val="0"/>
          <w:sz w:val="24"/>
          <w:szCs w:val="24"/>
          <w:lang w:val="en-US" w:eastAsia="zh-CN"/>
        </w:rPr>
        <w:t>Item 7: Outcome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br w:type="textWrapping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The primary outcome was bothersome postoperative stress urinary incontinence and/or treatment for postoperative stress urinary incontinence within 1 year after prolapse surgery.</w:t>
      </w:r>
      <w:bookmarkStart w:id="0" w:name="_GoBack"/>
      <w:bookmarkEnd w:id="0"/>
    </w:p>
    <w:p w14:paraId="572F56DA">
      <w:pPr>
        <w:spacing w:before="0" w:after="0" w:line="360" w:lineRule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 w:val="0"/>
          <w:sz w:val="24"/>
          <w:szCs w:val="24"/>
          <w:lang w:val="en-US" w:eastAsia="zh-CN"/>
        </w:rPr>
        <w:t>Item 8: Predictors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br w:type="textWrapping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Candidate predictors were selected according to previously developed prediction models, including demographic characteristics, clinical factors, POP-Q measurements, surgical procedures, and concomitant midurethral sling insertion.</w:t>
      </w:r>
    </w:p>
    <w:p w14:paraId="75D91CDB">
      <w:pPr>
        <w:spacing w:before="0" w:after="0" w:line="360" w:lineRule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 w:val="0"/>
          <w:sz w:val="24"/>
          <w:szCs w:val="24"/>
          <w:lang w:val="en-US" w:eastAsia="zh-CN"/>
        </w:rPr>
        <w:t>Item 9: Sample size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br w:type="textWrapping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The sample size was calculated according to recommendations for external validation of clinical prediction models with binary outcomes.</w:t>
      </w:r>
    </w:p>
    <w:p w14:paraId="79411F87">
      <w:pPr>
        <w:spacing w:before="0" w:after="0" w:line="360" w:lineRule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 w:val="0"/>
          <w:sz w:val="24"/>
          <w:szCs w:val="24"/>
          <w:lang w:val="en-US" w:eastAsia="zh-CN"/>
        </w:rPr>
        <w:t>Item 10: Missing data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br w:type="textWrapping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Missing data were handled using multiple imputation methods, and sensitivity analyses were performed.</w:t>
      </w:r>
    </w:p>
    <w:p w14:paraId="4E6FE064">
      <w:pPr>
        <w:spacing w:before="0" w:after="0" w:line="360" w:lineRule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 w:val="0"/>
          <w:sz w:val="24"/>
          <w:szCs w:val="24"/>
          <w:lang w:val="en-US" w:eastAsia="zh-CN"/>
        </w:rPr>
        <w:t>Item 11: Statistical analysis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br w:type="textWrapping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Model performance was evaluated using overall performance, calibration, and discrimination measures, including Brier score, observed/expected ratio, calibration slope, integrated calibration index, and AUROC.</w:t>
      </w:r>
    </w:p>
    <w:p w14:paraId="61DF2C58">
      <w:pPr>
        <w:spacing w:before="0" w:after="0" w:line="360" w:lineRule="auto"/>
        <w:rPr>
          <w:rFonts w:hint="default" w:ascii="Times New Roman" w:hAnsi="Times New Roman" w:eastAsia="宋体" w:cs="Times New Roman"/>
          <w:b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 w:val="0"/>
          <w:sz w:val="24"/>
          <w:szCs w:val="24"/>
          <w:lang w:val="en-US" w:eastAsia="zh-CN"/>
        </w:rPr>
        <w:t>Results</w:t>
      </w:r>
    </w:p>
    <w:p w14:paraId="0033CFD3">
      <w:pPr>
        <w:spacing w:before="0" w:after="0" w:line="360" w:lineRule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 w:val="0"/>
          <w:sz w:val="24"/>
          <w:szCs w:val="24"/>
          <w:lang w:val="en-US" w:eastAsia="zh-CN"/>
        </w:rPr>
        <w:t>Item 12: Participants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br w:type="textWrapping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The study included 673 women from three Chinese medical centers.</w:t>
      </w:r>
    </w:p>
    <w:p w14:paraId="6F263B7C">
      <w:pPr>
        <w:spacing w:before="0" w:after="0" w:line="360" w:lineRule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 w:val="0"/>
          <w:sz w:val="24"/>
          <w:szCs w:val="24"/>
          <w:lang w:val="en-US" w:eastAsia="zh-CN"/>
        </w:rPr>
        <w:t>Item 13: Model performance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br w:type="textWrapping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The predictive performance of the Netherlands model and Korea model was evaluated and compared.</w:t>
      </w:r>
    </w:p>
    <w:p w14:paraId="068EFBDE">
      <w:pPr>
        <w:spacing w:before="0" w:after="0" w:line="360" w:lineRule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 w:val="0"/>
          <w:sz w:val="24"/>
          <w:szCs w:val="24"/>
          <w:lang w:val="en-US" w:eastAsia="zh-CN"/>
        </w:rPr>
        <w:t>Item 14: Calibration and discrimination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br w:type="textWrapping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Calibration was assessed using calibration curves, observed/expected ratio, calibration slope, and integrated calibration index. Discrimination was evaluated using AUROC.</w:t>
      </w:r>
    </w:p>
    <w:p w14:paraId="1B7DFFBF">
      <w:pPr>
        <w:spacing w:before="0" w:after="0" w:line="360" w:lineRule="auto"/>
        <w:rPr>
          <w:rFonts w:hint="default" w:ascii="Times New Roman" w:hAnsi="Times New Roman" w:eastAsia="宋体" w:cs="Times New Roman"/>
          <w:b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 w:val="0"/>
          <w:sz w:val="24"/>
          <w:szCs w:val="24"/>
          <w:lang w:val="en-US" w:eastAsia="zh-CN"/>
        </w:rPr>
        <w:t>Discussion</w:t>
      </w:r>
    </w:p>
    <w:p w14:paraId="42F13E4D">
      <w:pPr>
        <w:spacing w:before="0" w:after="0" w:line="360" w:lineRule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 w:val="0"/>
          <w:sz w:val="24"/>
          <w:szCs w:val="24"/>
          <w:lang w:val="en-US" w:eastAsia="zh-CN"/>
        </w:rPr>
        <w:t>Item 15: Interpretation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br w:type="textWrapping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The study discusses the applicability and limitations of existing prediction models in Chinese women undergoing pelvic organ prolapse surgery.</w:t>
      </w:r>
    </w:p>
    <w:p w14:paraId="363059AE">
      <w:pPr>
        <w:spacing w:before="0" w:after="0" w:line="360" w:lineRule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 w:val="0"/>
          <w:sz w:val="24"/>
          <w:szCs w:val="24"/>
          <w:lang w:val="en-US" w:eastAsia="zh-CN"/>
        </w:rPr>
        <w:t>Item 16: Limitations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br w:type="textWrapping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The study limitations, including retrospective design, unavailable prolapse reduction stress testing, and need for further validation in other populations, are discussed.</w:t>
      </w:r>
    </w:p>
    <w:p w14:paraId="7D2D8897">
      <w:pPr>
        <w:spacing w:before="0" w:after="0" w:line="360" w:lineRule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 w:val="0"/>
          <w:sz w:val="24"/>
          <w:szCs w:val="24"/>
          <w:lang w:val="en-US" w:eastAsia="zh-CN"/>
        </w:rPr>
        <w:t>Item 17: Clinical implications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br w:type="textWrapping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The findings suggest that externally validated prediction models may assist individualized counseling and shared decision-making regarding concomitant anti-incontinence procedures.</w:t>
      </w:r>
    </w:p>
    <w:p w14:paraId="2F9490E8">
      <w:pPr>
        <w:spacing w:before="0" w:after="0" w:line="360" w:lineRule="auto"/>
        <w:rPr>
          <w:rFonts w:hint="default" w:ascii="Times New Roman" w:hAnsi="Times New Roman" w:eastAsia="宋体" w:cs="Times New Roman"/>
          <w:b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 w:val="0"/>
          <w:sz w:val="24"/>
          <w:szCs w:val="24"/>
          <w:lang w:val="en-US" w:eastAsia="zh-CN"/>
        </w:rPr>
        <w:t>Conclusion</w:t>
      </w:r>
    </w:p>
    <w:p w14:paraId="1FD7D854">
      <w:pPr>
        <w:spacing w:before="0" w:after="0" w:line="360" w:lineRule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This study provides an external validation assessment of existing postoperative stress urinary incontinence prediction models and highlights the importance of evaluating model transportability before clinical implementation.</w:t>
      </w:r>
    </w:p>
    <w:p w14:paraId="08551859">
      <w:pPr>
        <w:spacing w:before="0" w:after="0"/>
        <w:rPr>
          <w:rFonts w:hint="default" w:ascii="Times New Roman" w:hAnsi="Times New Roman" w:eastAsia="宋体" w:cs="Times New Roman"/>
          <w:b/>
          <w:sz w:val="28"/>
          <w:szCs w:val="28"/>
          <w:lang w:val="en-US" w:eastAsia="zh-CN"/>
        </w:rPr>
      </w:pPr>
    </w:p>
    <w:p w14:paraId="27F91B8F">
      <w:pPr>
        <w:spacing w:before="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</w:t>
      </w:r>
      <w:r>
        <w:rPr>
          <w:rFonts w:hint="eastAsia" w:ascii="Times New Roman" w:hAnsi="Times New Roman" w:eastAsia="宋体" w:cs="Times New Roman"/>
          <w:b/>
          <w:sz w:val="28"/>
          <w:szCs w:val="28"/>
          <w:lang w:val="en-US" w:eastAsia="zh-CN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: Stata code to calculate required sample size</w:t>
      </w:r>
    </w:p>
    <w:p w14:paraId="1AA3063B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* SAMPLE SIZE CALCULATIONS</w:t>
      </w:r>
    </w:p>
    <w:p w14:paraId="7B32D1A2">
      <w:pPr>
        <w:spacing w:before="0" w:after="0"/>
        <w:rPr>
          <w:rFonts w:ascii="Times New Roman" w:hAnsi="Times New Roman" w:eastAsia="宋体" w:cs="Times New Roman"/>
          <w:b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/>
          <w:sz w:val="24"/>
          <w:szCs w:val="24"/>
          <w:lang w:val="en-US" w:eastAsia="zh-CN"/>
        </w:rPr>
        <w:t>* STEP (i): O/E calculation</w:t>
      </w:r>
    </w:p>
    <w:p w14:paraId="67A129A3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* target confidence interval width of 0.5 for O/E; assuming O/E is 1 then this</w:t>
      </w:r>
    </w:p>
    <w:p w14:paraId="2CC740BC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* corresponds to SE(lnOE) of 0.128</w:t>
      </w:r>
    </w:p>
    <w:p w14:paraId="730B4310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clear all</w:t>
      </w:r>
    </w:p>
    <w:p w14:paraId="1218A3B1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* inputs</w:t>
      </w:r>
    </w:p>
    <w:p w14:paraId="564C7FE9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global selnoe = 0.128</w:t>
      </w:r>
    </w:p>
    <w:p w14:paraId="4FD3F9D7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global outcome_prop = 0.20</w:t>
      </w:r>
    </w:p>
    <w:p w14:paraId="12249209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* calculation</w:t>
      </w:r>
    </w:p>
    <w:p w14:paraId="20033073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global sampsize_OE = (1-$outcome_prop)/($outcome_prop*$selnoe*$selnoe)</w:t>
      </w:r>
    </w:p>
    <w:p w14:paraId="356662B3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 xml:space="preserve">disp "Required sample size (events) for O/E = " $sampsize_OE " (" $sampsize_OE*$outcome_prop ")" </w:t>
      </w:r>
    </w:p>
    <w:p w14:paraId="33E54C56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</w:p>
    <w:p w14:paraId="7EAE5AE0">
      <w:pPr>
        <w:spacing w:before="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 STEP (ii): calibration slope calculation</w:t>
      </w:r>
    </w:p>
    <w:p w14:paraId="01E14933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*</w:t>
      </w:r>
      <w:r>
        <w:rPr>
          <w:rFonts w:ascii="Times New Roman" w:hAnsi="Times New Roman" w:cs="Times New Roman"/>
          <w:bCs/>
          <w:sz w:val="24"/>
          <w:szCs w:val="24"/>
        </w:rPr>
        <w:t>Obtaining the linear predictor distribution from the C-statistic under the assumption of normality and equal variances of the linear prediction distribution in each group</w:t>
      </w:r>
    </w:p>
    <w:p w14:paraId="3AC1ECE3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* SET-UP for the sample size calculation</w:t>
      </w:r>
    </w:p>
    <w:p w14:paraId="3CA9A59F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clear all </w:t>
      </w:r>
    </w:p>
    <w:p w14:paraId="5343977B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* Well assume a normal distribution in both outcome groups with the same variance (s2)</w:t>
      </w:r>
    </w:p>
    <w:p w14:paraId="631737E7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* and we can use the C-statistic of 0.</w:t>
      </w: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 xml:space="preserve">75 </w:t>
      </w:r>
      <w:r>
        <w:rPr>
          <w:rFonts w:ascii="Times New Roman" w:hAnsi="Times New Roman" w:cs="Times New Roman"/>
          <w:bCs/>
          <w:sz w:val="24"/>
          <w:szCs w:val="24"/>
        </w:rPr>
        <w:t xml:space="preserve">reported for the </w:t>
      </w: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 xml:space="preserve">previous </w:t>
      </w:r>
      <w:r>
        <w:rPr>
          <w:rFonts w:ascii="Times New Roman" w:hAnsi="Times New Roman" w:cs="Times New Roman"/>
          <w:bCs/>
          <w:sz w:val="24"/>
          <w:szCs w:val="24"/>
        </w:rPr>
        <w:t>prediction model</w:t>
      </w:r>
    </w:p>
    <w:p w14:paraId="0CC87A2E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disp 2*(invnorm(0.</w:t>
      </w: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75</w:t>
      </w:r>
      <w:r>
        <w:rPr>
          <w:rFonts w:ascii="Times New Roman" w:hAnsi="Times New Roman" w:cs="Times New Roman"/>
          <w:bCs/>
          <w:sz w:val="24"/>
          <w:szCs w:val="24"/>
        </w:rPr>
        <w:t>)^2)</w:t>
      </w:r>
    </w:p>
    <w:p w14:paraId="0203E159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* s2 = .90987285</w:t>
      </w:r>
    </w:p>
    <w:p w14:paraId="69E8D45E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bCs/>
          <w:sz w:val="24"/>
          <w:szCs w:val="24"/>
        </w:rPr>
        <w:t>* now we need to find the means of the distributions so that we match the outcome event proportion of 0.</w:t>
      </w: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20</w:t>
      </w:r>
    </w:p>
    <w:p w14:paraId="24280D78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* this just involved trial and error to find the means in the non-events group,</w:t>
      </w:r>
    </w:p>
    <w:p w14:paraId="2F996D9E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* as the mean in the outcome event group is a function of that mean and s2 .</w:t>
      </w:r>
    </w:p>
    <w:p w14:paraId="2C0F02A4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* Solution for the mean is when the overall outcome event proportion is 0.</w:t>
      </w: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20</w:t>
      </w:r>
      <w:r>
        <w:rPr>
          <w:rFonts w:ascii="Times New Roman" w:hAnsi="Times New Roman" w:cs="Times New Roman"/>
          <w:bCs/>
          <w:sz w:val="24"/>
          <w:szCs w:val="24"/>
        </w:rPr>
        <w:t xml:space="preserve"> in a simulated dataset</w:t>
      </w:r>
    </w:p>
    <w:p w14:paraId="56E528EA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* looks like a mean of -</w:t>
      </w: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1.8</w:t>
      </w:r>
      <w:r>
        <w:rPr>
          <w:rFonts w:ascii="Times New Roman" w:hAnsi="Times New Roman" w:cs="Times New Roman"/>
          <w:bCs/>
          <w:sz w:val="24"/>
          <w:szCs w:val="24"/>
        </w:rPr>
        <w:t xml:space="preserve"> is close</w:t>
      </w:r>
    </w:p>
    <w:p w14:paraId="305F82F5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clear all</w:t>
      </w:r>
    </w:p>
    <w:p w14:paraId="5B2FC4B3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set obs 10000</w:t>
      </w:r>
    </w:p>
    <w:p w14:paraId="5299DCBF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set seed 1234</w:t>
      </w:r>
    </w:p>
    <w:p w14:paraId="73B65D6E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gen outcome = rbinomial(1,0.</w:t>
      </w: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20</w:t>
      </w:r>
      <w:r>
        <w:rPr>
          <w:rFonts w:ascii="Times New Roman" w:hAnsi="Times New Roman" w:cs="Times New Roman"/>
          <w:bCs/>
          <w:sz w:val="24"/>
          <w:szCs w:val="24"/>
        </w:rPr>
        <w:t>)</w:t>
      </w:r>
    </w:p>
    <w:p w14:paraId="362B4131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* non-events group</w:t>
      </w:r>
    </w:p>
    <w:p w14:paraId="3470D4EF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gen LP = rnormal(-</w:t>
      </w: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1.8</w:t>
      </w:r>
      <w:r>
        <w:rPr>
          <w:rFonts w:ascii="Times New Roman" w:hAnsi="Times New Roman" w:cs="Times New Roman"/>
          <w:bCs/>
          <w:sz w:val="24"/>
          <w:szCs w:val="24"/>
        </w:rPr>
        <w:t>, sqrt( .90987285))</w:t>
      </w:r>
    </w:p>
    <w:p w14:paraId="67A5B062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* events group mean is non-events group mean + S2 </w:t>
      </w:r>
    </w:p>
    <w:p w14:paraId="5A6C9E74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replace LP = rnormal(-</w:t>
      </w: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1.8</w:t>
      </w:r>
      <w:r>
        <w:rPr>
          <w:rFonts w:ascii="Times New Roman" w:hAnsi="Times New Roman" w:cs="Times New Roman"/>
          <w:bCs/>
          <w:sz w:val="24"/>
          <w:szCs w:val="24"/>
        </w:rPr>
        <w:t xml:space="preserve"> +  .90987285, sqrt( .90987285)) if outcome == 1</w:t>
      </w:r>
    </w:p>
    <w:p w14:paraId="1407B5D7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hist LP</w:t>
      </w:r>
    </w:p>
    <w:p w14:paraId="06D7A997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* looks similar to Pavlou, though perhaps not quite as wide or asymmetrical</w:t>
      </w:r>
    </w:p>
    <w:p w14:paraId="1A91A6FA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gen P = exp(LP)/(1+exp(LP)) </w:t>
      </w:r>
    </w:p>
    <w:p w14:paraId="60BF833C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gen outcome_test = rbinomial(1,P)</w:t>
      </w:r>
    </w:p>
    <w:p w14:paraId="2E1A7A67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summ outcome_test</w:t>
      </w:r>
    </w:p>
    <w:p w14:paraId="48D68095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bCs/>
          <w:sz w:val="24"/>
          <w:szCs w:val="24"/>
        </w:rPr>
        <w:t>* gives 0.</w:t>
      </w: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20</w:t>
      </w:r>
      <w:r>
        <w:rPr>
          <w:rFonts w:ascii="Times New Roman" w:hAnsi="Times New Roman" w:cs="Times New Roman"/>
          <w:bCs/>
          <w:sz w:val="24"/>
          <w:szCs w:val="24"/>
        </w:rPr>
        <w:t>, very close to outcome event proportion of 0.</w:t>
      </w: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20</w:t>
      </w:r>
    </w:p>
    <w:p w14:paraId="680FB2B0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* check C-statistic is correct</w:t>
      </w:r>
    </w:p>
    <w:p w14:paraId="3D46EC9E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roctab outcome LP </w:t>
      </w:r>
    </w:p>
    <w:p w14:paraId="64F04BB4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* gives C-statistic of 0.</w:t>
      </w: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75</w:t>
      </w:r>
      <w:r>
        <w:rPr>
          <w:rFonts w:ascii="Times New Roman" w:hAnsi="Times New Roman" w:cs="Times New Roman"/>
          <w:bCs/>
          <w:sz w:val="24"/>
          <w:szCs w:val="24"/>
        </w:rPr>
        <w:t xml:space="preserve"> as required.</w:t>
      </w:r>
    </w:p>
    <w:p w14:paraId="71951E37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</w:p>
    <w:p w14:paraId="00B51E6B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*Implementing this in the sample size calculation for the calibration slope</w:t>
      </w:r>
    </w:p>
    <w:p w14:paraId="3F5C9ADB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clear all</w:t>
      </w:r>
    </w:p>
    <w:p w14:paraId="5EAD8EF0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set obs 1000000</w:t>
      </w:r>
    </w:p>
    <w:p w14:paraId="43516827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set seed 1234</w:t>
      </w:r>
    </w:p>
    <w:p w14:paraId="25156747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gen outcome = rbinomial(1,0.</w:t>
      </w: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20</w:t>
      </w:r>
      <w:r>
        <w:rPr>
          <w:rFonts w:ascii="Times New Roman" w:hAnsi="Times New Roman" w:cs="Times New Roman"/>
          <w:bCs/>
          <w:sz w:val="24"/>
          <w:szCs w:val="24"/>
        </w:rPr>
        <w:t>)</w:t>
      </w:r>
    </w:p>
    <w:p w14:paraId="4127D0BB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* non-events group</w:t>
      </w:r>
    </w:p>
    <w:p w14:paraId="2F7F69C8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gen LP = rnormal(-</w:t>
      </w: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1.8</w:t>
      </w:r>
      <w:r>
        <w:rPr>
          <w:rFonts w:ascii="Times New Roman" w:hAnsi="Times New Roman" w:cs="Times New Roman"/>
          <w:bCs/>
          <w:sz w:val="24"/>
          <w:szCs w:val="24"/>
        </w:rPr>
        <w:t>, sqrt(.90987285))</w:t>
      </w:r>
    </w:p>
    <w:p w14:paraId="4609DAF3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* events group mean is non-events group mean + S2 </w:t>
      </w:r>
    </w:p>
    <w:p w14:paraId="03216616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replace LP = rnormal(-</w:t>
      </w: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1.8</w:t>
      </w:r>
      <w:r>
        <w:rPr>
          <w:rFonts w:ascii="Times New Roman" w:hAnsi="Times New Roman" w:cs="Times New Roman"/>
          <w:bCs/>
          <w:sz w:val="24"/>
          <w:szCs w:val="24"/>
        </w:rPr>
        <w:t xml:space="preserve"> + .909872856, sqrt(.90987285)) if outcome == 1</w:t>
      </w:r>
    </w:p>
    <w:p w14:paraId="33560A3F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* input assumed parameters of calibration model</w:t>
      </w:r>
    </w:p>
    <w:p w14:paraId="06D3EBD5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global beta0 = 0</w:t>
      </w:r>
    </w:p>
    <w:p w14:paraId="0B0B05CD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global beta1 = 1</w:t>
      </w:r>
    </w:p>
    <w:p w14:paraId="40EA3E86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* calculate elements of I matrix</w:t>
      </w:r>
    </w:p>
    <w:p w14:paraId="756D653B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gen Borenstein_00 = exp($beta0 + ($beta1*LP))/((1+ exp($beta0 + ($beta1 *LP)))^2)</w:t>
      </w:r>
    </w:p>
    <w:p w14:paraId="00D17E60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gen Borenstein_01 = LP*exp($beta0 + ($beta1 *LP))/((1+ exp($beta0 + ($beta1 *LP)))^2)</w:t>
      </w:r>
    </w:p>
    <w:p w14:paraId="7FE9D8C0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gen Borenstein_11 = LP*LP*exp($beta0 + ($beta1 *LP))/((1+ exp($beta0 + ($beta1 *LP)))^2)</w:t>
      </w:r>
    </w:p>
    <w:p w14:paraId="492D4093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qui summ Borenstein_00</w:t>
      </w:r>
    </w:p>
    <w:p w14:paraId="68133253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global I_00 = r(mean)</w:t>
      </w:r>
    </w:p>
    <w:p w14:paraId="437E7BB6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disp "I_00 =" r(mean)</w:t>
      </w:r>
    </w:p>
    <w:p w14:paraId="665CBB9F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qui summ Borenstein_01</w:t>
      </w:r>
    </w:p>
    <w:p w14:paraId="0E96C00C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global I_01 = r(mean)</w:t>
      </w:r>
    </w:p>
    <w:p w14:paraId="48523472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disp "I_01 =" r(mean)</w:t>
      </w:r>
    </w:p>
    <w:p w14:paraId="14B2DA13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qui summ Borenstein_11</w:t>
      </w:r>
    </w:p>
    <w:p w14:paraId="2C64CA85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global I_11 = r(mean)</w:t>
      </w:r>
    </w:p>
    <w:p w14:paraId="31BA0BF6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disp "I_11 =" r(mean)</w:t>
      </w:r>
    </w:p>
    <w:p w14:paraId="4969A652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bCs/>
          <w:sz w:val="24"/>
          <w:szCs w:val="24"/>
        </w:rPr>
        <w:t>* input desired SE: target a CI width of 0.</w:t>
      </w: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>, which corresponds to a SE of 0.</w:t>
      </w: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128</w:t>
      </w:r>
    </w:p>
    <w:p w14:paraId="751E7C57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bCs/>
          <w:sz w:val="24"/>
          <w:szCs w:val="24"/>
        </w:rPr>
        <w:t>global seslope = 0.</w:t>
      </w: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128</w:t>
      </w:r>
    </w:p>
    <w:p w14:paraId="2D950CAB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* alternatively: local seslope = CIwidth/(2*1.96)</w:t>
      </w:r>
    </w:p>
    <w:p w14:paraId="4A13C7B9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* input outcome event proportion</w:t>
      </w:r>
    </w:p>
    <w:p w14:paraId="73E1E89C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bCs/>
          <w:sz w:val="24"/>
          <w:szCs w:val="24"/>
        </w:rPr>
        <w:t>global outcome_prop = 0.</w:t>
      </w: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20</w:t>
      </w:r>
    </w:p>
    <w:p w14:paraId="3CA591CC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* calculate sample size</w:t>
      </w:r>
    </w:p>
    <w:p w14:paraId="36D712F4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global sampsize_slope = ($I_00 / ($seslope * $seslope * (($I_00 * $I_11) - ($I_01 * $I_01))))</w:t>
      </w:r>
    </w:p>
    <w:p w14:paraId="73FEFE4B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</w:p>
    <w:p w14:paraId="186E736B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disp "Required sample size (events) for calibration slope = " $sampsize_slope " (" $sampsize_slope*$outcome_prop ")"</w:t>
      </w:r>
    </w:p>
    <w:p w14:paraId="604E8033">
      <w:pPr>
        <w:spacing w:before="0" w:after="0"/>
        <w:rPr>
          <w:rFonts w:ascii="Times New Roman" w:hAnsi="Times New Roman" w:cs="Times New Roman"/>
          <w:bCs/>
          <w:sz w:val="24"/>
          <w:szCs w:val="24"/>
        </w:rPr>
      </w:pPr>
    </w:p>
    <w:p w14:paraId="3E990470">
      <w:pPr>
        <w:spacing w:before="0" w:after="0"/>
        <w:rPr>
          <w:rFonts w:ascii="Times New Roman" w:hAnsi="Times New Roman" w:eastAsia="宋体" w:cs="Times New Roman"/>
          <w:b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/>
          <w:sz w:val="24"/>
          <w:szCs w:val="24"/>
          <w:lang w:val="en-US" w:eastAsia="zh-CN"/>
        </w:rPr>
        <w:t>* STEP (iii): C-statistic calculation</w:t>
      </w:r>
    </w:p>
    <w:p w14:paraId="0F4C0359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 xml:space="preserve">* target a CI width of 0.1, which equates to a SE of 0.02551 </w:t>
      </w:r>
    </w:p>
    <w:p w14:paraId="72292BD2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clear all</w:t>
      </w:r>
    </w:p>
    <w:p w14:paraId="308303DD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* inputs</w:t>
      </w:r>
    </w:p>
    <w:p w14:paraId="2D37F068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global outcome_prop = 0.20</w:t>
      </w:r>
    </w:p>
    <w:p w14:paraId="560E8552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global Cstat = 0.75</w:t>
      </w:r>
    </w:p>
    <w:p w14:paraId="061D75D5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* No closed form solution so need an iterative or deductive approach</w:t>
      </w:r>
    </w:p>
    <w:p w14:paraId="333E1418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* First calculate the SE for a range of N</w:t>
      </w:r>
    </w:p>
    <w:p w14:paraId="6F959A88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set obs 10000000</w:t>
      </w:r>
    </w:p>
    <w:p w14:paraId="59564DFD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gen size = _n</w:t>
      </w:r>
    </w:p>
    <w:p w14:paraId="5EFAC30B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gen seCstatsq = $Cstat*(1-$Cstat)*(1+(((size/2)-1)*((1-$Cstat)/(2-$Cstat)))+((((size/2)-1)*$Cstat)/(1+$Cstat)))/(size*size*$outcome_prop*(1-$outcome_prop))</w:t>
      </w:r>
    </w:p>
    <w:p w14:paraId="5519588F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gen seCstat = sqrt(seCstatsq)</w:t>
      </w:r>
    </w:p>
    <w:p w14:paraId="48673E70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 xml:space="preserve">gen CIwidth = 2*1.96*seCstat </w:t>
      </w:r>
    </w:p>
    <w:p w14:paraId="3BD33C62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* Now identify the sample sizes that give a CIwidth no wider than the desired value</w:t>
      </w:r>
    </w:p>
    <w:p w14:paraId="31C05272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drop if CIwidth&gt;0.1000</w:t>
      </w:r>
    </w:p>
    <w:p w14:paraId="3A27A6E5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* Finally identify the minimum of all these sample sizes</w:t>
      </w:r>
    </w:p>
    <w:p w14:paraId="1E3A83F9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qui summ size</w:t>
      </w:r>
    </w:p>
    <w:p w14:paraId="45E5A6B2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global sampsize_Cstat = r(min)</w:t>
      </w:r>
    </w:p>
    <w:p w14:paraId="1638E032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disp "Required sample size (events) for C-statistic " $sampsize_Cstat " (" $sampsize_Cstat*$outcome_prop ")"</w:t>
      </w:r>
    </w:p>
    <w:p w14:paraId="1EFD965D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</w:p>
    <w:p w14:paraId="017E2A1B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* STEP (iv): Net benefit calculation</w:t>
      </w:r>
    </w:p>
    <w:p w14:paraId="602209C0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* target an anticipated outcome event proportion of 0.20, a sensitivity of 0.75 and a specificity of 0.54 at risk threshold of 0.30；</w:t>
      </w:r>
    </w:p>
    <w:p w14:paraId="14DCF095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* target an anticipated outcome event proportion of 0.20, a sensitivity of 0.68 and a specificity of 0.62 at optimal risk threshold of 0.17；</w:t>
      </w:r>
    </w:p>
    <w:p w14:paraId="7B063D4C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clear all</w:t>
      </w:r>
    </w:p>
    <w:p w14:paraId="396A7D27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 xml:space="preserve">* inputs </w:t>
      </w:r>
    </w:p>
    <w:p w14:paraId="4550146A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global outcome_prop = 0.20</w:t>
      </w:r>
    </w:p>
    <w:p w14:paraId="2C2BF8C8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global sens = 0.75</w:t>
      </w:r>
    </w:p>
    <w:p w14:paraId="2DF3D511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global spec = 0.54</w:t>
      </w:r>
    </w:p>
    <w:p w14:paraId="7E41C0CB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global threshold = 0.30</w:t>
      </w:r>
    </w:p>
    <w:p w14:paraId="3B8E20DC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global NB = ($sens*$outcome_prop) - ((1-$spec)*(1-$outcome_prop)*($threshold/(1-$threshold)))</w:t>
      </w:r>
    </w:p>
    <w:p w14:paraId="568F6E2A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global sNB = $NB/$outcome_prop</w:t>
      </w:r>
    </w:p>
    <w:p w14:paraId="57821DB8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* calculate NB and sNB</w:t>
      </w:r>
    </w:p>
    <w:p w14:paraId="35BAFB3A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 xml:space="preserve">disp "net benefit =  $NB </w:t>
      </w:r>
    </w:p>
    <w:p w14:paraId="6144C2AD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disp "standardised net benefit = " $sNB</w:t>
      </w:r>
    </w:p>
    <w:p w14:paraId="25ED4230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global w = ((1-$outcome_prop)/$outcome_prop)*($threshold/(1-$threshold))</w:t>
      </w:r>
    </w:p>
    <w:p w14:paraId="1A10EF07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* target CI width for sNB of 0.5, which corresponds to SE of 0.128</w:t>
      </w:r>
    </w:p>
    <w:p w14:paraId="16AE8CE1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* input SE</w:t>
      </w:r>
    </w:p>
    <w:p w14:paraId="415F4318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global sesNB = 0.128</w:t>
      </w:r>
    </w:p>
    <w:p w14:paraId="7E9DC1C3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* calculate sample size</w:t>
      </w:r>
    </w:p>
    <w:p w14:paraId="051F5213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global sampsize_sNB = (1/($sesNB^2))*((($sens*(1-$sens))/$outcome_prop)+($w*$w*$spec*(1-$spec)/(1-$outcome_prop))+($w*$w*(1-$spec)*(1-$spec)/($outcome_prop*(1-$outcome_prop))))</w:t>
      </w:r>
    </w:p>
    <w:p w14:paraId="1D9C5CAD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disp "Required sample size (events) for standardised net benefit = " $sampsize_sNB " (" $sampsize_sNB*$outcome_prop ")"</w:t>
      </w:r>
    </w:p>
    <w:p w14:paraId="129C0E0D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</w:p>
    <w:p w14:paraId="07D3BADA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* STEP (v): Summary of findings</w:t>
      </w:r>
    </w:p>
    <w:p w14:paraId="60B40486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disp "Required sample size (events) for O/E = " $sampsize_OE " (" $sampsize_OE*$outcome_prop ")" _newline "Required sample size (events) for calibration slope = " $sampsize_slope " (" $sampsize_slope*$outcome_prop ")" _newline "Required sample size (events) for C-statistic " $sampsize_Cstat " (" $sampsize_Cstat*$outcome_prop ")"  _newline "Required sample size (events) for standardised net benefit = " $sampsize_sNB " (" $sampsize_sNB*$outcome_prop ")"</w:t>
      </w:r>
    </w:p>
    <w:p w14:paraId="751E85E2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Required sample size (events) for O/E = 244.14063 (48.828125)</w:t>
      </w:r>
    </w:p>
    <w:p w14:paraId="2F031CF3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Required sample size (events) for calibration slope = 554.36239 (110.87248)</w:t>
      </w:r>
    </w:p>
    <w:p w14:paraId="257A54D8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Required sample size (events) for C-statistic 568 (113.6)</w:t>
      </w:r>
    </w:p>
    <w:p w14:paraId="6115AFA5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Required sample size (events) for standardised net benefit = 350.12942 (70.025884)</w:t>
      </w:r>
    </w:p>
    <w:p w14:paraId="18002A3B">
      <w:pPr>
        <w:spacing w:before="0" w:after="0"/>
        <w:rPr>
          <w:rFonts w:ascii="Times New Roman" w:hAnsi="Times New Roman" w:eastAsia="宋体" w:cs="Times New Roman"/>
          <w:b/>
          <w:sz w:val="28"/>
          <w:szCs w:val="28"/>
          <w:lang w:val="en-US" w:eastAsia="zh-CN"/>
        </w:rPr>
      </w:pPr>
    </w:p>
    <w:p w14:paraId="5960D261">
      <w:pPr>
        <w:spacing w:before="0" w:after="0"/>
        <w:rPr>
          <w:rFonts w:ascii="Times New Roman" w:hAnsi="Times New Roman" w:eastAsia="宋体" w:cs="Times New Roman"/>
          <w:b/>
          <w:sz w:val="28"/>
          <w:szCs w:val="28"/>
          <w:lang w:val="en-US" w:eastAsia="zh-CN"/>
        </w:rPr>
      </w:pPr>
      <w:r>
        <w:rPr>
          <w:rFonts w:ascii="Times New Roman" w:hAnsi="Times New Roman" w:eastAsia="宋体" w:cs="Times New Roman"/>
          <w:b/>
          <w:sz w:val="28"/>
          <w:szCs w:val="28"/>
          <w:lang w:val="en-US" w:eastAsia="zh-CN"/>
        </w:rPr>
        <w:t>S</w:t>
      </w:r>
      <w:r>
        <w:rPr>
          <w:rFonts w:hint="eastAsia" w:ascii="Times New Roman" w:hAnsi="Times New Roman" w:eastAsia="宋体" w:cs="Times New Roman"/>
          <w:b/>
          <w:sz w:val="28"/>
          <w:szCs w:val="28"/>
          <w:lang w:val="en-US" w:eastAsia="zh-CN"/>
        </w:rPr>
        <w:t>3</w:t>
      </w:r>
      <w:r>
        <w:rPr>
          <w:rFonts w:ascii="Times New Roman" w:hAnsi="Times New Roman" w:eastAsia="宋体" w:cs="Times New Roman"/>
          <w:b/>
          <w:sz w:val="28"/>
          <w:szCs w:val="28"/>
          <w:lang w:val="en-US" w:eastAsia="zh-CN"/>
        </w:rPr>
        <w:t xml:space="preserve">: Summary of previous models </w:t>
      </w:r>
    </w:p>
    <w:p w14:paraId="7273AEDF">
      <w:pPr>
        <w:spacing w:before="0" w:after="0"/>
        <w:rPr>
          <w:rFonts w:ascii="Times New Roman" w:hAnsi="Times New Roman" w:eastAsia="宋体" w:cs="Times New Roman"/>
          <w:b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/>
          <w:sz w:val="24"/>
          <w:szCs w:val="24"/>
          <w:lang w:val="en-US" w:eastAsia="zh-CN"/>
        </w:rPr>
        <w:t xml:space="preserve">Nmodel: </w:t>
      </w:r>
    </w:p>
    <w:p w14:paraId="5B08A6D5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 xml:space="preserve">The formula for risk: Risk = 1/[1 + exp(score)]. </w:t>
      </w:r>
    </w:p>
    <w:p w14:paraId="75F5231A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Score reference model: –4.44 + [0.57 × (age &lt; 55 years + Ba &lt; 4 + 3 × subjective UI + 2 × MUS)].</w:t>
      </w:r>
    </w:p>
    <w:p w14:paraId="58508199">
      <w:pPr>
        <w:spacing w:before="0" w:after="0"/>
        <w:rPr>
          <w:rFonts w:ascii="Times New Roman" w:hAnsi="Times New Roman" w:eastAsia="宋体" w:cs="Times New Roman"/>
          <w:b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/>
          <w:sz w:val="24"/>
          <w:szCs w:val="24"/>
          <w:lang w:val="en-US" w:eastAsia="zh-CN"/>
        </w:rPr>
        <w:t>Kmodel:</w:t>
      </w:r>
    </w:p>
    <w:p w14:paraId="2388ACD1">
      <w:pPr>
        <w:spacing w:before="0" w:after="0"/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Cs/>
          <w:sz w:val="24"/>
          <w:szCs w:val="24"/>
          <w:lang w:val="en-US" w:eastAsia="zh-CN"/>
        </w:rPr>
        <w:t>Logistic regression equation of the model without the stress test: 3.42 + 1.01 × age (≥ 55 years) + 0.59 × diabetes mellitus + 0.97 × subjective urinary incontinence – 2.44 × concomitant midurethral sling + 0.68 × sacrocolpopexy.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21301209"/>
      <w:docPartObj>
        <w:docPartGallery w:val="AutoText"/>
      </w:docPartObj>
    </w:sdtPr>
    <w:sdtEndPr>
      <w:rPr>
        <w:rFonts w:ascii="Times New Roman" w:hAnsi="Times New Roman" w:cs="Times New Roman"/>
      </w:rPr>
    </w:sdtEndPr>
    <w:sdtContent>
      <w:p w14:paraId="3285C379">
        <w:pPr>
          <w:pStyle w:val="5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lang w:val="zh-CN" w:eastAsia="zh-CN"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DCE038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881B85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7A726B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96B554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58FF92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B66196"/>
    <w:multiLevelType w:val="multilevel"/>
    <w:tmpl w:val="00B66196"/>
    <w:lvl w:ilvl="0" w:tentative="0">
      <w:start w:val="1"/>
      <w:numFmt w:val="decimal"/>
      <w:pStyle w:val="2"/>
      <w:lvlText w:val="%1"/>
      <w:lvlJc w:val="left"/>
      <w:pPr>
        <w:ind w:left="432" w:hanging="432"/>
      </w:pPr>
    </w:lvl>
    <w:lvl w:ilvl="1" w:tentative="0">
      <w:start w:val="1"/>
      <w:numFmt w:val="decimal"/>
      <w:lvlText w:val="%1.%2"/>
      <w:lvlJc w:val="left"/>
      <w:pPr>
        <w:ind w:left="576" w:hanging="576"/>
      </w:pPr>
    </w:lvl>
    <w:lvl w:ilvl="2" w:tentative="0">
      <w:start w:val="1"/>
      <w:numFmt w:val="decimal"/>
      <w:lvlText w:val="%1.%2.%3"/>
      <w:lvlJc w:val="left"/>
      <w:pPr>
        <w:ind w:left="720" w:hanging="720"/>
      </w:pPr>
    </w:lvl>
    <w:lvl w:ilvl="3" w:tentative="0">
      <w:start w:val="1"/>
      <w:numFmt w:val="decimal"/>
      <w:lvlText w:val="%1.%2.%3.%4"/>
      <w:lvlJc w:val="left"/>
      <w:pPr>
        <w:ind w:left="864" w:hanging="864"/>
      </w:pPr>
    </w:lvl>
    <w:lvl w:ilvl="4" w:tentative="0">
      <w:start w:val="1"/>
      <w:numFmt w:val="decimal"/>
      <w:lvlText w:val="%1.%2.%3.%4.%5"/>
      <w:lvlJc w:val="left"/>
      <w:pPr>
        <w:ind w:left="1008" w:hanging="1008"/>
      </w:pPr>
    </w:lvl>
    <w:lvl w:ilvl="5" w:tentative="0">
      <w:start w:val="1"/>
      <w:numFmt w:val="decimal"/>
      <w:lvlText w:val="%1.%2.%3.%4.%5.%6"/>
      <w:lvlJc w:val="left"/>
      <w:pPr>
        <w:ind w:left="1152" w:hanging="1152"/>
      </w:pPr>
    </w:lvl>
    <w:lvl w:ilvl="6" w:tentative="0">
      <w:start w:val="1"/>
      <w:numFmt w:val="decimal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ljYzUzMWQ4OWI0YzBkYjYzMDRhZTY5ZjZkYmFmYTgifQ=="/>
  </w:docVars>
  <w:rsids>
    <w:rsidRoot w:val="708A18F4"/>
    <w:rsid w:val="000A4C2B"/>
    <w:rsid w:val="00137443"/>
    <w:rsid w:val="001E3C61"/>
    <w:rsid w:val="00311E1C"/>
    <w:rsid w:val="003275A4"/>
    <w:rsid w:val="00717A3D"/>
    <w:rsid w:val="007C4012"/>
    <w:rsid w:val="0081248A"/>
    <w:rsid w:val="00AD7374"/>
    <w:rsid w:val="00B7571E"/>
    <w:rsid w:val="00C0222C"/>
    <w:rsid w:val="00EB258E"/>
    <w:rsid w:val="00FE6F42"/>
    <w:rsid w:val="023171E6"/>
    <w:rsid w:val="0609003F"/>
    <w:rsid w:val="090C4E18"/>
    <w:rsid w:val="0C82271A"/>
    <w:rsid w:val="13460D42"/>
    <w:rsid w:val="163F682C"/>
    <w:rsid w:val="197E7175"/>
    <w:rsid w:val="1C7B67DE"/>
    <w:rsid w:val="20E474CA"/>
    <w:rsid w:val="335E60EC"/>
    <w:rsid w:val="38235F83"/>
    <w:rsid w:val="416C6D67"/>
    <w:rsid w:val="43902333"/>
    <w:rsid w:val="4BEB7BA9"/>
    <w:rsid w:val="4D907392"/>
    <w:rsid w:val="4F7B197C"/>
    <w:rsid w:val="56B20379"/>
    <w:rsid w:val="56D71B8E"/>
    <w:rsid w:val="6DDD12AB"/>
    <w:rsid w:val="6EFF6E7F"/>
    <w:rsid w:val="708A18F4"/>
    <w:rsid w:val="76DF1544"/>
    <w:rsid w:val="7FDF0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 w:line="360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numPr>
        <w:ilvl w:val="0"/>
        <w:numId w:val="1"/>
      </w:numPr>
      <w:spacing w:before="60" w:after="60"/>
      <w:ind w:left="431" w:hanging="431"/>
      <w:outlineLvl w:val="0"/>
    </w:pPr>
    <w:rPr>
      <w:rFonts w:cs="Times New Roman" w:eastAsiaTheme="majorEastAsia"/>
      <w:b/>
      <w:color w:val="000000" w:themeColor="text1"/>
      <w:sz w:val="32"/>
      <w:szCs w:val="32"/>
      <w14:textFill>
        <w14:solidFill>
          <w14:schemeClr w14:val="tx1"/>
        </w14:solidFill>
      </w14:textFill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before="180" w:after="180"/>
    </w:pPr>
  </w:style>
  <w:style w:type="paragraph" w:styleId="5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7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页眉 字符"/>
    <w:basedOn w:val="9"/>
    <w:link w:val="6"/>
    <w:qFormat/>
    <w:uiPriority w:val="0"/>
    <w:rPr>
      <w:rFonts w:asciiTheme="minorHAnsi" w:hAnsiTheme="minorHAnsi" w:eastAsiaTheme="minorHAnsi" w:cstheme="minorBidi"/>
      <w:sz w:val="18"/>
      <w:szCs w:val="18"/>
      <w:lang w:val="en-GB" w:eastAsia="en-US"/>
    </w:rPr>
  </w:style>
  <w:style w:type="character" w:customStyle="1" w:styleId="12">
    <w:name w:val="页脚 字符"/>
    <w:basedOn w:val="9"/>
    <w:link w:val="5"/>
    <w:qFormat/>
    <w:uiPriority w:val="99"/>
    <w:rPr>
      <w:rFonts w:asciiTheme="minorHAnsi" w:hAnsiTheme="minorHAnsi" w:eastAsiaTheme="minorHAnsi" w:cstheme="minorBidi"/>
      <w:sz w:val="18"/>
      <w:szCs w:val="18"/>
      <w:lang w:val="en-GB" w:eastAsia="en-US"/>
    </w:rPr>
  </w:style>
  <w:style w:type="paragraph" w:customStyle="1" w:styleId="13">
    <w:name w:val="First Paragraph"/>
    <w:basedOn w:val="4"/>
    <w:next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984</Words>
  <Characters>5462</Characters>
  <Lines>166</Lines>
  <Paragraphs>150</Paragraphs>
  <TotalTime>1</TotalTime>
  <ScaleCrop>false</ScaleCrop>
  <LinksUpToDate>false</LinksUpToDate>
  <CharactersWithSpaces>6332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2025-03-21T11:00:00Z</dcterms:created>
  <dc:creator>璨</dc:creator>
  <cp:lastModifiedBy>璨</cp:lastModifiedBy>
  <dcterms:modified xsi:type="dcterms:W3CDTF">2026-07-16T13:52:07Z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2AA276B90037433FBA2D2FCB6C4DAC71_13</vt:lpwstr>
  </property>
  <property fmtid="{D5CDD505-2E9C-101B-9397-08002B2CF9AE}" pid="4" name="KSOTemplateDocerSaveRecord">
    <vt:lpwstr>eyJoZGlkIjoiMDljYzUzMWQ4OWI0YzBkYjYzMDRhZTY5ZjZkYmFmYTgiLCJ1c2VySWQiOiIyNDcyMjU4NDkifQ==</vt:lpwstr>
  </property>
</Properties>
</file>