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794AC" w14:textId="77777777" w:rsidR="007A2549" w:rsidRPr="00044891" w:rsidRDefault="007A2549" w:rsidP="007A2549">
      <w:pPr>
        <w:rPr>
          <w:rFonts w:ascii="Arial" w:hAnsi="Arial" w:cs="Arial"/>
          <w:b/>
          <w:sz w:val="20"/>
          <w:szCs w:val="20"/>
        </w:rPr>
      </w:pPr>
      <w:r w:rsidRPr="00BB580C">
        <w:rPr>
          <w:rFonts w:ascii="Arial" w:hAnsi="Arial" w:cs="Arial"/>
          <w:b/>
          <w:sz w:val="20"/>
          <w:szCs w:val="20"/>
        </w:rPr>
        <w:t>Supplementary Table 1. Characteristics of male COVID-19 patients admitted to the resuscitation unit and used for serum hormonal measurements</w:t>
      </w:r>
      <w:r>
        <w:rPr>
          <w:rFonts w:ascii="Arial" w:hAnsi="Arial" w:cs="Arial"/>
          <w:b/>
          <w:sz w:val="20"/>
          <w:szCs w:val="20"/>
        </w:rPr>
        <w:t xml:space="preserve"> </w:t>
      </w:r>
      <w:r w:rsidRPr="00E0687A">
        <w:rPr>
          <w:rFonts w:ascii="Arial" w:hAnsi="Arial" w:cs="Arial"/>
          <w:sz w:val="20"/>
          <w:szCs w:val="20"/>
        </w:rPr>
        <w:t xml:space="preserve">(Excel file </w:t>
      </w:r>
      <w:r>
        <w:rPr>
          <w:rFonts w:ascii="Arial" w:hAnsi="Arial" w:cs="Arial"/>
          <w:sz w:val="20"/>
          <w:szCs w:val="20"/>
        </w:rPr>
        <w:t>attached</w:t>
      </w:r>
      <w:r w:rsidRPr="00E0687A">
        <w:rPr>
          <w:rFonts w:ascii="Arial" w:hAnsi="Arial" w:cs="Arial"/>
          <w:sz w:val="20"/>
          <w:szCs w:val="20"/>
        </w:rPr>
        <w:t>)</w:t>
      </w:r>
    </w:p>
    <w:p w14:paraId="10CF4F59" w14:textId="77777777" w:rsidR="007A2549" w:rsidRPr="00044891" w:rsidRDefault="007A2549" w:rsidP="007A2549">
      <w:pPr>
        <w:rPr>
          <w:rFonts w:ascii="Arial" w:hAnsi="Arial" w:cs="Arial"/>
          <w:b/>
          <w:sz w:val="20"/>
          <w:szCs w:val="20"/>
        </w:rPr>
      </w:pPr>
    </w:p>
    <w:p w14:paraId="7C23BA08" w14:textId="77777777" w:rsidR="007A2549" w:rsidRPr="00044891" w:rsidRDefault="007A2549" w:rsidP="007A2549">
      <w:pPr>
        <w:rPr>
          <w:rFonts w:ascii="Arial" w:hAnsi="Arial" w:cs="Arial"/>
          <w:b/>
          <w:sz w:val="20"/>
          <w:szCs w:val="20"/>
        </w:rPr>
      </w:pPr>
      <w:r w:rsidRPr="00044891">
        <w:rPr>
          <w:rFonts w:ascii="Arial" w:hAnsi="Arial" w:cs="Arial"/>
          <w:b/>
          <w:sz w:val="20"/>
          <w:szCs w:val="20"/>
        </w:rPr>
        <w:br w:type="page"/>
      </w:r>
    </w:p>
    <w:p w14:paraId="01A4C7A9" w14:textId="77777777" w:rsidR="007A2549" w:rsidRPr="00044891" w:rsidRDefault="007A2549" w:rsidP="007A2549">
      <w:pPr>
        <w:rPr>
          <w:rFonts w:ascii="Arial" w:hAnsi="Arial" w:cs="Arial"/>
          <w:b/>
          <w:sz w:val="20"/>
          <w:szCs w:val="20"/>
        </w:rPr>
      </w:pPr>
      <w:r>
        <w:rPr>
          <w:rFonts w:ascii="Arial" w:hAnsi="Arial" w:cs="Arial"/>
          <w:b/>
          <w:noProof/>
          <w:sz w:val="20"/>
          <w:szCs w:val="20"/>
          <w:lang w:val="fr-FR" w:eastAsia="fr-FR"/>
        </w:rPr>
        <w:lastRenderedPageBreak/>
        <w:drawing>
          <wp:inline distT="0" distB="0" distL="0" distR="0" wp14:anchorId="521F67BB" wp14:editId="19DB6034">
            <wp:extent cx="5972810" cy="8068945"/>
            <wp:effectExtent l="0" t="0" r="0" b="0"/>
            <wp:docPr id="10" name="Imag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72810" cy="8068945"/>
                    </a:xfrm>
                    <a:prstGeom prst="rect">
                      <a:avLst/>
                    </a:prstGeom>
                  </pic:spPr>
                </pic:pic>
              </a:graphicData>
            </a:graphic>
          </wp:inline>
        </w:drawing>
      </w:r>
    </w:p>
    <w:p w14:paraId="298C5086" w14:textId="77777777" w:rsidR="007A2549" w:rsidRPr="00044891" w:rsidRDefault="007A2549" w:rsidP="007A2549">
      <w:pPr>
        <w:spacing w:after="0"/>
        <w:rPr>
          <w:rFonts w:ascii="Arial" w:hAnsi="Arial" w:cs="Arial"/>
          <w:b/>
          <w:sz w:val="20"/>
          <w:szCs w:val="20"/>
        </w:rPr>
      </w:pPr>
      <w:r w:rsidRPr="00044891">
        <w:rPr>
          <w:rFonts w:ascii="Arial" w:hAnsi="Arial" w:cs="Arial"/>
          <w:b/>
          <w:sz w:val="20"/>
          <w:szCs w:val="20"/>
        </w:rPr>
        <w:lastRenderedPageBreak/>
        <w:t>Supplementary Figure 1. COVID-19 patient survival and serum leptin, CRP and TSH levels</w:t>
      </w:r>
    </w:p>
    <w:p w14:paraId="06F9EC04"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(a) Characterization of serum testosterone levels and HPG axis functions in deceased patients.</w:t>
      </w:r>
    </w:p>
    <w:p w14:paraId="3CE0116F"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(b) Characterization of serum testosterone levels and HPG axis functions in surviving patients.</w:t>
      </w:r>
    </w:p>
    <w:p w14:paraId="7B09A573"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 xml:space="preserve">(c) Negative correlation </w:t>
      </w:r>
      <w:r>
        <w:rPr>
          <w:rFonts w:ascii="Arial" w:hAnsi="Arial" w:cs="Arial"/>
          <w:sz w:val="20"/>
          <w:szCs w:val="20"/>
        </w:rPr>
        <w:t xml:space="preserve">(R = -0.16, </w:t>
      </w:r>
      <w:proofErr w:type="gramStart"/>
      <w:r w:rsidRPr="00EE6C90">
        <w:rPr>
          <w:rFonts w:ascii="Arial" w:hAnsi="Arial" w:cs="Arial"/>
          <w:sz w:val="20"/>
          <w:szCs w:val="20"/>
        </w:rPr>
        <w:t>t</w:t>
      </w:r>
      <w:r w:rsidRPr="001F6A52">
        <w:rPr>
          <w:rFonts w:ascii="Arial" w:hAnsi="Arial" w:cs="Arial"/>
          <w:sz w:val="20"/>
          <w:szCs w:val="20"/>
          <w:vertAlign w:val="subscript"/>
        </w:rPr>
        <w:t>(</w:t>
      </w:r>
      <w:proofErr w:type="gramEnd"/>
      <w:r w:rsidRPr="001F6A52">
        <w:rPr>
          <w:rFonts w:ascii="Arial" w:hAnsi="Arial" w:cs="Arial"/>
          <w:sz w:val="20"/>
          <w:szCs w:val="20"/>
          <w:vertAlign w:val="subscript"/>
        </w:rPr>
        <w:t>159)</w:t>
      </w:r>
      <w:r w:rsidRPr="00EE6C90">
        <w:rPr>
          <w:rFonts w:ascii="Arial" w:hAnsi="Arial" w:cs="Arial"/>
          <w:sz w:val="20"/>
          <w:szCs w:val="20"/>
        </w:rPr>
        <w:t xml:space="preserve"> = -2.0595, </w:t>
      </w:r>
      <w:r>
        <w:rPr>
          <w:rFonts w:ascii="Arial" w:hAnsi="Arial" w:cs="Arial"/>
          <w:sz w:val="20"/>
          <w:szCs w:val="20"/>
        </w:rPr>
        <w:t xml:space="preserve">P </w:t>
      </w:r>
      <w:r w:rsidRPr="00EE6C90">
        <w:rPr>
          <w:rFonts w:ascii="Arial" w:hAnsi="Arial" w:cs="Arial"/>
          <w:sz w:val="20"/>
          <w:szCs w:val="20"/>
        </w:rPr>
        <w:t>= 0.04108</w:t>
      </w:r>
      <w:r>
        <w:rPr>
          <w:rFonts w:ascii="Arial" w:hAnsi="Arial" w:cs="Arial"/>
          <w:sz w:val="20"/>
          <w:szCs w:val="20"/>
        </w:rPr>
        <w:t xml:space="preserve">, n= 161 from 60 patients) </w:t>
      </w:r>
      <w:r w:rsidRPr="00044891">
        <w:rPr>
          <w:rFonts w:ascii="Arial" w:hAnsi="Arial" w:cs="Arial"/>
          <w:sz w:val="20"/>
          <w:szCs w:val="20"/>
        </w:rPr>
        <w:t xml:space="preserve">between serum leptin and testosterone levels in Groups 1-4  irrespective of sampling week, where R is the measure of the strength of linear association between leptin and testosterone (Pearson’s product moment correlation), and </w:t>
      </w:r>
      <w:r>
        <w:rPr>
          <w:rFonts w:ascii="Arial" w:hAnsi="Arial" w:cs="Arial"/>
          <w:sz w:val="20"/>
          <w:szCs w:val="20"/>
        </w:rPr>
        <w:t>P</w:t>
      </w:r>
      <w:r w:rsidRPr="00044891">
        <w:rPr>
          <w:rFonts w:ascii="Arial" w:hAnsi="Arial" w:cs="Arial"/>
          <w:sz w:val="20"/>
          <w:szCs w:val="20"/>
        </w:rPr>
        <w:t xml:space="preserve"> is the t-test significance value.  </w:t>
      </w:r>
    </w:p>
    <w:p w14:paraId="3C1D384B"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(d) Absence of correlation</w:t>
      </w:r>
      <w:r>
        <w:rPr>
          <w:rFonts w:ascii="Arial" w:hAnsi="Arial" w:cs="Arial"/>
          <w:sz w:val="20"/>
          <w:szCs w:val="20"/>
        </w:rPr>
        <w:t xml:space="preserve"> </w:t>
      </w:r>
      <w:r w:rsidRPr="00044891">
        <w:rPr>
          <w:rFonts w:ascii="Arial" w:hAnsi="Arial" w:cs="Arial"/>
          <w:sz w:val="20"/>
          <w:szCs w:val="20"/>
        </w:rPr>
        <w:t>between C-reactive protein (CRP) levels, an indicator of inflammation, and serum testosterone levels (R =0.038,</w:t>
      </w:r>
      <w:r>
        <w:rPr>
          <w:rFonts w:ascii="Arial" w:hAnsi="Arial" w:cs="Arial"/>
          <w:sz w:val="20"/>
          <w:szCs w:val="20"/>
        </w:rPr>
        <w:t xml:space="preserve"> </w:t>
      </w:r>
      <w:proofErr w:type="gramStart"/>
      <w:r>
        <w:rPr>
          <w:rFonts w:ascii="Arial" w:hAnsi="Arial" w:cs="Arial"/>
          <w:sz w:val="20"/>
          <w:szCs w:val="20"/>
        </w:rPr>
        <w:t>t</w:t>
      </w:r>
      <w:r w:rsidRPr="001F6A52">
        <w:rPr>
          <w:rFonts w:ascii="Arial" w:hAnsi="Arial" w:cs="Arial"/>
          <w:sz w:val="20"/>
          <w:szCs w:val="20"/>
          <w:vertAlign w:val="subscript"/>
        </w:rPr>
        <w:t>(</w:t>
      </w:r>
      <w:proofErr w:type="gramEnd"/>
      <w:r w:rsidRPr="001F6A52">
        <w:rPr>
          <w:rFonts w:ascii="Arial" w:hAnsi="Arial" w:cs="Arial"/>
          <w:sz w:val="20"/>
          <w:szCs w:val="20"/>
          <w:vertAlign w:val="subscript"/>
        </w:rPr>
        <w:t>296)</w:t>
      </w:r>
      <w:r>
        <w:rPr>
          <w:rFonts w:ascii="Arial" w:hAnsi="Arial" w:cs="Arial"/>
          <w:sz w:val="20"/>
          <w:szCs w:val="20"/>
        </w:rPr>
        <w:t xml:space="preserve"> = 0.6491,</w:t>
      </w:r>
      <w:r w:rsidRPr="00044891">
        <w:rPr>
          <w:rFonts w:ascii="Arial" w:hAnsi="Arial" w:cs="Arial"/>
          <w:sz w:val="20"/>
          <w:szCs w:val="20"/>
        </w:rPr>
        <w:t xml:space="preserve"> </w:t>
      </w:r>
      <w:r>
        <w:rPr>
          <w:rFonts w:ascii="Arial" w:hAnsi="Arial" w:cs="Arial"/>
          <w:sz w:val="20"/>
          <w:szCs w:val="20"/>
        </w:rPr>
        <w:t xml:space="preserve">P </w:t>
      </w:r>
      <w:r w:rsidRPr="00044891">
        <w:rPr>
          <w:rFonts w:ascii="Arial" w:hAnsi="Arial" w:cs="Arial"/>
          <w:sz w:val="20"/>
          <w:szCs w:val="20"/>
        </w:rPr>
        <w:t>=</w:t>
      </w:r>
      <w:r>
        <w:rPr>
          <w:rFonts w:ascii="Arial" w:hAnsi="Arial" w:cs="Arial"/>
          <w:sz w:val="20"/>
          <w:szCs w:val="20"/>
        </w:rPr>
        <w:t xml:space="preserve"> </w:t>
      </w:r>
      <w:r w:rsidRPr="00044891">
        <w:rPr>
          <w:rFonts w:ascii="Arial" w:hAnsi="Arial" w:cs="Arial"/>
          <w:sz w:val="20"/>
          <w:szCs w:val="20"/>
        </w:rPr>
        <w:t>0.52,</w:t>
      </w:r>
      <w:r>
        <w:rPr>
          <w:rFonts w:ascii="Arial" w:hAnsi="Arial" w:cs="Arial"/>
          <w:sz w:val="20"/>
          <w:szCs w:val="20"/>
        </w:rPr>
        <w:t xml:space="preserve"> n = 299 from 59 patients)</w:t>
      </w:r>
      <w:r w:rsidRPr="00044891">
        <w:rPr>
          <w:rFonts w:ascii="Arial" w:hAnsi="Arial" w:cs="Arial"/>
          <w:sz w:val="20"/>
          <w:szCs w:val="20"/>
        </w:rPr>
        <w:t xml:space="preserve"> where R is the Pearson’s product moment correlation and </w:t>
      </w:r>
      <w:r>
        <w:rPr>
          <w:rFonts w:ascii="Arial" w:hAnsi="Arial" w:cs="Arial"/>
          <w:sz w:val="20"/>
          <w:szCs w:val="20"/>
        </w:rPr>
        <w:t>P</w:t>
      </w:r>
      <w:r w:rsidRPr="00044891">
        <w:rPr>
          <w:rFonts w:ascii="Arial" w:hAnsi="Arial" w:cs="Arial"/>
          <w:sz w:val="20"/>
          <w:szCs w:val="20"/>
        </w:rPr>
        <w:t xml:space="preserve"> is the t-test significance). </w:t>
      </w:r>
    </w:p>
    <w:p w14:paraId="4805777A" w14:textId="77777777" w:rsidR="007A2549" w:rsidRPr="00044891" w:rsidRDefault="007A2549" w:rsidP="007A2549">
      <w:pPr>
        <w:spacing w:after="0"/>
        <w:jc w:val="both"/>
        <w:rPr>
          <w:rFonts w:ascii="Arial" w:hAnsi="Arial" w:cs="Arial"/>
          <w:b/>
          <w:sz w:val="20"/>
          <w:szCs w:val="20"/>
        </w:rPr>
      </w:pPr>
      <w:r w:rsidRPr="00044891">
        <w:rPr>
          <w:rFonts w:ascii="Arial" w:hAnsi="Arial" w:cs="Arial"/>
          <w:sz w:val="20"/>
          <w:szCs w:val="20"/>
        </w:rPr>
        <w:t>(e) Serum TSH levels follow the same pattern as serum LH levels in the different groups, indicating a perturbation of hypothalamic-</w:t>
      </w:r>
      <w:r w:rsidRPr="00D0040F">
        <w:rPr>
          <w:rFonts w:ascii="Arial" w:hAnsi="Arial" w:cs="Arial"/>
          <w:sz w:val="20"/>
          <w:szCs w:val="20"/>
        </w:rPr>
        <w:t>pituitary hormonal axes in general in the hypogonadotropic hypogonadal group and the groups with abnormal HPG axis function. A two-tailed unpaired t-test (Group 2 vs Group 1, t</w:t>
      </w:r>
      <w:r w:rsidRPr="00D0040F">
        <w:rPr>
          <w:rFonts w:ascii="Arial" w:hAnsi="Arial" w:cs="Arial"/>
          <w:sz w:val="20"/>
          <w:szCs w:val="20"/>
          <w:vertAlign w:val="subscript"/>
        </w:rPr>
        <w:t>(24)</w:t>
      </w:r>
      <w:r w:rsidRPr="00D0040F">
        <w:rPr>
          <w:rFonts w:ascii="Arial" w:hAnsi="Arial" w:cs="Arial"/>
          <w:sz w:val="20"/>
          <w:szCs w:val="20"/>
        </w:rPr>
        <w:t xml:space="preserve"> = 0.2759, P = 0.785; Group 3 vs Group 1, t</w:t>
      </w:r>
      <w:r w:rsidRPr="00D0040F">
        <w:rPr>
          <w:rFonts w:ascii="Arial" w:hAnsi="Arial" w:cs="Arial"/>
          <w:sz w:val="20"/>
          <w:szCs w:val="20"/>
          <w:vertAlign w:val="subscript"/>
        </w:rPr>
        <w:t>(12)</w:t>
      </w:r>
      <w:r w:rsidRPr="00D0040F">
        <w:rPr>
          <w:rFonts w:ascii="Arial" w:hAnsi="Arial" w:cs="Arial"/>
          <w:sz w:val="20"/>
          <w:szCs w:val="20"/>
        </w:rPr>
        <w:t xml:space="preserve"> = 3.220, P = 0.0074; Group 4 vs Group 1, t</w:t>
      </w:r>
      <w:r w:rsidRPr="00D0040F">
        <w:rPr>
          <w:rFonts w:ascii="Arial" w:hAnsi="Arial" w:cs="Arial"/>
          <w:sz w:val="20"/>
          <w:szCs w:val="20"/>
          <w:vertAlign w:val="subscript"/>
        </w:rPr>
        <w:t>(37)</w:t>
      </w:r>
      <w:r w:rsidRPr="00D0040F">
        <w:rPr>
          <w:rFonts w:ascii="Arial" w:hAnsi="Arial" w:cs="Arial"/>
          <w:sz w:val="20"/>
          <w:szCs w:val="20"/>
        </w:rPr>
        <w:t xml:space="preserve"> = 2.428, P = 0.0202) was used to estimate the significance of the difference between groups, where n=59 samples from 57 patients during first week of sampling (n for Group 1 = 10, Group 2 = 16, Group 3 = 4, Group 4 = 29) and *p &lt; 0.05, **p &lt; 0.01, ns = non-significant.</w:t>
      </w:r>
    </w:p>
    <w:p w14:paraId="14C5622F" w14:textId="77777777" w:rsidR="007A2549" w:rsidRPr="00044891" w:rsidRDefault="007A2549" w:rsidP="007A2549">
      <w:pPr>
        <w:rPr>
          <w:rFonts w:ascii="Arial" w:hAnsi="Arial" w:cs="Arial"/>
          <w:b/>
          <w:sz w:val="20"/>
          <w:szCs w:val="20"/>
        </w:rPr>
      </w:pPr>
      <w:r w:rsidRPr="00044891">
        <w:rPr>
          <w:rFonts w:ascii="Arial" w:hAnsi="Arial" w:cs="Arial"/>
          <w:b/>
          <w:sz w:val="20"/>
          <w:szCs w:val="20"/>
        </w:rPr>
        <w:br w:type="page"/>
      </w:r>
    </w:p>
    <w:p w14:paraId="735456E6" w14:textId="77777777" w:rsidR="007A2549" w:rsidRPr="00044891" w:rsidRDefault="007A2549" w:rsidP="007A2549">
      <w:pPr>
        <w:rPr>
          <w:rFonts w:ascii="Arial" w:hAnsi="Arial" w:cs="Arial"/>
          <w:b/>
          <w:sz w:val="20"/>
          <w:szCs w:val="20"/>
        </w:rPr>
      </w:pPr>
    </w:p>
    <w:p w14:paraId="0596ADBE" w14:textId="77777777" w:rsidR="007A2549" w:rsidRPr="00044891" w:rsidRDefault="007A2549" w:rsidP="007A2549">
      <w:pPr>
        <w:jc w:val="center"/>
        <w:rPr>
          <w:rFonts w:ascii="Arial" w:hAnsi="Arial" w:cs="Arial"/>
          <w:b/>
          <w:sz w:val="20"/>
          <w:szCs w:val="20"/>
        </w:rPr>
      </w:pPr>
      <w:r w:rsidRPr="00771E6F">
        <w:rPr>
          <w:rFonts w:ascii="Arial" w:hAnsi="Arial" w:cs="Arial"/>
          <w:b/>
          <w:noProof/>
          <w:sz w:val="20"/>
          <w:szCs w:val="20"/>
          <w:lang w:val="fr-FR" w:eastAsia="fr-FR"/>
        </w:rPr>
        <w:drawing>
          <wp:inline distT="0" distB="0" distL="0" distR="0" wp14:anchorId="10067A9E" wp14:editId="639ABD10">
            <wp:extent cx="4445000" cy="4546600"/>
            <wp:effectExtent l="0" t="0" r="0" b="0"/>
            <wp:docPr id="12" name="Imag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45000" cy="4546600"/>
                    </a:xfrm>
                    <a:prstGeom prst="rect">
                      <a:avLst/>
                    </a:prstGeom>
                  </pic:spPr>
                </pic:pic>
              </a:graphicData>
            </a:graphic>
          </wp:inline>
        </w:drawing>
      </w:r>
    </w:p>
    <w:p w14:paraId="009412FE" w14:textId="77777777" w:rsidR="007A2549" w:rsidRPr="00044891" w:rsidRDefault="007A2549" w:rsidP="007A2549">
      <w:pPr>
        <w:jc w:val="center"/>
        <w:rPr>
          <w:rFonts w:ascii="Arial" w:hAnsi="Arial" w:cs="Arial"/>
          <w:b/>
          <w:sz w:val="20"/>
          <w:szCs w:val="20"/>
        </w:rPr>
      </w:pPr>
    </w:p>
    <w:p w14:paraId="4BA939E5" w14:textId="77777777" w:rsidR="007A2549" w:rsidRPr="00044891" w:rsidRDefault="007A2549" w:rsidP="007A2549">
      <w:pPr>
        <w:spacing w:after="0"/>
        <w:jc w:val="both"/>
        <w:rPr>
          <w:rFonts w:ascii="Arial" w:hAnsi="Arial" w:cs="Arial"/>
          <w:b/>
          <w:sz w:val="20"/>
          <w:szCs w:val="20"/>
        </w:rPr>
      </w:pPr>
      <w:r w:rsidRPr="00044891">
        <w:rPr>
          <w:rFonts w:ascii="Arial" w:hAnsi="Arial" w:cs="Arial"/>
          <w:b/>
          <w:sz w:val="20"/>
          <w:szCs w:val="20"/>
        </w:rPr>
        <w:t>Supplementary Figure 2. Quantitative PCR analysis of susceptibility factors in GnRH neurons and SARS-CoV-2 N-protein in the infected mouse brain</w:t>
      </w:r>
    </w:p>
    <w:p w14:paraId="361ED2B2"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a</w:t>
      </w:r>
      <w:r w:rsidRPr="00044891">
        <w:rPr>
          <w:rFonts w:ascii="Arial" w:hAnsi="Arial" w:cs="Arial"/>
          <w:sz w:val="20"/>
          <w:szCs w:val="20"/>
        </w:rPr>
        <w:t xml:space="preserve">) Quantitative PCR analyses for Ace2, TMPRSS2 and NRP1 in mouse GnRH neurons isolated by fluorescence-activated cell sorting (FACS) from </w:t>
      </w:r>
      <w:proofErr w:type="spellStart"/>
      <w:proofErr w:type="gramStart"/>
      <w:r w:rsidRPr="00044891">
        <w:rPr>
          <w:rFonts w:ascii="Arial" w:hAnsi="Arial" w:cs="Arial"/>
          <w:i/>
          <w:sz w:val="20"/>
          <w:szCs w:val="20"/>
        </w:rPr>
        <w:t>Gnrh</w:t>
      </w:r>
      <w:proofErr w:type="spellEnd"/>
      <w:r w:rsidRPr="00044891">
        <w:rPr>
          <w:rFonts w:ascii="Arial" w:hAnsi="Arial" w:cs="Arial"/>
          <w:i/>
          <w:sz w:val="20"/>
          <w:szCs w:val="20"/>
        </w:rPr>
        <w:t>::</w:t>
      </w:r>
      <w:proofErr w:type="spellStart"/>
      <w:proofErr w:type="gramEnd"/>
      <w:r w:rsidRPr="00044891">
        <w:rPr>
          <w:rFonts w:ascii="Arial" w:hAnsi="Arial" w:cs="Arial"/>
          <w:i/>
          <w:sz w:val="20"/>
          <w:szCs w:val="20"/>
        </w:rPr>
        <w:t>Gfp</w:t>
      </w:r>
      <w:proofErr w:type="spellEnd"/>
      <w:r w:rsidRPr="00044891">
        <w:rPr>
          <w:rFonts w:ascii="Arial" w:hAnsi="Arial" w:cs="Arial"/>
          <w:sz w:val="20"/>
          <w:szCs w:val="20"/>
        </w:rPr>
        <w:t xml:space="preserve"> mice. </w:t>
      </w:r>
    </w:p>
    <w:p w14:paraId="5785C710"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b</w:t>
      </w:r>
      <w:r w:rsidRPr="00044891">
        <w:rPr>
          <w:rFonts w:ascii="Arial" w:hAnsi="Arial" w:cs="Arial"/>
          <w:sz w:val="20"/>
          <w:szCs w:val="20"/>
        </w:rPr>
        <w:t xml:space="preserve">) Quantitative PCR analysis for N-protein transcript levels in the </w:t>
      </w:r>
      <w:r>
        <w:rPr>
          <w:rFonts w:ascii="Arial" w:hAnsi="Arial" w:cs="Arial"/>
          <w:sz w:val="20"/>
          <w:szCs w:val="20"/>
        </w:rPr>
        <w:t>cortex</w:t>
      </w:r>
      <w:r w:rsidRPr="00044891">
        <w:rPr>
          <w:rFonts w:ascii="Arial" w:hAnsi="Arial" w:cs="Arial"/>
          <w:sz w:val="20"/>
          <w:szCs w:val="20"/>
        </w:rPr>
        <w:t xml:space="preserve"> of 7d SARS-CoV-2- and mock-infected K18-hACE2 mice using three distinct sets of probes (N1, N2 and N3). Values are expressed relative to transcripts of the housekeeping 18S RNA. (n= 3 mock and 5 SARS-CoV-2-infected animals; two-tailed Mann-Whitney U test</w:t>
      </w:r>
      <w:r>
        <w:rPr>
          <w:rFonts w:ascii="Arial" w:hAnsi="Arial" w:cs="Arial"/>
          <w:sz w:val="20"/>
          <w:szCs w:val="20"/>
        </w:rPr>
        <w:t>; N1, N2 and N3: U=2, P = 0.0476</w:t>
      </w:r>
      <w:r w:rsidRPr="00044891">
        <w:rPr>
          <w:rFonts w:ascii="Arial" w:hAnsi="Arial" w:cs="Arial"/>
          <w:sz w:val="20"/>
          <w:szCs w:val="20"/>
        </w:rPr>
        <w:t xml:space="preserve">). </w:t>
      </w:r>
    </w:p>
    <w:p w14:paraId="423286D5"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c</w:t>
      </w:r>
      <w:r w:rsidRPr="00044891">
        <w:rPr>
          <w:rFonts w:ascii="Arial" w:hAnsi="Arial" w:cs="Arial"/>
          <w:sz w:val="20"/>
          <w:szCs w:val="20"/>
        </w:rPr>
        <w:t xml:space="preserve">) Quantitative PCR analysis comparing N-protein transcript levels between the olfactory bulb, </w:t>
      </w:r>
      <w:proofErr w:type="gramStart"/>
      <w:r w:rsidRPr="00044891">
        <w:rPr>
          <w:rFonts w:ascii="Arial" w:hAnsi="Arial" w:cs="Arial"/>
          <w:sz w:val="20"/>
          <w:szCs w:val="20"/>
        </w:rPr>
        <w:t>hypothalamus</w:t>
      </w:r>
      <w:proofErr w:type="gramEnd"/>
      <w:r w:rsidRPr="00044891">
        <w:rPr>
          <w:rFonts w:ascii="Arial" w:hAnsi="Arial" w:cs="Arial"/>
          <w:sz w:val="20"/>
          <w:szCs w:val="20"/>
        </w:rPr>
        <w:t xml:space="preserve"> and cortex of 7d SARS-CoV-2 infected K18-hACE2 mice using the N2 and N3 probe sets (related to Figure 2a). </w:t>
      </w:r>
      <w:r w:rsidRPr="00A70CB9">
        <w:rPr>
          <w:rFonts w:ascii="Arial" w:hAnsi="Arial" w:cs="Arial"/>
          <w:sz w:val="20"/>
          <w:szCs w:val="20"/>
        </w:rPr>
        <w:t>Friedman’s multiple comparison test: N2 Fr = 7.600, P = 0.0239; N3 Fr = 7.600, P = 0.0239, followed by an uncorrected Dunn's post-test. N2: Olfactory bulb vs. Hypothalamus p =</w:t>
      </w:r>
      <w:r w:rsidRPr="00A70CB9">
        <w:t xml:space="preserve"> </w:t>
      </w:r>
      <w:r w:rsidRPr="00A70CB9">
        <w:rPr>
          <w:rFonts w:ascii="Arial" w:hAnsi="Arial" w:cs="Arial"/>
          <w:sz w:val="20"/>
          <w:szCs w:val="20"/>
        </w:rPr>
        <w:t>0.0114 and   Cortex vs. Hypothalamus p = 0.0269. N3: Olfactory bulb vs. Hypothalamus p = 0.0114 and   Cortex vs. Hypothalamus p=0.0269)</w:t>
      </w:r>
      <w:r w:rsidRPr="00044891">
        <w:rPr>
          <w:rFonts w:ascii="Arial" w:hAnsi="Arial" w:cs="Arial"/>
          <w:sz w:val="20"/>
          <w:szCs w:val="20"/>
        </w:rPr>
        <w:t>.</w:t>
      </w:r>
    </w:p>
    <w:p w14:paraId="276B60F0" w14:textId="77777777" w:rsidR="007A2549" w:rsidRPr="00044891" w:rsidRDefault="007A2549" w:rsidP="007A2549">
      <w:pPr>
        <w:rPr>
          <w:rFonts w:ascii="Arial" w:hAnsi="Arial" w:cs="Arial"/>
          <w:b/>
          <w:sz w:val="20"/>
          <w:szCs w:val="20"/>
        </w:rPr>
      </w:pPr>
      <w:r w:rsidRPr="00044891">
        <w:rPr>
          <w:rFonts w:ascii="Arial" w:hAnsi="Arial" w:cs="Arial"/>
          <w:b/>
          <w:sz w:val="20"/>
          <w:szCs w:val="20"/>
        </w:rPr>
        <w:br w:type="page"/>
      </w:r>
    </w:p>
    <w:p w14:paraId="5D729C92" w14:textId="77777777" w:rsidR="007A2549" w:rsidRPr="00044891" w:rsidRDefault="007A2549" w:rsidP="007A2549">
      <w:pPr>
        <w:jc w:val="center"/>
        <w:rPr>
          <w:rFonts w:ascii="Arial" w:hAnsi="Arial" w:cs="Arial"/>
          <w:b/>
          <w:sz w:val="20"/>
          <w:szCs w:val="20"/>
        </w:rPr>
      </w:pPr>
    </w:p>
    <w:p w14:paraId="10ED6E86" w14:textId="77777777" w:rsidR="007A2549" w:rsidRPr="00044891" w:rsidRDefault="007A2549" w:rsidP="007A2549">
      <w:pPr>
        <w:jc w:val="center"/>
        <w:rPr>
          <w:rFonts w:ascii="Arial" w:hAnsi="Arial" w:cs="Arial"/>
          <w:b/>
          <w:sz w:val="20"/>
          <w:szCs w:val="20"/>
        </w:rPr>
      </w:pPr>
      <w:r w:rsidRPr="00771E6F">
        <w:rPr>
          <w:rFonts w:ascii="Arial" w:hAnsi="Arial" w:cs="Arial"/>
          <w:b/>
          <w:noProof/>
          <w:sz w:val="20"/>
          <w:szCs w:val="20"/>
          <w:lang w:val="fr-FR" w:eastAsia="fr-FR"/>
        </w:rPr>
        <w:drawing>
          <wp:inline distT="0" distB="0" distL="0" distR="0" wp14:anchorId="4253FB75" wp14:editId="2AE29FE1">
            <wp:extent cx="4991100" cy="3441700"/>
            <wp:effectExtent l="0" t="0" r="0" b="0"/>
            <wp:docPr id="20" name="Image 20" descr="Background patter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descr="Background pattern&#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91100" cy="3441700"/>
                    </a:xfrm>
                    <a:prstGeom prst="rect">
                      <a:avLst/>
                    </a:prstGeom>
                  </pic:spPr>
                </pic:pic>
              </a:graphicData>
            </a:graphic>
          </wp:inline>
        </w:drawing>
      </w:r>
    </w:p>
    <w:p w14:paraId="7FB5CA37" w14:textId="77777777" w:rsidR="007A2549" w:rsidRPr="00044891" w:rsidRDefault="007A2549" w:rsidP="007A2549">
      <w:pPr>
        <w:jc w:val="center"/>
        <w:rPr>
          <w:rFonts w:ascii="Arial" w:hAnsi="Arial" w:cs="Arial"/>
          <w:b/>
          <w:sz w:val="20"/>
          <w:szCs w:val="20"/>
        </w:rPr>
      </w:pPr>
    </w:p>
    <w:p w14:paraId="7C1BA161" w14:textId="77777777" w:rsidR="007A2549" w:rsidRPr="00044891" w:rsidRDefault="007A2549" w:rsidP="007A2549">
      <w:pPr>
        <w:spacing w:after="0"/>
        <w:jc w:val="both"/>
        <w:rPr>
          <w:rFonts w:ascii="Arial" w:hAnsi="Arial" w:cs="Arial"/>
          <w:sz w:val="20"/>
          <w:szCs w:val="20"/>
        </w:rPr>
      </w:pPr>
      <w:r w:rsidRPr="00044891">
        <w:rPr>
          <w:rFonts w:ascii="Arial" w:hAnsi="Arial" w:cs="Arial"/>
          <w:b/>
          <w:sz w:val="20"/>
          <w:szCs w:val="20"/>
        </w:rPr>
        <w:t>Supplementary Figure 3.</w:t>
      </w:r>
      <w:r w:rsidRPr="00044891">
        <w:rPr>
          <w:rFonts w:ascii="Arial" w:hAnsi="Arial" w:cs="Arial"/>
          <w:sz w:val="20"/>
          <w:szCs w:val="20"/>
        </w:rPr>
        <w:t xml:space="preserve"> </w:t>
      </w:r>
      <w:r w:rsidRPr="00044891">
        <w:rPr>
          <w:rFonts w:ascii="Arial" w:hAnsi="Arial" w:cs="Arial"/>
          <w:b/>
          <w:sz w:val="20"/>
          <w:szCs w:val="20"/>
        </w:rPr>
        <w:t xml:space="preserve">ACE2 and TMPRSS2 expression in control and COVID-19 patient olfactory bulbs </w:t>
      </w:r>
    </w:p>
    <w:p w14:paraId="4B0AFAC0"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a</w:t>
      </w:r>
      <w:r w:rsidRPr="00044891">
        <w:rPr>
          <w:rFonts w:ascii="Arial" w:hAnsi="Arial" w:cs="Arial"/>
          <w:sz w:val="20"/>
          <w:szCs w:val="20"/>
        </w:rPr>
        <w:t xml:space="preserve">) Olfactory bulb (OB) of a </w:t>
      </w:r>
      <w:proofErr w:type="gramStart"/>
      <w:r w:rsidRPr="00044891">
        <w:rPr>
          <w:rFonts w:ascii="Arial" w:hAnsi="Arial" w:cs="Arial"/>
          <w:sz w:val="20"/>
          <w:szCs w:val="20"/>
        </w:rPr>
        <w:t>36-year old</w:t>
      </w:r>
      <w:proofErr w:type="gramEnd"/>
      <w:r w:rsidRPr="00044891">
        <w:rPr>
          <w:rFonts w:ascii="Arial" w:hAnsi="Arial" w:cs="Arial"/>
          <w:sz w:val="20"/>
          <w:szCs w:val="20"/>
        </w:rPr>
        <w:t xml:space="preserve"> control subject (top panels) and a 63-year-old COVID-19 patient (bottom panels) showing heavy S-protein labeling (white) as well as strong ACE2 (green) and TMPRSS2 (magenta) expression in the outer (olfactory nerve) layer of the OB, consisting of fibers from olfactory sensory neurons in the nose. ACE2 is enriched in capillary walls as well (asterisk). Blue: DAPI. Scale bar: 40μm.</w:t>
      </w:r>
    </w:p>
    <w:p w14:paraId="7F4282F8"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b</w:t>
      </w:r>
      <w:r w:rsidRPr="00044891">
        <w:rPr>
          <w:rFonts w:ascii="Arial" w:hAnsi="Arial" w:cs="Arial"/>
          <w:sz w:val="20"/>
          <w:szCs w:val="20"/>
        </w:rPr>
        <w:t>) Immunolabeling for the olfactory marker protein (OMP; white), a marker of olfactory sensory neurons and axons, clearly indicating that this layer, delineated by the faint dotted line, is indeed the olfactory nerve layer. Numerous cells of unknown identity containing dsRNA (green) occur close to the border (empty arrowheads) as well as further inside the parenchyma of the glomerular layer, but rarely in the ONL. Blue: DAPI. Scale bar: 40μm.</w:t>
      </w:r>
    </w:p>
    <w:p w14:paraId="35A76186" w14:textId="77777777" w:rsidR="007A2549" w:rsidRPr="00044891" w:rsidRDefault="007A2549" w:rsidP="007A2549">
      <w:pPr>
        <w:rPr>
          <w:rFonts w:ascii="Arial" w:hAnsi="Arial" w:cs="Arial"/>
          <w:b/>
          <w:sz w:val="20"/>
          <w:szCs w:val="20"/>
        </w:rPr>
      </w:pPr>
      <w:r w:rsidRPr="00044891">
        <w:rPr>
          <w:rFonts w:ascii="Arial" w:hAnsi="Arial" w:cs="Arial"/>
          <w:b/>
          <w:sz w:val="20"/>
          <w:szCs w:val="20"/>
        </w:rPr>
        <w:br w:type="page"/>
      </w:r>
    </w:p>
    <w:p w14:paraId="71552E37" w14:textId="77777777" w:rsidR="007A2549" w:rsidRPr="00044891" w:rsidRDefault="007A2549" w:rsidP="007A2549">
      <w:pPr>
        <w:rPr>
          <w:rFonts w:ascii="Arial" w:hAnsi="Arial" w:cs="Arial"/>
          <w:b/>
          <w:sz w:val="20"/>
          <w:szCs w:val="20"/>
        </w:rPr>
      </w:pPr>
      <w:r w:rsidRPr="00771E6F">
        <w:rPr>
          <w:rFonts w:ascii="Arial" w:hAnsi="Arial" w:cs="Arial"/>
          <w:b/>
          <w:noProof/>
          <w:sz w:val="20"/>
          <w:szCs w:val="20"/>
          <w:lang w:val="fr-FR" w:eastAsia="fr-FR"/>
        </w:rPr>
        <w:lastRenderedPageBreak/>
        <w:drawing>
          <wp:inline distT="0" distB="0" distL="0" distR="0" wp14:anchorId="531C558D" wp14:editId="010AE1C3">
            <wp:extent cx="5972810" cy="3443605"/>
            <wp:effectExtent l="0" t="0" r="0" b="0"/>
            <wp:docPr id="16" name="Imag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A picture containing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2810" cy="3443605"/>
                    </a:xfrm>
                    <a:prstGeom prst="rect">
                      <a:avLst/>
                    </a:prstGeom>
                  </pic:spPr>
                </pic:pic>
              </a:graphicData>
            </a:graphic>
          </wp:inline>
        </w:drawing>
      </w:r>
    </w:p>
    <w:p w14:paraId="6BDADA55" w14:textId="77777777" w:rsidR="007A2549" w:rsidRPr="00044891" w:rsidRDefault="007A2549" w:rsidP="007A2549">
      <w:pPr>
        <w:spacing w:after="0"/>
        <w:jc w:val="both"/>
        <w:rPr>
          <w:rFonts w:ascii="Arial" w:hAnsi="Arial" w:cs="Arial"/>
          <w:sz w:val="20"/>
          <w:szCs w:val="20"/>
        </w:rPr>
      </w:pPr>
      <w:r w:rsidRPr="00044891">
        <w:rPr>
          <w:rFonts w:ascii="Arial" w:hAnsi="Arial" w:cs="Arial"/>
          <w:b/>
          <w:sz w:val="20"/>
          <w:szCs w:val="20"/>
        </w:rPr>
        <w:t>Supplementary Figure 4. Immunolabeling for ACE2 and TMPRSS2 in the embryonic human nose and olfactory bulb</w:t>
      </w:r>
      <w:r w:rsidRPr="00044891">
        <w:rPr>
          <w:rFonts w:ascii="Arial" w:hAnsi="Arial" w:cs="Arial"/>
          <w:sz w:val="20"/>
          <w:szCs w:val="20"/>
        </w:rPr>
        <w:t xml:space="preserve"> </w:t>
      </w:r>
    </w:p>
    <w:p w14:paraId="45F6CD83"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a</w:t>
      </w:r>
      <w:r w:rsidRPr="00044891">
        <w:rPr>
          <w:rFonts w:ascii="Arial" w:hAnsi="Arial" w:cs="Arial"/>
          <w:sz w:val="20"/>
          <w:szCs w:val="20"/>
        </w:rPr>
        <w:t>) Schematic diagram of the cross section of an embryonic head at gestational week (GW) 11, showing areas represented. Boxes in (</w:t>
      </w:r>
      <w:r w:rsidRPr="00044891">
        <w:rPr>
          <w:rFonts w:ascii="Arial" w:hAnsi="Arial" w:cs="Arial"/>
          <w:b/>
          <w:sz w:val="20"/>
          <w:szCs w:val="20"/>
        </w:rPr>
        <w:t>a</w:t>
      </w:r>
      <w:r w:rsidRPr="00044891">
        <w:rPr>
          <w:rFonts w:ascii="Arial" w:hAnsi="Arial" w:cs="Arial"/>
          <w:sz w:val="20"/>
          <w:szCs w:val="20"/>
        </w:rPr>
        <w:t>)</w:t>
      </w:r>
      <w:r w:rsidRPr="00044891">
        <w:rPr>
          <w:rFonts w:ascii="Arial" w:hAnsi="Arial" w:cs="Arial"/>
          <w:b/>
          <w:sz w:val="20"/>
          <w:szCs w:val="20"/>
        </w:rPr>
        <w:t xml:space="preserve"> </w:t>
      </w:r>
      <w:r w:rsidRPr="00044891">
        <w:rPr>
          <w:rFonts w:ascii="Arial" w:hAnsi="Arial" w:cs="Arial"/>
          <w:sz w:val="20"/>
          <w:szCs w:val="20"/>
        </w:rPr>
        <w:t>depict the areas shown in the photomicrographs in (</w:t>
      </w:r>
      <w:proofErr w:type="spellStart"/>
      <w:proofErr w:type="gramStart"/>
      <w:r w:rsidRPr="00044891">
        <w:rPr>
          <w:rFonts w:ascii="Arial" w:hAnsi="Arial" w:cs="Arial"/>
          <w:b/>
          <w:sz w:val="20"/>
          <w:szCs w:val="20"/>
        </w:rPr>
        <w:t>b,c</w:t>
      </w:r>
      <w:proofErr w:type="spellEnd"/>
      <w:proofErr w:type="gramEnd"/>
      <w:r w:rsidRPr="00044891">
        <w:rPr>
          <w:rFonts w:ascii="Arial" w:hAnsi="Arial" w:cs="Arial"/>
          <w:sz w:val="20"/>
          <w:szCs w:val="20"/>
        </w:rPr>
        <w:t xml:space="preserve">). </w:t>
      </w:r>
    </w:p>
    <w:p w14:paraId="28370451"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proofErr w:type="spellStart"/>
      <w:proofErr w:type="gramStart"/>
      <w:r w:rsidRPr="00044891">
        <w:rPr>
          <w:rFonts w:ascii="Arial" w:hAnsi="Arial" w:cs="Arial"/>
          <w:b/>
          <w:sz w:val="20"/>
          <w:szCs w:val="20"/>
        </w:rPr>
        <w:t>b,c</w:t>
      </w:r>
      <w:proofErr w:type="spellEnd"/>
      <w:proofErr w:type="gramEnd"/>
      <w:r w:rsidRPr="00044891">
        <w:rPr>
          <w:rFonts w:ascii="Arial" w:hAnsi="Arial" w:cs="Arial"/>
          <w:sz w:val="20"/>
          <w:szCs w:val="20"/>
        </w:rPr>
        <w:t>) ACE2 (</w:t>
      </w:r>
      <w:r w:rsidRPr="00044891">
        <w:rPr>
          <w:rFonts w:ascii="Arial" w:hAnsi="Arial" w:cs="Arial"/>
          <w:b/>
          <w:sz w:val="20"/>
          <w:szCs w:val="20"/>
        </w:rPr>
        <w:t>b</w:t>
      </w:r>
      <w:r w:rsidRPr="00044891">
        <w:rPr>
          <w:rFonts w:ascii="Arial" w:hAnsi="Arial" w:cs="Arial"/>
          <w:sz w:val="20"/>
          <w:szCs w:val="20"/>
        </w:rPr>
        <w:t>, white) and TMPRSS2 (</w:t>
      </w:r>
      <w:r w:rsidRPr="00044891">
        <w:rPr>
          <w:rFonts w:ascii="Arial" w:hAnsi="Arial" w:cs="Arial"/>
          <w:b/>
          <w:sz w:val="20"/>
          <w:szCs w:val="20"/>
        </w:rPr>
        <w:t>c</w:t>
      </w:r>
      <w:r w:rsidRPr="00044891">
        <w:rPr>
          <w:rFonts w:ascii="Arial" w:hAnsi="Arial" w:cs="Arial"/>
          <w:sz w:val="20"/>
          <w:szCs w:val="20"/>
        </w:rPr>
        <w:t xml:space="preserve">, magenta) colocalize (white arrows) with TAG-1 (green), a marker for the axon tracts of the olfactory nerve (ON) and vomeronasal nerve in the primary olfactory region that, at this stage, start projecting to the presumptive olfactory bulbs (OB). Olfactory epithelium: OE. Blue: DAPI. Scale bars = 100 </w:t>
      </w:r>
      <w:proofErr w:type="spellStart"/>
      <w:r w:rsidRPr="00044891">
        <w:rPr>
          <w:rFonts w:ascii="Arial" w:hAnsi="Arial" w:cs="Arial"/>
          <w:sz w:val="20"/>
          <w:szCs w:val="20"/>
        </w:rPr>
        <w:t>μm</w:t>
      </w:r>
      <w:proofErr w:type="spellEnd"/>
      <w:r w:rsidRPr="00044891">
        <w:rPr>
          <w:rFonts w:ascii="Arial" w:hAnsi="Arial" w:cs="Arial"/>
          <w:sz w:val="20"/>
          <w:szCs w:val="20"/>
        </w:rPr>
        <w:t>.</w:t>
      </w:r>
    </w:p>
    <w:p w14:paraId="61AD5637" w14:textId="77777777" w:rsidR="007A2549" w:rsidRPr="00044891" w:rsidRDefault="007A2549" w:rsidP="007A2549">
      <w:pPr>
        <w:rPr>
          <w:rFonts w:ascii="Arial" w:hAnsi="Arial" w:cs="Arial"/>
          <w:b/>
          <w:sz w:val="20"/>
          <w:szCs w:val="20"/>
        </w:rPr>
      </w:pPr>
      <w:r w:rsidRPr="00044891">
        <w:rPr>
          <w:rFonts w:ascii="Arial" w:hAnsi="Arial" w:cs="Arial"/>
          <w:b/>
          <w:sz w:val="20"/>
          <w:szCs w:val="20"/>
        </w:rPr>
        <w:br w:type="page"/>
      </w:r>
    </w:p>
    <w:p w14:paraId="51D15E10" w14:textId="77777777" w:rsidR="007A2549" w:rsidRPr="00044891" w:rsidRDefault="007A2549" w:rsidP="007A2549">
      <w:pPr>
        <w:jc w:val="center"/>
        <w:rPr>
          <w:rFonts w:ascii="Arial" w:hAnsi="Arial" w:cs="Arial"/>
          <w:b/>
          <w:sz w:val="20"/>
          <w:szCs w:val="20"/>
        </w:rPr>
      </w:pPr>
      <w:r w:rsidRPr="00771E6F">
        <w:rPr>
          <w:rFonts w:ascii="Arial" w:hAnsi="Arial" w:cs="Arial"/>
          <w:b/>
          <w:noProof/>
          <w:sz w:val="20"/>
          <w:szCs w:val="20"/>
          <w:lang w:val="fr-FR" w:eastAsia="fr-FR"/>
        </w:rPr>
        <w:lastRenderedPageBreak/>
        <w:drawing>
          <wp:inline distT="0" distB="0" distL="0" distR="0" wp14:anchorId="198399A9" wp14:editId="68AA9520">
            <wp:extent cx="3429000" cy="2984500"/>
            <wp:effectExtent l="0" t="0" r="0" b="0"/>
            <wp:docPr id="14" name="Image 14" descr="A picture containing text, tre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A picture containing text, tree, window&#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29000" cy="2984500"/>
                    </a:xfrm>
                    <a:prstGeom prst="rect">
                      <a:avLst/>
                    </a:prstGeom>
                  </pic:spPr>
                </pic:pic>
              </a:graphicData>
            </a:graphic>
          </wp:inline>
        </w:drawing>
      </w:r>
    </w:p>
    <w:p w14:paraId="68125CBC" w14:textId="77777777" w:rsidR="007A2549" w:rsidRPr="00044891" w:rsidRDefault="007A2549" w:rsidP="007A2549">
      <w:pPr>
        <w:spacing w:after="0"/>
        <w:jc w:val="both"/>
        <w:rPr>
          <w:rFonts w:ascii="Arial" w:hAnsi="Arial" w:cs="Arial"/>
          <w:b/>
          <w:sz w:val="20"/>
          <w:szCs w:val="20"/>
        </w:rPr>
      </w:pPr>
      <w:r w:rsidRPr="00044891">
        <w:rPr>
          <w:rFonts w:ascii="Arial" w:hAnsi="Arial" w:cs="Arial"/>
          <w:b/>
          <w:sz w:val="20"/>
          <w:szCs w:val="20"/>
        </w:rPr>
        <w:t xml:space="preserve">Supplementary Figure 5. Evidence of viral infection in the paraventricular nucleus of the hypothalamus </w:t>
      </w:r>
    </w:p>
    <w:p w14:paraId="237C78BB"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a</w:t>
      </w:r>
      <w:r w:rsidRPr="00044891">
        <w:rPr>
          <w:rFonts w:ascii="Arial" w:hAnsi="Arial" w:cs="Arial"/>
          <w:sz w:val="20"/>
          <w:szCs w:val="20"/>
        </w:rPr>
        <w:t xml:space="preserve">) Abundant immunolabeling for N-protein (white) and dsRNA (green) in the paraventricular nucleus of the hypothalamus (PVH) of a COVID-19 patient. </w:t>
      </w:r>
      <w:proofErr w:type="spellStart"/>
      <w:r w:rsidRPr="00044891">
        <w:rPr>
          <w:rFonts w:ascii="Arial" w:hAnsi="Arial" w:cs="Arial"/>
          <w:sz w:val="20"/>
          <w:szCs w:val="20"/>
        </w:rPr>
        <w:t>fx</w:t>
      </w:r>
      <w:proofErr w:type="spellEnd"/>
      <w:r w:rsidRPr="00044891">
        <w:rPr>
          <w:rFonts w:ascii="Arial" w:hAnsi="Arial" w:cs="Arial"/>
          <w:sz w:val="20"/>
          <w:szCs w:val="20"/>
        </w:rPr>
        <w:t xml:space="preserve">: fornix. Blue: DAPI. Scale bars = 100 </w:t>
      </w:r>
      <w:proofErr w:type="spellStart"/>
      <w:r w:rsidRPr="00044891">
        <w:rPr>
          <w:rFonts w:ascii="Arial" w:hAnsi="Arial" w:cs="Arial"/>
          <w:sz w:val="20"/>
          <w:szCs w:val="20"/>
        </w:rPr>
        <w:t>μm</w:t>
      </w:r>
      <w:proofErr w:type="spellEnd"/>
      <w:r w:rsidRPr="00044891">
        <w:rPr>
          <w:rFonts w:ascii="Arial" w:hAnsi="Arial" w:cs="Arial"/>
          <w:sz w:val="20"/>
          <w:szCs w:val="20"/>
        </w:rPr>
        <w:t>.</w:t>
      </w:r>
    </w:p>
    <w:p w14:paraId="79306F01" w14:textId="77777777" w:rsidR="007A2549" w:rsidRPr="00044891" w:rsidRDefault="007A2549" w:rsidP="007A2549">
      <w:pPr>
        <w:spacing w:after="0"/>
        <w:jc w:val="both"/>
        <w:rPr>
          <w:rFonts w:ascii="Arial" w:hAnsi="Arial" w:cs="Arial"/>
          <w:sz w:val="20"/>
          <w:szCs w:val="20"/>
        </w:rPr>
      </w:pPr>
      <w:r w:rsidRPr="00044891">
        <w:rPr>
          <w:rFonts w:ascii="Arial" w:hAnsi="Arial" w:cs="Arial"/>
          <w:sz w:val="20"/>
          <w:szCs w:val="20"/>
        </w:rPr>
        <w:t>(</w:t>
      </w:r>
      <w:r w:rsidRPr="00044891">
        <w:rPr>
          <w:rFonts w:ascii="Arial" w:hAnsi="Arial" w:cs="Arial"/>
          <w:b/>
          <w:sz w:val="20"/>
          <w:szCs w:val="20"/>
        </w:rPr>
        <w:t>b</w:t>
      </w:r>
      <w:r w:rsidRPr="00044891">
        <w:rPr>
          <w:rFonts w:ascii="Arial" w:hAnsi="Arial" w:cs="Arial"/>
          <w:sz w:val="20"/>
          <w:szCs w:val="20"/>
        </w:rPr>
        <w:t>) High magnification of image in (</w:t>
      </w:r>
      <w:r w:rsidRPr="00044891">
        <w:rPr>
          <w:rFonts w:ascii="Arial" w:hAnsi="Arial" w:cs="Arial"/>
          <w:b/>
          <w:sz w:val="20"/>
          <w:szCs w:val="20"/>
        </w:rPr>
        <w:t>a</w:t>
      </w:r>
      <w:r w:rsidRPr="00044891">
        <w:rPr>
          <w:rFonts w:ascii="Arial" w:hAnsi="Arial" w:cs="Arial"/>
          <w:sz w:val="20"/>
          <w:szCs w:val="20"/>
        </w:rPr>
        <w:t xml:space="preserve">) showing viral markers in both putative neurons (arrowheads) and glial cells (arrows). Blue: DAPI. scale bars = 50 </w:t>
      </w:r>
      <w:proofErr w:type="spellStart"/>
      <w:r w:rsidRPr="00044891">
        <w:rPr>
          <w:rFonts w:ascii="Arial" w:hAnsi="Arial" w:cs="Arial"/>
          <w:sz w:val="20"/>
          <w:szCs w:val="20"/>
        </w:rPr>
        <w:t>μm</w:t>
      </w:r>
      <w:proofErr w:type="spellEnd"/>
      <w:r w:rsidRPr="00044891">
        <w:rPr>
          <w:rFonts w:ascii="Arial" w:hAnsi="Arial" w:cs="Arial"/>
          <w:sz w:val="20"/>
          <w:szCs w:val="20"/>
        </w:rPr>
        <w:t>.</w:t>
      </w:r>
    </w:p>
    <w:p w14:paraId="11E2BC50" w14:textId="77777777" w:rsidR="006B153F" w:rsidRDefault="006B153F"/>
    <w:sectPr w:rsidR="006B15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549"/>
    <w:rsid w:val="006B153F"/>
    <w:rsid w:val="007A2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94A0D"/>
  <w15:chartTrackingRefBased/>
  <w15:docId w15:val="{B98DB706-A028-4FFC-85FB-D398CECEB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5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753</Words>
  <Characters>4293</Characters>
  <Application>Microsoft Office Word</Application>
  <DocSecurity>0</DocSecurity>
  <Lines>35</Lines>
  <Paragraphs>10</Paragraphs>
  <ScaleCrop>false</ScaleCrop>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2021-11-11T19:15:00Z</dcterms:created>
  <dcterms:modified xsi:type="dcterms:W3CDTF">2021-11-11T19:16:00Z</dcterms:modified>
</cp:coreProperties>
</file>