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644" w:type="dxa"/>
        <w:tblInd w:w="-993" w:type="dxa"/>
        <w:tblLook w:val="04A0" w:firstRow="1" w:lastRow="0" w:firstColumn="1" w:lastColumn="0" w:noHBand="0" w:noVBand="1"/>
      </w:tblPr>
      <w:tblGrid>
        <w:gridCol w:w="814"/>
        <w:gridCol w:w="1411"/>
        <w:gridCol w:w="1410"/>
        <w:gridCol w:w="1333"/>
        <w:gridCol w:w="1888"/>
        <w:gridCol w:w="1802"/>
        <w:gridCol w:w="1842"/>
        <w:gridCol w:w="2689"/>
        <w:gridCol w:w="2455"/>
      </w:tblGrid>
      <w:tr w:rsidR="007121FC" w:rsidRPr="00A77932" w14:paraId="62C9E1AC" w14:textId="77777777" w:rsidTr="00851E52">
        <w:trPr>
          <w:trHeight w:val="288"/>
        </w:trPr>
        <w:tc>
          <w:tcPr>
            <w:tcW w:w="4958" w:type="dxa"/>
            <w:gridSpan w:val="4"/>
            <w:tcBorders>
              <w:top w:val="nil"/>
              <w:left w:val="nil"/>
              <w:bottom w:val="nil"/>
              <w:right w:val="nil"/>
            </w:tcBorders>
            <w:noWrap/>
            <w:vAlign w:val="bottom"/>
            <w:hideMark/>
          </w:tcPr>
          <w:p w14:paraId="57998ED1" w14:textId="77777777" w:rsidR="007121FC" w:rsidRPr="00A77932" w:rsidRDefault="007121FC" w:rsidP="00851E52">
            <w:pPr>
              <w:spacing w:after="0" w:line="240" w:lineRule="auto"/>
              <w:rPr>
                <w:rFonts w:ascii="Aptos Narrow" w:eastAsia="Times New Roman" w:hAnsi="Aptos Narrow" w:cs="Times New Roman"/>
                <w:color w:val="000000"/>
                <w:kern w:val="0"/>
                <w:sz w:val="20"/>
                <w:szCs w:val="20"/>
                <w:u w:val="single"/>
                <w14:ligatures w14:val="none"/>
              </w:rPr>
            </w:pPr>
            <w:r w:rsidRPr="00A77932">
              <w:rPr>
                <w:rFonts w:ascii="Aptos Narrow" w:eastAsia="Times New Roman" w:hAnsi="Aptos Narrow" w:cs="Times New Roman"/>
                <w:color w:val="000000"/>
                <w:kern w:val="0"/>
                <w:sz w:val="20"/>
                <w:szCs w:val="20"/>
                <w:u w:val="single"/>
                <w14:ligatures w14:val="none"/>
              </w:rPr>
              <w:t>Table 1. Characteristics of included studies</w:t>
            </w:r>
          </w:p>
        </w:tc>
        <w:tc>
          <w:tcPr>
            <w:tcW w:w="1888" w:type="dxa"/>
            <w:tcBorders>
              <w:top w:val="nil"/>
              <w:left w:val="nil"/>
              <w:bottom w:val="nil"/>
              <w:right w:val="nil"/>
            </w:tcBorders>
            <w:noWrap/>
            <w:vAlign w:val="bottom"/>
            <w:hideMark/>
          </w:tcPr>
          <w:p w14:paraId="3908C0CB" w14:textId="77777777" w:rsidR="007121FC" w:rsidRPr="00A77932" w:rsidRDefault="007121FC" w:rsidP="00851E52">
            <w:pPr>
              <w:spacing w:after="0" w:line="240" w:lineRule="auto"/>
              <w:rPr>
                <w:rFonts w:ascii="Aptos Narrow" w:eastAsia="Times New Roman" w:hAnsi="Aptos Narrow" w:cs="Times New Roman"/>
                <w:color w:val="000000"/>
                <w:kern w:val="0"/>
                <w:sz w:val="20"/>
                <w:szCs w:val="20"/>
                <w:u w:val="single"/>
                <w14:ligatures w14:val="none"/>
              </w:rPr>
            </w:pPr>
          </w:p>
        </w:tc>
        <w:tc>
          <w:tcPr>
            <w:tcW w:w="1802" w:type="dxa"/>
            <w:tcBorders>
              <w:top w:val="nil"/>
              <w:left w:val="nil"/>
              <w:bottom w:val="nil"/>
              <w:right w:val="nil"/>
            </w:tcBorders>
            <w:noWrap/>
            <w:vAlign w:val="bottom"/>
            <w:hideMark/>
          </w:tcPr>
          <w:p w14:paraId="1FD8EF8F" w14:textId="77777777" w:rsidR="007121FC" w:rsidRPr="00A77932" w:rsidRDefault="007121FC" w:rsidP="00851E52">
            <w:pPr>
              <w:spacing w:after="0" w:line="240" w:lineRule="auto"/>
              <w:rPr>
                <w:rFonts w:ascii="Times New Roman" w:eastAsia="Times New Roman" w:hAnsi="Times New Roman" w:cs="Times New Roman"/>
                <w:kern w:val="0"/>
                <w:sz w:val="20"/>
                <w:szCs w:val="20"/>
                <w14:ligatures w14:val="none"/>
              </w:rPr>
            </w:pPr>
          </w:p>
        </w:tc>
        <w:tc>
          <w:tcPr>
            <w:tcW w:w="1843" w:type="dxa"/>
            <w:tcBorders>
              <w:top w:val="nil"/>
              <w:left w:val="nil"/>
              <w:bottom w:val="nil"/>
              <w:right w:val="nil"/>
            </w:tcBorders>
            <w:vAlign w:val="center"/>
            <w:hideMark/>
          </w:tcPr>
          <w:p w14:paraId="606B032F" w14:textId="77777777" w:rsidR="007121FC" w:rsidRPr="00A77932" w:rsidRDefault="007121FC" w:rsidP="00851E52">
            <w:pPr>
              <w:spacing w:after="0" w:line="240" w:lineRule="auto"/>
              <w:rPr>
                <w:rFonts w:ascii="Times New Roman" w:eastAsia="Times New Roman" w:hAnsi="Times New Roman" w:cs="Times New Roman"/>
                <w:kern w:val="0"/>
                <w:sz w:val="20"/>
                <w:szCs w:val="20"/>
                <w14:ligatures w14:val="none"/>
              </w:rPr>
            </w:pPr>
          </w:p>
        </w:tc>
        <w:tc>
          <w:tcPr>
            <w:tcW w:w="2693" w:type="dxa"/>
            <w:tcBorders>
              <w:top w:val="nil"/>
              <w:left w:val="nil"/>
              <w:bottom w:val="nil"/>
              <w:right w:val="nil"/>
            </w:tcBorders>
            <w:vAlign w:val="center"/>
            <w:hideMark/>
          </w:tcPr>
          <w:p w14:paraId="046611CC" w14:textId="77777777" w:rsidR="007121FC" w:rsidRPr="00A77932"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2460" w:type="dxa"/>
            <w:tcBorders>
              <w:top w:val="nil"/>
              <w:left w:val="nil"/>
              <w:bottom w:val="nil"/>
              <w:right w:val="nil"/>
            </w:tcBorders>
            <w:vAlign w:val="bottom"/>
            <w:hideMark/>
          </w:tcPr>
          <w:p w14:paraId="5AC56BEA" w14:textId="77777777" w:rsidR="007121FC" w:rsidRPr="00A77932"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A77932" w14:paraId="4EF6B69B" w14:textId="77777777" w:rsidTr="00851E52">
        <w:trPr>
          <w:trHeight w:val="576"/>
        </w:trPr>
        <w:tc>
          <w:tcPr>
            <w:tcW w:w="813" w:type="dxa"/>
            <w:tcBorders>
              <w:top w:val="nil"/>
              <w:left w:val="nil"/>
              <w:bottom w:val="single" w:sz="4" w:space="0" w:color="auto"/>
              <w:right w:val="nil"/>
            </w:tcBorders>
            <w:vAlign w:val="center"/>
            <w:hideMark/>
          </w:tcPr>
          <w:p w14:paraId="75E37260"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Study No.</w:t>
            </w:r>
          </w:p>
        </w:tc>
        <w:tc>
          <w:tcPr>
            <w:tcW w:w="1411" w:type="dxa"/>
            <w:tcBorders>
              <w:top w:val="nil"/>
              <w:left w:val="nil"/>
              <w:bottom w:val="single" w:sz="4" w:space="0" w:color="auto"/>
              <w:right w:val="nil"/>
            </w:tcBorders>
            <w:vAlign w:val="center"/>
            <w:hideMark/>
          </w:tcPr>
          <w:p w14:paraId="31A7C67C"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Author (Year)</w:t>
            </w:r>
          </w:p>
        </w:tc>
        <w:tc>
          <w:tcPr>
            <w:tcW w:w="1401" w:type="dxa"/>
            <w:tcBorders>
              <w:top w:val="nil"/>
              <w:left w:val="nil"/>
              <w:bottom w:val="single" w:sz="4" w:space="0" w:color="auto"/>
              <w:right w:val="nil"/>
            </w:tcBorders>
            <w:vAlign w:val="center"/>
            <w:hideMark/>
          </w:tcPr>
          <w:p w14:paraId="0C765566"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Country</w:t>
            </w:r>
            <w:r>
              <w:rPr>
                <w:rFonts w:ascii="Aptos Narrow" w:eastAsia="Times New Roman" w:hAnsi="Aptos Narrow" w:cs="Times New Roman"/>
                <w:color w:val="000000"/>
                <w:kern w:val="0"/>
                <w:sz w:val="20"/>
                <w:szCs w:val="20"/>
                <w14:ligatures w14:val="none"/>
              </w:rPr>
              <w:t>/region</w:t>
            </w:r>
            <w:r w:rsidRPr="00A77932">
              <w:rPr>
                <w:rFonts w:ascii="Aptos Narrow" w:eastAsia="Times New Roman" w:hAnsi="Aptos Narrow" w:cs="Times New Roman"/>
                <w:color w:val="000000"/>
                <w:kern w:val="0"/>
                <w:sz w:val="20"/>
                <w:szCs w:val="20"/>
                <w14:ligatures w14:val="none"/>
              </w:rPr>
              <w:t xml:space="preserve"> </w:t>
            </w:r>
          </w:p>
        </w:tc>
        <w:tc>
          <w:tcPr>
            <w:tcW w:w="1333" w:type="dxa"/>
            <w:tcBorders>
              <w:top w:val="nil"/>
              <w:left w:val="nil"/>
              <w:bottom w:val="single" w:sz="4" w:space="0" w:color="auto"/>
              <w:right w:val="nil"/>
            </w:tcBorders>
            <w:vAlign w:val="center"/>
            <w:hideMark/>
          </w:tcPr>
          <w:p w14:paraId="32B6CF12"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Study design</w:t>
            </w:r>
          </w:p>
        </w:tc>
        <w:tc>
          <w:tcPr>
            <w:tcW w:w="1888" w:type="dxa"/>
            <w:tcBorders>
              <w:top w:val="nil"/>
              <w:left w:val="nil"/>
              <w:bottom w:val="single" w:sz="4" w:space="0" w:color="auto"/>
              <w:right w:val="nil"/>
            </w:tcBorders>
            <w:vAlign w:val="center"/>
            <w:hideMark/>
          </w:tcPr>
          <w:p w14:paraId="2A32B50A"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Illness or diagnosis</w:t>
            </w:r>
          </w:p>
        </w:tc>
        <w:tc>
          <w:tcPr>
            <w:tcW w:w="1802" w:type="dxa"/>
            <w:tcBorders>
              <w:top w:val="nil"/>
              <w:left w:val="nil"/>
              <w:bottom w:val="single" w:sz="4" w:space="0" w:color="auto"/>
              <w:right w:val="nil"/>
            </w:tcBorders>
            <w:vAlign w:val="center"/>
            <w:hideMark/>
          </w:tcPr>
          <w:p w14:paraId="76580FC1" w14:textId="77777777" w:rsidR="007121FC" w:rsidRPr="00A77932" w:rsidRDefault="007121FC" w:rsidP="00851E52">
            <w:pPr>
              <w:spacing w:after="0" w:line="240" w:lineRule="auto"/>
              <w:jc w:val="center"/>
              <w:rPr>
                <w:rFonts w:ascii="Aptos Narrow" w:eastAsia="Times New Roman" w:hAnsi="Aptos Narrow" w:cs="Times New Roman"/>
                <w:kern w:val="0"/>
                <w:sz w:val="20"/>
                <w:szCs w:val="20"/>
                <w14:ligatures w14:val="none"/>
              </w:rPr>
            </w:pPr>
            <w:r w:rsidRPr="00A77932">
              <w:rPr>
                <w:rFonts w:ascii="Aptos Narrow" w:eastAsia="Times New Roman" w:hAnsi="Aptos Narrow" w:cs="Times New Roman"/>
                <w:kern w:val="0"/>
                <w:sz w:val="20"/>
                <w:szCs w:val="20"/>
                <w14:ligatures w14:val="none"/>
              </w:rPr>
              <w:t xml:space="preserve">Target population of which their needs were captured </w:t>
            </w:r>
          </w:p>
        </w:tc>
        <w:tc>
          <w:tcPr>
            <w:tcW w:w="1843" w:type="dxa"/>
            <w:tcBorders>
              <w:top w:val="nil"/>
              <w:left w:val="nil"/>
              <w:bottom w:val="single" w:sz="4" w:space="0" w:color="auto"/>
              <w:right w:val="nil"/>
            </w:tcBorders>
            <w:vAlign w:val="center"/>
            <w:hideMark/>
          </w:tcPr>
          <w:p w14:paraId="2B615820"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Perspective reported by:</w:t>
            </w:r>
          </w:p>
        </w:tc>
        <w:tc>
          <w:tcPr>
            <w:tcW w:w="2693" w:type="dxa"/>
            <w:tcBorders>
              <w:top w:val="nil"/>
              <w:left w:val="nil"/>
              <w:bottom w:val="single" w:sz="4" w:space="0" w:color="auto"/>
              <w:right w:val="nil"/>
            </w:tcBorders>
            <w:vAlign w:val="center"/>
            <w:hideMark/>
          </w:tcPr>
          <w:p w14:paraId="507E8496"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Measurement of psychosocial-spiritual outcomes</w:t>
            </w:r>
          </w:p>
        </w:tc>
        <w:tc>
          <w:tcPr>
            <w:tcW w:w="2460" w:type="dxa"/>
            <w:tcBorders>
              <w:top w:val="nil"/>
              <w:left w:val="nil"/>
              <w:bottom w:val="single" w:sz="4" w:space="0" w:color="auto"/>
              <w:right w:val="nil"/>
            </w:tcBorders>
            <w:vAlign w:val="center"/>
            <w:hideMark/>
          </w:tcPr>
          <w:p w14:paraId="20B15AD7"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Definition of End-of-Life (EoL)</w:t>
            </w:r>
          </w:p>
        </w:tc>
      </w:tr>
      <w:tr w:rsidR="007121FC" w:rsidRPr="00A77932" w14:paraId="01673619" w14:textId="77777777" w:rsidTr="00851E52">
        <w:trPr>
          <w:trHeight w:val="1152"/>
        </w:trPr>
        <w:tc>
          <w:tcPr>
            <w:tcW w:w="813" w:type="dxa"/>
            <w:tcBorders>
              <w:top w:val="nil"/>
              <w:left w:val="nil"/>
              <w:bottom w:val="nil"/>
              <w:right w:val="nil"/>
            </w:tcBorders>
            <w:vAlign w:val="center"/>
            <w:hideMark/>
          </w:tcPr>
          <w:p w14:paraId="69C8439B"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1</w:t>
            </w:r>
          </w:p>
        </w:tc>
        <w:tc>
          <w:tcPr>
            <w:tcW w:w="1411" w:type="dxa"/>
            <w:tcBorders>
              <w:top w:val="nil"/>
              <w:left w:val="nil"/>
              <w:bottom w:val="nil"/>
              <w:right w:val="nil"/>
            </w:tcBorders>
            <w:vAlign w:val="center"/>
            <w:hideMark/>
          </w:tcPr>
          <w:p w14:paraId="42D66F58"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Abbott et al. (2017)</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&lt;EndNote&gt;&lt;Cite&gt;&lt;Author&gt;Abbott&lt;/Author&gt;&lt;Year&gt;2017&lt;/Year&gt;&lt;RecNum&gt;36&lt;/RecNum&gt;&lt;DisplayText&gt;[52]&lt;/DisplayText&gt;&lt;record&gt;&lt;rec-number&gt;36&lt;/rec-number&gt;&lt;foreign-keys&gt;&lt;key app="EN" db-id="eszd9vve00p9rte5r9dpw20vf5zfvadfs2df" timestamp="1782286664" guid="6a6e625a-f03e-4c2b-bf60-1a188e2de066"&gt;36&lt;/key&gt;&lt;/foreign-keys&gt;&lt;ref-type name="Journal Article"&gt;17&lt;/ref-type&gt;&lt;contributors&gt;&lt;authors&gt;&lt;author&gt;Abbott, David&lt;/author&gt;&lt;author&gt;Prescott, Helen&lt;/author&gt;&lt;author&gt;Forbes, Karen&lt;/author&gt;&lt;author&gt;Fraser, James&lt;/author&gt;&lt;author&gt;Majumdar, Anirban&lt;/author&gt;&lt;/authors&gt;&lt;/contributors&gt;&lt;titles&gt;&lt;title&gt;Men with Duchenne muscular dystrophy and end of life planning&lt;/title&gt;&lt;secondary-title&gt;Neuromuscular Disorders&lt;/secondary-title&gt;&lt;alt-title&gt;Neuromuscular Disorders&lt;/alt-title&gt;&lt;/titles&gt;&lt;periodical&gt;&lt;full-title&gt;Neuromuscular Disorders&lt;/full-title&gt;&lt;abbr-1&gt;Neuromuscular Disorders&lt;/abbr-1&gt;&lt;/periodical&gt;&lt;alt-periodical&gt;&lt;full-title&gt;Neuromuscular Disorders&lt;/full-title&gt;&lt;abbr-1&gt;Neuromuscular Disorders&lt;/abbr-1&gt;&lt;/alt-periodical&gt;&lt;pages&gt;38-44&lt;/pages&gt;&lt;volume&gt;27&lt;/volume&gt;&lt;number&gt;1&lt;/number&gt;&lt;dates&gt;&lt;year&gt;2017&lt;/year&gt;&lt;pub-dates&gt;&lt;date&gt;2017/01//&lt;/date&gt;&lt;/pub-dates&gt;&lt;/dates&gt;&lt;pub-location&gt;United Kingdom&lt;/pub-location&gt;&lt;publisher&gt;Elsevier Ltd&lt;/publisher&gt;&lt;isbn&gt;09608966&lt;/isbn&gt;&lt;accession-num&gt;613728682&lt;/accession-num&gt;&lt;urls&gt;&lt;related-urls&gt;&lt;url&gt;https://linkinghub.elsevier.com/retrieve/pii/S0960896616300670&lt;/url&gt;&lt;/related-urls&gt;&lt;/urls&gt;&lt;electronic-resource-num&gt;10.1016/j.nmd.2016.09.022&lt;/electronic-resource-num&gt;&lt;remote-database-provider&gt;DOI.org (Crossref)&lt;/remote-database-provider&gt;&lt;language&gt;en&lt;/language&gt;&lt;access-date&gt;2026/05/06/09:57:12&lt;/access-date&gt;&lt;/record&gt;&lt;/Cite&gt;&lt;/EndNote&gt;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[52]</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377A5B3C"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United Kingdom</w:t>
            </w:r>
          </w:p>
        </w:tc>
        <w:tc>
          <w:tcPr>
            <w:tcW w:w="1333" w:type="dxa"/>
            <w:tcBorders>
              <w:top w:val="nil"/>
              <w:left w:val="nil"/>
              <w:bottom w:val="nil"/>
              <w:right w:val="nil"/>
            </w:tcBorders>
            <w:vAlign w:val="center"/>
            <w:hideMark/>
          </w:tcPr>
          <w:p w14:paraId="6C0AE596"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Qualitative study</w:t>
            </w:r>
          </w:p>
        </w:tc>
        <w:tc>
          <w:tcPr>
            <w:tcW w:w="1888" w:type="dxa"/>
            <w:tcBorders>
              <w:top w:val="nil"/>
              <w:left w:val="nil"/>
              <w:bottom w:val="nil"/>
              <w:right w:val="nil"/>
            </w:tcBorders>
            <w:vAlign w:val="center"/>
            <w:hideMark/>
          </w:tcPr>
          <w:p w14:paraId="79168EB2"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Duchenne muscular dystrophy (DMD)</w:t>
            </w:r>
          </w:p>
        </w:tc>
        <w:tc>
          <w:tcPr>
            <w:tcW w:w="1802" w:type="dxa"/>
            <w:tcBorders>
              <w:top w:val="nil"/>
              <w:left w:val="nil"/>
              <w:bottom w:val="nil"/>
              <w:right w:val="nil"/>
            </w:tcBorders>
            <w:vAlign w:val="center"/>
            <w:hideMark/>
          </w:tcPr>
          <w:p w14:paraId="716D2F62"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w:t>
            </w:r>
          </w:p>
        </w:tc>
        <w:tc>
          <w:tcPr>
            <w:tcW w:w="1843" w:type="dxa"/>
            <w:tcBorders>
              <w:top w:val="nil"/>
              <w:left w:val="nil"/>
              <w:bottom w:val="nil"/>
              <w:right w:val="nil"/>
            </w:tcBorders>
            <w:vAlign w:val="center"/>
            <w:hideMark/>
          </w:tcPr>
          <w:p w14:paraId="04BFB206"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w:t>
            </w:r>
          </w:p>
        </w:tc>
        <w:tc>
          <w:tcPr>
            <w:tcW w:w="2693" w:type="dxa"/>
            <w:tcBorders>
              <w:top w:val="nil"/>
              <w:left w:val="nil"/>
              <w:bottom w:val="nil"/>
              <w:right w:val="nil"/>
            </w:tcBorders>
            <w:vAlign w:val="center"/>
            <w:hideMark/>
          </w:tcPr>
          <w:p w14:paraId="491D478D"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kern w:val="0"/>
                <w:sz w:val="20"/>
                <w:szCs w:val="20"/>
                <w14:ligatures w14:val="none"/>
              </w:rPr>
              <w:t>Semi-structured inter</w:t>
            </w:r>
            <w:r w:rsidRPr="00A77932">
              <w:rPr>
                <w:rFonts w:ascii="Aptos Narrow" w:eastAsia="Times New Roman" w:hAnsi="Aptos Narrow" w:cs="Times New Roman"/>
                <w:color w:val="000000"/>
                <w:kern w:val="0"/>
                <w:sz w:val="20"/>
                <w:szCs w:val="20"/>
                <w14:ligatures w14:val="none"/>
              </w:rPr>
              <w:t xml:space="preserve">views on participants' views on ‘end of life care issues, conversations and decision making.’ </w:t>
            </w:r>
          </w:p>
        </w:tc>
        <w:tc>
          <w:tcPr>
            <w:tcW w:w="2460" w:type="dxa"/>
            <w:tcBorders>
              <w:top w:val="nil"/>
              <w:left w:val="nil"/>
              <w:bottom w:val="nil"/>
              <w:right w:val="nil"/>
            </w:tcBorders>
            <w:vAlign w:val="center"/>
            <w:hideMark/>
          </w:tcPr>
          <w:p w14:paraId="034ECEFB"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Not reported, discussed EoL</w:t>
            </w:r>
          </w:p>
        </w:tc>
      </w:tr>
      <w:tr w:rsidR="007121FC" w:rsidRPr="00A77932" w14:paraId="41E31969" w14:textId="77777777" w:rsidTr="00851E52">
        <w:trPr>
          <w:trHeight w:val="3744"/>
        </w:trPr>
        <w:tc>
          <w:tcPr>
            <w:tcW w:w="813" w:type="dxa"/>
            <w:tcBorders>
              <w:top w:val="nil"/>
              <w:left w:val="nil"/>
              <w:bottom w:val="nil"/>
              <w:right w:val="nil"/>
            </w:tcBorders>
            <w:vAlign w:val="center"/>
            <w:hideMark/>
          </w:tcPr>
          <w:p w14:paraId="6F93186D"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2</w:t>
            </w:r>
          </w:p>
        </w:tc>
        <w:tc>
          <w:tcPr>
            <w:tcW w:w="1411" w:type="dxa"/>
            <w:tcBorders>
              <w:top w:val="nil"/>
              <w:left w:val="nil"/>
              <w:bottom w:val="nil"/>
              <w:right w:val="nil"/>
            </w:tcBorders>
            <w:vAlign w:val="center"/>
            <w:hideMark/>
          </w:tcPr>
          <w:p w14:paraId="791CF909"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Addington-Hall et al. (1995)</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&lt;EndNote&gt;&lt;Cite&gt;&lt;Author&gt;Addington-Hall&lt;/Author&gt;&lt;Year&gt;1995&lt;/Year&gt;&lt;RecNum&gt;23&lt;/RecNum&gt;&lt;DisplayText&gt;[39]&lt;/DisplayText&gt;&lt;record&gt;&lt;rec-number&gt;23&lt;/rec-number&gt;&lt;foreign-keys&gt;&lt;key app="EN" db-id="eszd9vve00p9rte5r9dpw20vf5zfvadfs2df" timestamp="1782286659" guid="a2a30198-7f4f-4319-a020-569a6ead36de"&gt;23&lt;/key&gt;&lt;/foreign-keys&gt;&lt;ref-type name="Journal Article"&gt;17&lt;/ref-type&gt;&lt;contributors&gt;&lt;authors&gt;&lt;author&gt;Addington-Hall, Julia&lt;/author&gt;&lt;author&gt;Lay, Margaret&lt;/author&gt;&lt;author&gt;Altmann, Dan&lt;/author&gt;&lt;author&gt;McCarthy, Mark&lt;/author&gt;&lt;/authors&gt;&lt;/contributors&gt;&lt;titles&gt;&lt;title&gt;Symptom Control, Communication With Health Professionals, and Hospital Care of Stroke Patients in the Last Year of Life as Reported by Surviving Family, Friends, and Officials&lt;/title&gt;&lt;secondary-title&gt;Stroke&lt;/secondary-title&gt;&lt;alt-title&gt;Stroke&lt;/alt-title&gt;&lt;/titles&gt;&lt;periodical&gt;&lt;full-title&gt;Stroke&lt;/full-title&gt;&lt;abbr-1&gt;Stroke&lt;/abbr-1&gt;&lt;/periodical&gt;&lt;alt-periodical&gt;&lt;full-title&gt;Stroke&lt;/full-title&gt;&lt;abbr-1&gt;Stroke&lt;/abbr-1&gt;&lt;/alt-periodical&gt;&lt;pages&gt;2242-2248&lt;/pages&gt;&lt;volume&gt;26&lt;/volume&gt;&lt;number&gt;12&lt;/number&gt;&lt;dates&gt;&lt;year&gt;1995&lt;/year&gt;&lt;pub-dates&gt;&lt;date&gt;1995/12//&lt;/date&gt;&lt;/pub-dates&gt;&lt;/dates&gt;&lt;isbn&gt;0039-2499, 1524-4628&lt;/isbn&gt;&lt;urls&gt;&lt;related-urls&gt;&lt;url&gt;https://www.ahajournals.org/doi/10.1161/01.STR.26.12.2242&lt;/url&gt;&lt;/related-urls&gt;&lt;/urls&gt;&lt;electronic-resource-num&gt;10.1161/01.STR.26.12.2242&lt;/electronic-resource-num&gt;&lt;remote-database-provider&gt;DOI.org (Crossref)&lt;/remote-database-provider&gt;&lt;language&gt;en&lt;/language&gt;&lt;access-date&gt;2026/05/06/09:52:51&lt;/access-date&gt;&lt;/record&gt;&lt;/Cite&gt;&lt;/EndNote&gt;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[39]</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678ACD92"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United Kingdom</w:t>
            </w:r>
          </w:p>
        </w:tc>
        <w:tc>
          <w:tcPr>
            <w:tcW w:w="1333" w:type="dxa"/>
            <w:tcBorders>
              <w:top w:val="nil"/>
              <w:left w:val="nil"/>
              <w:bottom w:val="nil"/>
              <w:right w:val="nil"/>
            </w:tcBorders>
            <w:vAlign w:val="center"/>
            <w:hideMark/>
          </w:tcPr>
          <w:p w14:paraId="52FD4B41"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Cohort study (quantitative descriptive)</w:t>
            </w:r>
          </w:p>
        </w:tc>
        <w:tc>
          <w:tcPr>
            <w:tcW w:w="1888" w:type="dxa"/>
            <w:tcBorders>
              <w:top w:val="nil"/>
              <w:left w:val="nil"/>
              <w:bottom w:val="nil"/>
              <w:right w:val="nil"/>
            </w:tcBorders>
            <w:vAlign w:val="center"/>
            <w:hideMark/>
          </w:tcPr>
          <w:p w14:paraId="5A3CE80F"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Stroke</w:t>
            </w:r>
          </w:p>
        </w:tc>
        <w:tc>
          <w:tcPr>
            <w:tcW w:w="1802" w:type="dxa"/>
            <w:tcBorders>
              <w:top w:val="nil"/>
              <w:left w:val="nil"/>
              <w:bottom w:val="nil"/>
              <w:right w:val="nil"/>
            </w:tcBorders>
            <w:vAlign w:val="center"/>
            <w:hideMark/>
          </w:tcPr>
          <w:p w14:paraId="6D9F736B"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family members</w:t>
            </w:r>
          </w:p>
        </w:tc>
        <w:tc>
          <w:tcPr>
            <w:tcW w:w="1843" w:type="dxa"/>
            <w:tcBorders>
              <w:top w:val="nil"/>
              <w:left w:val="nil"/>
              <w:bottom w:val="nil"/>
              <w:right w:val="nil"/>
            </w:tcBorders>
            <w:vAlign w:val="center"/>
            <w:hideMark/>
          </w:tcPr>
          <w:p w14:paraId="191BC643"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Family members, healthcare professionals (staff in nursing or residential home)</w:t>
            </w:r>
          </w:p>
        </w:tc>
        <w:tc>
          <w:tcPr>
            <w:tcW w:w="2693" w:type="dxa"/>
            <w:tcBorders>
              <w:top w:val="nil"/>
              <w:left w:val="nil"/>
              <w:bottom w:val="nil"/>
              <w:right w:val="nil"/>
            </w:tcBorders>
            <w:vAlign w:val="center"/>
            <w:hideMark/>
          </w:tcPr>
          <w:p w14:paraId="5991AB84"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Structured interview using adapted version of schedule by Cartwright and Seale to capture the deceased's health problems and restrictions; sources of informal and formal care and the respondent’s experience of caring for the deceased; the deceased’s use of and respondent’s satisfaction with community and healthcare services; information from and communication with health professionals; and the respondent’s experience of bereavement and bereavement care.</w:t>
            </w:r>
          </w:p>
        </w:tc>
        <w:tc>
          <w:tcPr>
            <w:tcW w:w="2460" w:type="dxa"/>
            <w:tcBorders>
              <w:top w:val="nil"/>
              <w:left w:val="nil"/>
              <w:bottom w:val="nil"/>
              <w:right w:val="nil"/>
            </w:tcBorders>
            <w:vAlign w:val="center"/>
            <w:hideMark/>
          </w:tcPr>
          <w:p w14:paraId="446DC31D"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R</w:t>
            </w:r>
            <w:r w:rsidRPr="00A77932">
              <w:rPr>
                <w:rFonts w:ascii="Aptos Narrow" w:eastAsia="Times New Roman" w:hAnsi="Aptos Narrow" w:cs="Times New Roman"/>
                <w:kern w:val="0"/>
                <w:sz w:val="20"/>
                <w:szCs w:val="20"/>
                <w14:ligatures w14:val="none"/>
              </w:rPr>
              <w:t>etrospective account of the deceased's</w:t>
            </w:r>
            <w:r w:rsidRPr="00A77932">
              <w:rPr>
                <w:rFonts w:ascii="Aptos Narrow" w:eastAsia="Times New Roman" w:hAnsi="Aptos Narrow" w:cs="Times New Roman"/>
                <w:color w:val="000000"/>
                <w:kern w:val="0"/>
                <w:sz w:val="20"/>
                <w:szCs w:val="20"/>
                <w14:ligatures w14:val="none"/>
              </w:rPr>
              <w:t xml:space="preserve"> last year of life (including the reporting of mood symptoms in the last week of life)</w:t>
            </w:r>
          </w:p>
        </w:tc>
      </w:tr>
      <w:tr w:rsidR="007121FC" w:rsidRPr="00A77932" w14:paraId="22FAED6F" w14:textId="77777777" w:rsidTr="00851E52">
        <w:trPr>
          <w:trHeight w:val="2592"/>
        </w:trPr>
        <w:tc>
          <w:tcPr>
            <w:tcW w:w="813" w:type="dxa"/>
            <w:tcBorders>
              <w:top w:val="nil"/>
              <w:left w:val="nil"/>
              <w:bottom w:val="nil"/>
              <w:right w:val="nil"/>
            </w:tcBorders>
            <w:vAlign w:val="center"/>
            <w:hideMark/>
          </w:tcPr>
          <w:p w14:paraId="40529DDF"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3</w:t>
            </w:r>
          </w:p>
        </w:tc>
        <w:tc>
          <w:tcPr>
            <w:tcW w:w="1411" w:type="dxa"/>
            <w:tcBorders>
              <w:top w:val="nil"/>
              <w:left w:val="nil"/>
              <w:bottom w:val="nil"/>
              <w:right w:val="nil"/>
            </w:tcBorders>
            <w:vAlign w:val="center"/>
            <w:hideMark/>
          </w:tcPr>
          <w:p w14:paraId="3C7F4DDA"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Albert et al. (2009)*</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&lt;EndNote&gt;&lt;Cite&gt;&lt;Author&gt;Albert&lt;/Author&gt;&lt;Year&gt;2009&lt;/Year&gt;&lt;RecNum&gt;24&lt;/RecNum&gt;&lt;DisplayText&gt;[53]&lt;/DisplayText&gt;&lt;record&gt;&lt;rec-number&gt;24&lt;/rec-number&gt;&lt;foreign-keys&gt;&lt;key app="EN" db-id="eszd9vve00p9rte5r9dpw20vf5zfvadfs2df" timestamp="1782286660" guid="4e7a379c-69b9-432b-b48b-6c39974bd33a"&gt;24&lt;/key&gt;&lt;/foreign-keys&gt;&lt;ref-type name="Journal Article"&gt;17&lt;/ref-type&gt;&lt;contributors&gt;&lt;authors&gt;&lt;author&gt;Albert, Steven M.&lt;/author&gt;&lt;author&gt;Whitaker, Adriene&lt;/author&gt;&lt;author&gt;Rabkin, Judith G.&lt;/author&gt;&lt;author&gt;Del Bene, Maura&lt;/author&gt;&lt;author&gt;Tider, Toby&lt;/author&gt;&lt;author&gt;O&amp;apos;Sullivan, Ita&lt;/author&gt;&lt;author&gt;Mitsumoto, Hiroshi&lt;/author&gt;&lt;/authors&gt;&lt;/contributors&gt;&lt;titles&gt;&lt;title&gt;Medical and Supportive Care Among People with ALS in the Months Before Death or Tracheostomy&lt;/title&gt;&lt;secondary-title&gt;Journal of Pain and Symptom Management&lt;/secondary-title&gt;&lt;alt-title&gt;Journal of Pain and Symptom Management&lt;/alt-title&gt;&lt;/titles&gt;&lt;periodical&gt;&lt;full-title&gt;Journal of Pain and Symptom Management&lt;/full-title&gt;&lt;abbr-1&gt;Journal of Pain and Symptom Management&lt;/abbr-1&gt;&lt;/periodical&gt;&lt;alt-periodical&gt;&lt;full-title&gt;Journal of Pain and Symptom Management&lt;/full-title&gt;&lt;abbr-1&gt;Journal of Pain and Symptom Management&lt;/abbr-1&gt;&lt;/alt-periodical&gt;&lt;pages&gt;546-553&lt;/pages&gt;&lt;volume&gt;38&lt;/volume&gt;&lt;number&gt;4&lt;/number&gt;&lt;dates&gt;&lt;year&gt;2009&lt;/year&gt;&lt;pub-dates&gt;&lt;date&gt;2009/10//&lt;/date&gt;&lt;/pub-dates&gt;&lt;/dates&gt;&lt;isbn&gt;08853924&lt;/isbn&gt;&lt;urls&gt;&lt;related-urls&gt;&lt;url&gt;https://linkinghub.elsevier.com/retrieve/pii/S0885392409005272&lt;/url&gt;&lt;url&gt;https://europepmc.org/articles/pmc2761492?pdf=render&lt;/url&gt;&lt;/related-urls&gt;&lt;/urls&gt;&lt;electronic-resource-num&gt;10.1016/j.jpainsymman.2008.11.013&lt;/electronic-resource-num&gt;&lt;remote-database-provider&gt;DOI.org (Crossref)&lt;/remote-database-provider&gt;&lt;language&gt;en&lt;/language&gt;&lt;access-date&gt;2026/05/06/09:52:53&lt;/access-date&gt;&lt;/record&gt;&lt;/Cite&gt;&lt;/EndNote&gt;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[53]</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7ADA75DD"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United States of America</w:t>
            </w:r>
          </w:p>
        </w:tc>
        <w:tc>
          <w:tcPr>
            <w:tcW w:w="1333" w:type="dxa"/>
            <w:tcBorders>
              <w:top w:val="nil"/>
              <w:left w:val="nil"/>
              <w:bottom w:val="nil"/>
              <w:right w:val="nil"/>
            </w:tcBorders>
            <w:vAlign w:val="center"/>
            <w:hideMark/>
          </w:tcPr>
          <w:p w14:paraId="29E89F0A"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Cohort study (quantitative non-randomised)</w:t>
            </w:r>
          </w:p>
        </w:tc>
        <w:tc>
          <w:tcPr>
            <w:tcW w:w="1888" w:type="dxa"/>
            <w:tcBorders>
              <w:top w:val="nil"/>
              <w:left w:val="nil"/>
              <w:bottom w:val="nil"/>
              <w:right w:val="nil"/>
            </w:tcBorders>
            <w:vAlign w:val="center"/>
            <w:hideMark/>
          </w:tcPr>
          <w:p w14:paraId="5C2A10EE"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Amyotrophic lateral sclerosis (ALS)</w:t>
            </w:r>
          </w:p>
        </w:tc>
        <w:tc>
          <w:tcPr>
            <w:tcW w:w="1802" w:type="dxa"/>
            <w:tcBorders>
              <w:top w:val="nil"/>
              <w:left w:val="nil"/>
              <w:bottom w:val="nil"/>
              <w:right w:val="nil"/>
            </w:tcBorders>
            <w:vAlign w:val="center"/>
            <w:hideMark/>
          </w:tcPr>
          <w:p w14:paraId="54D8738B"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and unpaid caregivers</w:t>
            </w:r>
          </w:p>
        </w:tc>
        <w:tc>
          <w:tcPr>
            <w:tcW w:w="1843" w:type="dxa"/>
            <w:tcBorders>
              <w:top w:val="nil"/>
              <w:left w:val="nil"/>
              <w:bottom w:val="nil"/>
              <w:right w:val="nil"/>
            </w:tcBorders>
            <w:vAlign w:val="center"/>
            <w:hideMark/>
          </w:tcPr>
          <w:p w14:paraId="0ED589B8"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Unpaid caregivers</w:t>
            </w:r>
          </w:p>
        </w:tc>
        <w:tc>
          <w:tcPr>
            <w:tcW w:w="2693" w:type="dxa"/>
            <w:tcBorders>
              <w:top w:val="nil"/>
              <w:left w:val="nil"/>
              <w:bottom w:val="nil"/>
              <w:right w:val="nil"/>
            </w:tcBorders>
            <w:vAlign w:val="center"/>
            <w:hideMark/>
          </w:tcPr>
          <w:p w14:paraId="311112BD"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Clinical psychologist reviewed all Patient Health Questionnaire (PHQ) assessments to assign DSM-IV depression diagnoses; ALS Functional Rating Scale-Revised (ALSFRS-R); Zarit Burden Scale; Folman's measure of caregiving satisfaction (caregiver burden data not reported). Patient service and medication use measured via caregiver reports.</w:t>
            </w:r>
          </w:p>
        </w:tc>
        <w:tc>
          <w:tcPr>
            <w:tcW w:w="2460" w:type="dxa"/>
            <w:tcBorders>
              <w:top w:val="nil"/>
              <w:left w:val="nil"/>
              <w:bottom w:val="nil"/>
              <w:right w:val="nil"/>
            </w:tcBorders>
            <w:vAlign w:val="center"/>
            <w:hideMark/>
          </w:tcPr>
          <w:p w14:paraId="7708ADA8"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Prognosis by physiological indicator (&lt;50% forced vital capacity )</w:t>
            </w:r>
          </w:p>
        </w:tc>
      </w:tr>
      <w:tr w:rsidR="007121FC" w:rsidRPr="00A77932" w14:paraId="599EC2B5" w14:textId="77777777" w:rsidTr="00851E52">
        <w:trPr>
          <w:trHeight w:val="864"/>
        </w:trPr>
        <w:tc>
          <w:tcPr>
            <w:tcW w:w="813" w:type="dxa"/>
            <w:tcBorders>
              <w:top w:val="nil"/>
              <w:left w:val="nil"/>
              <w:bottom w:val="nil"/>
              <w:right w:val="nil"/>
            </w:tcBorders>
            <w:vAlign w:val="center"/>
            <w:hideMark/>
          </w:tcPr>
          <w:p w14:paraId="0F738847"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4</w:t>
            </w:r>
          </w:p>
        </w:tc>
        <w:tc>
          <w:tcPr>
            <w:tcW w:w="1411" w:type="dxa"/>
            <w:tcBorders>
              <w:top w:val="nil"/>
              <w:left w:val="nil"/>
              <w:bottom w:val="nil"/>
              <w:right w:val="nil"/>
            </w:tcBorders>
            <w:vAlign w:val="center"/>
            <w:hideMark/>
          </w:tcPr>
          <w:p w14:paraId="5E3FD42C"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Ando et al. (2019)</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&lt;EndNote&gt;&lt;Cite&gt;&lt;Author&gt;Ando&lt;/Author&gt;&lt;Year&gt;2019&lt;/Year&gt;&lt;RecNum&gt;37&lt;/RecNum&gt;&lt;DisplayText&gt;[54]&lt;/DisplayText&gt;&lt;record&gt;&lt;rec-number&gt;37&lt;/rec-number&gt;&lt;foreign-keys&gt;&lt;key app="EN" db-id="eszd9vve00p9rte5r9dpw20vf5zfvadfs2df" timestamp="1782286664" guid="70cc774e-48b0-468e-9830-5f5c13ea441b"&gt;37&lt;/key&gt;&lt;/foreign-keys&gt;&lt;ref-type name="Journal Article"&gt;17&lt;/ref-type&gt;&lt;contributors&gt;&lt;authors&gt;&lt;author&gt;Ando, Hikari&lt;/author&gt;&lt;author&gt;Cousins, Rosanna&lt;/author&gt;&lt;author&gt;Young, Carolyn A.&lt;/author&gt;&lt;/authors&gt;&lt;/contributors&gt;&lt;titles&gt;&lt;title&gt;Exploring and Addressing ‘Concerns’ for Significant Others to Extend the Understanding of Quality of Life With Amyotrophic Lateral Sclerosis: A Qualitative Study&lt;/title&gt;&lt;secondary-title&gt;Journal of Central Nervous System Disease&lt;/secondary-title&gt;&lt;alt-title&gt;J Cent Nerv Syst Dis&lt;/alt-title&gt;&lt;short-title&gt;Exploring and Addressing ‘Concerns’ for Significant Others to Extend the Understanding of Quality of Life With Amyotrophic Lateral Sclerosis&lt;/short-title&gt;&lt;/titles&gt;&lt;periodical&gt;&lt;full-title&gt;Journal of Central Nervous System Disease&lt;/full-title&gt;&lt;abbr-1&gt;J Cent Nerv Syst Dis&lt;/abbr-1&gt;&lt;/periodical&gt;&lt;alt-periodical&gt;&lt;full-title&gt;Journal of Central Nervous System Disease&lt;/full-title&gt;&lt;abbr-1&gt;J Cent Nerv Syst Dis&lt;/abbr-1&gt;&lt;/alt-periodical&gt;&lt;pages&gt;1179573519859360&lt;/pages&gt;&lt;volume&gt;11&lt;/volume&gt;&lt;dates&gt;&lt;year&gt;2019&lt;/year&gt;&lt;pub-dates&gt;&lt;date&gt;2019/01//&lt;/date&gt;&lt;/pub-dates&gt;&lt;/dates&gt;&lt;isbn&gt;1179-5735, 1179-5735&lt;/isbn&gt;&lt;accession-num&gt;WOS:000475592900001&lt;/accession-num&gt;&lt;urls&gt;&lt;related-urls&gt;&lt;url&gt;https://journals.sagepub.com/doi/10.1177/1179573519859360&lt;/url&gt;&lt;/related-urls&gt;&lt;/urls&gt;&lt;electronic-resource-num&gt;10.1177/1179573519859360&lt;/electronic-resource-num&gt;&lt;remote-database-provider&gt;DOI.org (Crossref)&lt;/remote-database-provider&gt;&lt;language&gt;en&lt;/language&gt;&lt;access-date&gt;2026/05/06/09:57:14&lt;/access-date&gt;&lt;/record&gt;&lt;/Cite&gt;&lt;/EndNote&gt;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[54]</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51BB87A8"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United Kingdom</w:t>
            </w:r>
          </w:p>
        </w:tc>
        <w:tc>
          <w:tcPr>
            <w:tcW w:w="1333" w:type="dxa"/>
            <w:tcBorders>
              <w:top w:val="nil"/>
              <w:left w:val="nil"/>
              <w:bottom w:val="nil"/>
              <w:right w:val="nil"/>
            </w:tcBorders>
            <w:vAlign w:val="center"/>
            <w:hideMark/>
          </w:tcPr>
          <w:p w14:paraId="2250128C"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Qualitative study</w:t>
            </w:r>
          </w:p>
        </w:tc>
        <w:tc>
          <w:tcPr>
            <w:tcW w:w="1888" w:type="dxa"/>
            <w:tcBorders>
              <w:top w:val="nil"/>
              <w:left w:val="nil"/>
              <w:bottom w:val="nil"/>
              <w:right w:val="nil"/>
            </w:tcBorders>
            <w:vAlign w:val="center"/>
            <w:hideMark/>
          </w:tcPr>
          <w:p w14:paraId="74E44884"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Amyotrophic lateral sclerosis (ALS)</w:t>
            </w:r>
          </w:p>
        </w:tc>
        <w:tc>
          <w:tcPr>
            <w:tcW w:w="1802" w:type="dxa"/>
            <w:tcBorders>
              <w:top w:val="nil"/>
              <w:left w:val="nil"/>
              <w:bottom w:val="nil"/>
              <w:right w:val="nil"/>
            </w:tcBorders>
            <w:vAlign w:val="center"/>
            <w:hideMark/>
          </w:tcPr>
          <w:p w14:paraId="74BEF0FA"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w:t>
            </w:r>
          </w:p>
        </w:tc>
        <w:tc>
          <w:tcPr>
            <w:tcW w:w="1843" w:type="dxa"/>
            <w:tcBorders>
              <w:top w:val="nil"/>
              <w:left w:val="nil"/>
              <w:bottom w:val="nil"/>
              <w:right w:val="nil"/>
            </w:tcBorders>
            <w:vAlign w:val="center"/>
            <w:hideMark/>
          </w:tcPr>
          <w:p w14:paraId="5C2F9EEE"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w:t>
            </w:r>
          </w:p>
        </w:tc>
        <w:tc>
          <w:tcPr>
            <w:tcW w:w="2693" w:type="dxa"/>
            <w:tcBorders>
              <w:top w:val="nil"/>
              <w:left w:val="nil"/>
              <w:bottom w:val="nil"/>
              <w:right w:val="nil"/>
            </w:tcBorders>
            <w:vAlign w:val="center"/>
            <w:hideMark/>
          </w:tcPr>
          <w:p w14:paraId="29F0F0E5"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Semi-structured interviews to explore factors that are important for QoL of people with ALS.</w:t>
            </w:r>
          </w:p>
        </w:tc>
        <w:tc>
          <w:tcPr>
            <w:tcW w:w="2460" w:type="dxa"/>
            <w:tcBorders>
              <w:top w:val="nil"/>
              <w:left w:val="nil"/>
              <w:bottom w:val="nil"/>
              <w:right w:val="nil"/>
            </w:tcBorders>
            <w:vAlign w:val="center"/>
            <w:hideMark/>
          </w:tcPr>
          <w:p w14:paraId="1B565244"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Not reported, discussed EoL</w:t>
            </w:r>
          </w:p>
        </w:tc>
      </w:tr>
      <w:tr w:rsidR="007121FC" w:rsidRPr="00A77932" w14:paraId="03A5B956" w14:textId="77777777" w:rsidTr="00851E52">
        <w:trPr>
          <w:trHeight w:val="1728"/>
        </w:trPr>
        <w:tc>
          <w:tcPr>
            <w:tcW w:w="813" w:type="dxa"/>
            <w:tcBorders>
              <w:top w:val="nil"/>
              <w:left w:val="nil"/>
              <w:bottom w:val="nil"/>
              <w:right w:val="nil"/>
            </w:tcBorders>
            <w:vAlign w:val="center"/>
            <w:hideMark/>
          </w:tcPr>
          <w:p w14:paraId="3AA088F3"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5</w:t>
            </w:r>
          </w:p>
        </w:tc>
        <w:tc>
          <w:tcPr>
            <w:tcW w:w="1411" w:type="dxa"/>
            <w:tcBorders>
              <w:top w:val="nil"/>
              <w:left w:val="nil"/>
              <w:bottom w:val="nil"/>
              <w:right w:val="nil"/>
            </w:tcBorders>
            <w:vAlign w:val="center"/>
            <w:hideMark/>
          </w:tcPr>
          <w:p w14:paraId="3BB29B09"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Aoun et al. (2010)</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&lt;EndNote&gt;&lt;Cite&gt;&lt;Author&gt;Aoun&lt;/Author&gt;&lt;Year&gt;2010&lt;/Year&gt;&lt;RecNum&gt;25&lt;/RecNum&gt;&lt;DisplayText&gt;[55]&lt;/DisplayText&gt;&lt;record&gt;&lt;rec-number&gt;25&lt;/rec-number&gt;&lt;foreign-keys&gt;&lt;key app="EN" db-id="eszd9vve00p9rte5r9dpw20vf5zfvadfs2df" timestamp="1782286660" guid="e0af85e2-c68a-4120-afbc-b838abb6738c"&gt;25&lt;/key&gt;&lt;/foreign-keys&gt;&lt;ref-type name="Journal Article"&gt;17&lt;/ref-type&gt;&lt;contributors&gt;&lt;authors&gt;&lt;author&gt;Aoun, Samar&lt;/author&gt;&lt;author&gt;McConigley, Ruth&lt;/author&gt;&lt;author&gt;Abernethy, Amy&lt;/author&gt;&lt;author&gt;Currow, David C.&lt;/author&gt;&lt;/authors&gt;&lt;/contributors&gt;&lt;titles&gt;&lt;title&gt;Caregivers of People with Neurodegenerative Diseases: Profile and Unmet Needs from a Population-Based Survey in South Australia&lt;/title&gt;&lt;secondary-title&gt;Journal of Palliative Medicine&lt;/secondary-title&gt;&lt;alt-title&gt;Journal of Palliative Medicine&lt;/alt-title&gt;&lt;short-title&gt;Caregivers of People with Neurodegenerative Diseases&lt;/short-title&gt;&lt;/titles&gt;&lt;periodical&gt;&lt;full-title&gt;Journal of Palliative Medicine&lt;/full-title&gt;&lt;abbr-1&gt;Journal of Palliative Medicine&lt;/abbr-1&gt;&lt;/periodical&gt;&lt;alt-periodical&gt;&lt;full-title&gt;Journal of Palliative Medicine&lt;/full-title&gt;&lt;abbr-1&gt;Journal of Palliative Medicine&lt;/abbr-1&gt;&lt;/alt-periodical&gt;&lt;pages&gt;653-661&lt;/pages&gt;&lt;volume&gt;13&lt;/volume&gt;&lt;number&gt;6&lt;/number&gt;&lt;dates&gt;&lt;year&gt;2010&lt;/year&gt;&lt;pub-dates&gt;&lt;date&gt;2010/06//&lt;/date&gt;&lt;/pub-dates&gt;&lt;/dates&gt;&lt;pub-location&gt;United States&lt;/pub-location&gt;&lt;isbn&gt;1096-6218, 1557-7740&lt;/isbn&gt;&lt;urls&gt;&lt;related-urls&gt;&lt;url&gt;https://journals.sagepub.com/doi/full/10.1089/jpm.2009.0318&lt;/url&gt;&lt;/related-urls&gt;&lt;/urls&gt;&lt;electronic-resource-num&gt;10.1089/jpm.2009.0318&lt;/electronic-resource-num&gt;&lt;remote-database-provider&gt;DOI.org (Crossref)&lt;/remote-database-provider&gt;&lt;language&gt;en&lt;/language&gt;&lt;access-date&gt;2026/05/06/09:52:56&lt;/access-date&gt;&lt;/record&gt;&lt;/Cite&gt;&lt;/EndNote&gt;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[55]</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4DF26A0E"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Australia</w:t>
            </w:r>
          </w:p>
        </w:tc>
        <w:tc>
          <w:tcPr>
            <w:tcW w:w="1333" w:type="dxa"/>
            <w:tcBorders>
              <w:top w:val="nil"/>
              <w:left w:val="nil"/>
              <w:bottom w:val="nil"/>
              <w:right w:val="nil"/>
            </w:tcBorders>
            <w:vAlign w:val="center"/>
            <w:hideMark/>
          </w:tcPr>
          <w:p w14:paraId="67DB875B"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Cross sectional study (quantitative non-randomised)</w:t>
            </w:r>
          </w:p>
        </w:tc>
        <w:tc>
          <w:tcPr>
            <w:tcW w:w="1888" w:type="dxa"/>
            <w:tcBorders>
              <w:top w:val="nil"/>
              <w:left w:val="nil"/>
              <w:bottom w:val="nil"/>
              <w:right w:val="nil"/>
            </w:tcBorders>
            <w:vAlign w:val="center"/>
            <w:hideMark/>
          </w:tcPr>
          <w:p w14:paraId="6BE499F4"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Neurodegenerative diseases (NDD)</w:t>
            </w:r>
          </w:p>
        </w:tc>
        <w:tc>
          <w:tcPr>
            <w:tcW w:w="1802" w:type="dxa"/>
            <w:tcBorders>
              <w:top w:val="nil"/>
              <w:left w:val="nil"/>
              <w:bottom w:val="nil"/>
              <w:right w:val="nil"/>
            </w:tcBorders>
            <w:vAlign w:val="center"/>
            <w:hideMark/>
          </w:tcPr>
          <w:p w14:paraId="3BF3150F"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Family members, friends, or caregivers who had cared for someone close that died from NDD</w:t>
            </w:r>
          </w:p>
        </w:tc>
        <w:tc>
          <w:tcPr>
            <w:tcW w:w="1843" w:type="dxa"/>
            <w:tcBorders>
              <w:top w:val="nil"/>
              <w:left w:val="nil"/>
              <w:bottom w:val="nil"/>
              <w:right w:val="nil"/>
            </w:tcBorders>
            <w:vAlign w:val="center"/>
            <w:hideMark/>
          </w:tcPr>
          <w:p w14:paraId="777BBE2E"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Family members, friends, or caregivers</w:t>
            </w:r>
          </w:p>
        </w:tc>
        <w:tc>
          <w:tcPr>
            <w:tcW w:w="2693" w:type="dxa"/>
            <w:tcBorders>
              <w:top w:val="nil"/>
              <w:left w:val="nil"/>
              <w:bottom w:val="nil"/>
              <w:right w:val="nil"/>
            </w:tcBorders>
            <w:vAlign w:val="center"/>
            <w:hideMark/>
          </w:tcPr>
          <w:p w14:paraId="613BF3D4"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Use of systematic area sampling survey (South Australian Health Omnibus) to assess health beliefs and health behaviours. Specific items from the survey related to EoL care and caregiver unmet needs were collected for the study.</w:t>
            </w:r>
          </w:p>
        </w:tc>
        <w:tc>
          <w:tcPr>
            <w:tcW w:w="2460" w:type="dxa"/>
            <w:tcBorders>
              <w:top w:val="nil"/>
              <w:left w:val="nil"/>
              <w:bottom w:val="nil"/>
              <w:right w:val="nil"/>
            </w:tcBorders>
            <w:vAlign w:val="center"/>
            <w:hideMark/>
          </w:tcPr>
          <w:p w14:paraId="5405F570"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Retrospective account of the deceased's last 5 years of life</w:t>
            </w:r>
          </w:p>
        </w:tc>
      </w:tr>
      <w:tr w:rsidR="007121FC" w:rsidRPr="00A77932" w14:paraId="396A4F05" w14:textId="77777777" w:rsidTr="00851E52">
        <w:trPr>
          <w:trHeight w:val="3456"/>
        </w:trPr>
        <w:tc>
          <w:tcPr>
            <w:tcW w:w="813" w:type="dxa"/>
            <w:tcBorders>
              <w:top w:val="nil"/>
              <w:left w:val="nil"/>
              <w:bottom w:val="nil"/>
              <w:right w:val="nil"/>
            </w:tcBorders>
            <w:vAlign w:val="center"/>
            <w:hideMark/>
          </w:tcPr>
          <w:p w14:paraId="07C3BE16"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lastRenderedPageBreak/>
              <w:t>6</w:t>
            </w:r>
          </w:p>
        </w:tc>
        <w:tc>
          <w:tcPr>
            <w:tcW w:w="1411" w:type="dxa"/>
            <w:tcBorders>
              <w:top w:val="nil"/>
              <w:left w:val="nil"/>
              <w:bottom w:val="nil"/>
              <w:right w:val="nil"/>
            </w:tcBorders>
            <w:vAlign w:val="center"/>
            <w:hideMark/>
          </w:tcPr>
          <w:p w14:paraId="7B5FFB0D"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Belperio et al. (2023)</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&lt;EndNote&gt;&lt;Cite&gt;&lt;Author&gt;Belperio&lt;/Author&gt;&lt;Year&gt;2023&lt;/Year&gt;&lt;RecNum&gt;38&lt;/RecNum&gt;&lt;DisplayText&gt;[27]&lt;/DisplayText&gt;&lt;record&gt;&lt;rec-number&gt;38&lt;/rec-number&gt;&lt;foreign-keys&gt;&lt;key app="EN" db-id="eszd9vve00p9rte5r9dpw20vf5zfvadfs2df" timestamp="1782286664" guid="13436d64-2b6d-4213-949f-042f10130dd7"&gt;38&lt;/key&gt;&lt;/foreign-keys&gt;&lt;ref-type name="Journal Article"&gt;17&lt;/ref-type&gt;&lt;contributors&gt;&lt;authors&gt;&lt;author&gt;Belperio, Irene&lt;/author&gt;&lt;author&gt;Devery, Kim&lt;/author&gt;&lt;author&gt;Morgan, Deidre D.&lt;/author&gt;&lt;author&gt;Rawlings, Deb&lt;/author&gt;&lt;author&gt;Raghavendra, Parimala&lt;/author&gt;&lt;author&gt;Walker, Ruth&lt;/author&gt;&lt;/authors&gt;&lt;/contributors&gt;&lt;titles&gt;&lt;title&gt;Health and disability care providers’ experiences and perspectives on end-of-life care needs of individuals with long-standing physical disability: A qualitative interview study&lt;/title&gt;&lt;secondary-title&gt;Palliative Medicine&lt;/secondary-title&gt;&lt;alt-title&gt;Palliat Med&lt;/alt-title&gt;&lt;short-title&gt;Health and disability care providers’ experiences and perspectives on end-of-life care needs of individuals with long-standing physical disability&lt;/short-title&gt;&lt;/titles&gt;&lt;periodical&gt;&lt;full-title&gt;Palliative Medicine&lt;/full-title&gt;&lt;abbr-1&gt;Palliat Med&lt;/abbr-1&gt;&lt;/periodical&gt;&lt;alt-periodical&gt;&lt;full-title&gt;Palliative Medicine&lt;/full-title&gt;&lt;abbr-1&gt;Palliat Med&lt;/abbr-1&gt;&lt;/alt-periodical&gt;&lt;pages&gt;131-139&lt;/pages&gt;&lt;volume&gt;37&lt;/volume&gt;&lt;number&gt;1&lt;/number&gt;&lt;dates&gt;&lt;year&gt;2023&lt;/year&gt;&lt;pub-dates&gt;&lt;date&gt;2023/01//&lt;/date&gt;&lt;/pub-dates&gt;&lt;/dates&gt;&lt;isbn&gt;0269-2163, 1477-030X&lt;/isbn&gt;&lt;accession-num&gt;WOS:000871142200001&lt;/accession-num&gt;&lt;urls&gt;&lt;related-urls&gt;&lt;url&gt;https://journals.sagepub.com/doi/10.1177/02692163221128702&lt;/url&gt;&lt;/related-urls&gt;&lt;/urls&gt;&lt;electronic-resource-num&gt;10.1177/02692163221128702&lt;/electronic-resource-num&gt;&lt;remote-database-provider&gt;DOI.org (Crossref)&lt;/remote-database-provider&gt;&lt;language&gt;en&lt;/language&gt;&lt;access-date&gt;2026/05/06/09:57:17&lt;/access-date&gt;&lt;/record&gt;&lt;/Cite&gt;&lt;/EndNote&gt;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[27]</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2C2F103E"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Australia</w:t>
            </w:r>
          </w:p>
        </w:tc>
        <w:tc>
          <w:tcPr>
            <w:tcW w:w="1333" w:type="dxa"/>
            <w:tcBorders>
              <w:top w:val="nil"/>
              <w:left w:val="nil"/>
              <w:bottom w:val="nil"/>
              <w:right w:val="nil"/>
            </w:tcBorders>
            <w:vAlign w:val="center"/>
            <w:hideMark/>
          </w:tcPr>
          <w:p w14:paraId="248EF15E"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Qualitative study</w:t>
            </w:r>
          </w:p>
        </w:tc>
        <w:tc>
          <w:tcPr>
            <w:tcW w:w="1888" w:type="dxa"/>
            <w:tcBorders>
              <w:top w:val="nil"/>
              <w:left w:val="nil"/>
              <w:bottom w:val="nil"/>
              <w:right w:val="nil"/>
            </w:tcBorders>
            <w:vAlign w:val="center"/>
            <w:hideMark/>
          </w:tcPr>
          <w:p w14:paraId="1ACE6AA2"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Long-standing physical disability</w:t>
            </w:r>
          </w:p>
        </w:tc>
        <w:tc>
          <w:tcPr>
            <w:tcW w:w="1802" w:type="dxa"/>
            <w:tcBorders>
              <w:top w:val="nil"/>
              <w:left w:val="nil"/>
              <w:bottom w:val="nil"/>
              <w:right w:val="nil"/>
            </w:tcBorders>
            <w:vAlign w:val="center"/>
            <w:hideMark/>
          </w:tcPr>
          <w:p w14:paraId="7BDD8743"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family members, and health and disability care providers (disability support worker, bereavement counsellor, supported accommodation manager, speech pathologist, area manager, nurse practitioner, clinical nurse educator, general manager)</w:t>
            </w:r>
          </w:p>
        </w:tc>
        <w:tc>
          <w:tcPr>
            <w:tcW w:w="1843" w:type="dxa"/>
            <w:tcBorders>
              <w:top w:val="nil"/>
              <w:left w:val="nil"/>
              <w:bottom w:val="nil"/>
              <w:right w:val="nil"/>
            </w:tcBorders>
            <w:vAlign w:val="center"/>
            <w:hideMark/>
          </w:tcPr>
          <w:p w14:paraId="7C9B214D"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Health and disability care providers</w:t>
            </w:r>
          </w:p>
        </w:tc>
        <w:tc>
          <w:tcPr>
            <w:tcW w:w="2693" w:type="dxa"/>
            <w:tcBorders>
              <w:top w:val="nil"/>
              <w:left w:val="nil"/>
              <w:bottom w:val="nil"/>
              <w:right w:val="nil"/>
            </w:tcBorders>
            <w:vAlign w:val="center"/>
            <w:hideMark/>
          </w:tcPr>
          <w:p w14:paraId="665992DD"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Semi-structured interviews to gain insight into perspectives of health and disability care providers about perceived barriers and facilitators of optimal EoL care for adults with long-standing disability.</w:t>
            </w:r>
          </w:p>
        </w:tc>
        <w:tc>
          <w:tcPr>
            <w:tcW w:w="2460" w:type="dxa"/>
            <w:tcBorders>
              <w:top w:val="nil"/>
              <w:left w:val="nil"/>
              <w:bottom w:val="nil"/>
              <w:right w:val="nil"/>
            </w:tcBorders>
            <w:vAlign w:val="center"/>
            <w:hideMark/>
          </w:tcPr>
          <w:p w14:paraId="156406EC"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Not reported; discussed EoL. EoL defined as last 12 months of life</w:t>
            </w:r>
          </w:p>
        </w:tc>
      </w:tr>
      <w:tr w:rsidR="007121FC" w:rsidRPr="00A77932" w14:paraId="2FB1764F" w14:textId="77777777" w:rsidTr="00851E52">
        <w:trPr>
          <w:trHeight w:val="2304"/>
        </w:trPr>
        <w:tc>
          <w:tcPr>
            <w:tcW w:w="813" w:type="dxa"/>
            <w:tcBorders>
              <w:top w:val="nil"/>
              <w:left w:val="nil"/>
              <w:bottom w:val="nil"/>
              <w:right w:val="nil"/>
            </w:tcBorders>
            <w:vAlign w:val="center"/>
            <w:hideMark/>
          </w:tcPr>
          <w:p w14:paraId="3E665100"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7</w:t>
            </w:r>
          </w:p>
        </w:tc>
        <w:tc>
          <w:tcPr>
            <w:tcW w:w="1411" w:type="dxa"/>
            <w:tcBorders>
              <w:top w:val="nil"/>
              <w:left w:val="nil"/>
              <w:bottom w:val="nil"/>
              <w:right w:val="nil"/>
            </w:tcBorders>
            <w:vAlign w:val="center"/>
            <w:hideMark/>
          </w:tcPr>
          <w:p w14:paraId="763E5333"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Brownlee et al. (2012)</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&lt;EndNote&gt;&lt;Cite&gt;&lt;Author&gt;Brownlee&lt;/Author&gt;&lt;Year&gt;2012&lt;/Year&gt;&lt;RecNum&gt;26&lt;/RecNum&gt;&lt;DisplayText&gt;[56]&lt;/DisplayText&gt;&lt;record&gt;&lt;rec-number&gt;26&lt;/rec-number&gt;&lt;foreign-keys&gt;&lt;key app="EN" db-id="eszd9vve00p9rte5r9dpw20vf5zfvadfs2df" timestamp="1782286660" guid="f85b20b7-fcf4-471c-8a3d-fa6420b7bb35"&gt;26&lt;/key&gt;&lt;/foreign-keys&gt;&lt;ref-type name="Journal Article"&gt;17&lt;/ref-type&gt;&lt;contributors&gt;&lt;authors&gt;&lt;author&gt;Brownlee, Alisa&lt;/author&gt;&lt;author&gt;Bruening, Lisa M.&lt;/author&gt;&lt;/authors&gt;&lt;/contributors&gt;&lt;titles&gt;&lt;title&gt;Methods of Communication at End of Life for the Person With Amyotrophic Lateral Sclerosis&lt;/title&gt;&lt;secondary-title&gt;Topics in Language Disorders&lt;/secondary-title&gt;&lt;alt-title&gt;TOPICS IN LANGUAGE DISORDERS&lt;/alt-title&gt;&lt;/titles&gt;&lt;periodical&gt;&lt;full-title&gt;Topics in Language Disorders&lt;/full-title&gt;&lt;abbr-1&gt;TOPICS IN LANGUAGE DISORDERS&lt;/abbr-1&gt;&lt;/periodical&gt;&lt;alt-periodical&gt;&lt;full-title&gt;Topics in Language Disorders&lt;/full-title&gt;&lt;abbr-1&gt;TOPICS IN LANGUAGE DISORDERS&lt;/abbr-1&gt;&lt;/alt-periodical&gt;&lt;pages&gt;168-185&lt;/pages&gt;&lt;volume&gt;32&lt;/volume&gt;&lt;number&gt;2&lt;/number&gt;&lt;dates&gt;&lt;year&gt;2012&lt;/year&gt;&lt;pub-dates&gt;&lt;date&gt;2012/04//&lt;/date&gt;&lt;/pub-dates&gt;&lt;/dates&gt;&lt;isbn&gt;0271-8294&lt;/isbn&gt;&lt;accession-num&gt;WOS:000303522300007&lt;/accession-num&gt;&lt;urls&gt;&lt;related-urls&gt;&lt;url&gt;https://journals.lww.com/00011363-201204000-00007&lt;/url&gt;&lt;/related-urls&gt;&lt;/urls&gt;&lt;electronic-resource-num&gt;10.1097/TLD.0b013e31825616ef&lt;/electronic-resource-num&gt;&lt;remote-database-provider&gt;DOI.org (Crossref)&lt;/remote-database-provider&gt;&lt;language&gt;en&lt;/language&gt;&lt;access-date&gt;2026/05/06/09:52:58&lt;/access-date&gt;&lt;/record&gt;&lt;/Cite&gt;&lt;/EndNote&gt;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[56]</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500AC270"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United States of America</w:t>
            </w:r>
          </w:p>
        </w:tc>
        <w:tc>
          <w:tcPr>
            <w:tcW w:w="1333" w:type="dxa"/>
            <w:tcBorders>
              <w:top w:val="nil"/>
              <w:left w:val="nil"/>
              <w:bottom w:val="nil"/>
              <w:right w:val="nil"/>
            </w:tcBorders>
            <w:vAlign w:val="center"/>
            <w:hideMark/>
          </w:tcPr>
          <w:p w14:paraId="47D226B7"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Cohort study (quantitative descriptive)</w:t>
            </w:r>
          </w:p>
        </w:tc>
        <w:tc>
          <w:tcPr>
            <w:tcW w:w="1888" w:type="dxa"/>
            <w:tcBorders>
              <w:top w:val="nil"/>
              <w:left w:val="nil"/>
              <w:bottom w:val="nil"/>
              <w:right w:val="nil"/>
            </w:tcBorders>
            <w:vAlign w:val="center"/>
            <w:hideMark/>
          </w:tcPr>
          <w:p w14:paraId="64242720"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Amyotrophic lateral sclerosis (ALS)</w:t>
            </w:r>
          </w:p>
        </w:tc>
        <w:tc>
          <w:tcPr>
            <w:tcW w:w="1802" w:type="dxa"/>
            <w:tcBorders>
              <w:top w:val="nil"/>
              <w:left w:val="nil"/>
              <w:bottom w:val="nil"/>
              <w:right w:val="nil"/>
            </w:tcBorders>
            <w:vAlign w:val="center"/>
            <w:hideMark/>
          </w:tcPr>
          <w:p w14:paraId="59FDDF00"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family members</w:t>
            </w:r>
          </w:p>
        </w:tc>
        <w:tc>
          <w:tcPr>
            <w:tcW w:w="1843" w:type="dxa"/>
            <w:tcBorders>
              <w:top w:val="nil"/>
              <w:left w:val="nil"/>
              <w:bottom w:val="nil"/>
              <w:right w:val="nil"/>
            </w:tcBorders>
            <w:vAlign w:val="center"/>
            <w:hideMark/>
          </w:tcPr>
          <w:p w14:paraId="7B60DDCF"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Family members</w:t>
            </w:r>
          </w:p>
        </w:tc>
        <w:tc>
          <w:tcPr>
            <w:tcW w:w="2693" w:type="dxa"/>
            <w:tcBorders>
              <w:top w:val="nil"/>
              <w:left w:val="nil"/>
              <w:bottom w:val="nil"/>
              <w:right w:val="nil"/>
            </w:tcBorders>
            <w:vAlign w:val="center"/>
            <w:hideMark/>
          </w:tcPr>
          <w:p w14:paraId="4E2A5418"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Survey contained items to basic problems with intelligibility and communication strategies at the three time intervals preceding death. One item was added for the second wave of data collection to evaluate communication strategies with a variety of individuals within the social network.</w:t>
            </w:r>
          </w:p>
        </w:tc>
        <w:tc>
          <w:tcPr>
            <w:tcW w:w="2460" w:type="dxa"/>
            <w:tcBorders>
              <w:top w:val="nil"/>
              <w:left w:val="nil"/>
              <w:bottom w:val="nil"/>
              <w:right w:val="nil"/>
            </w:tcBorders>
            <w:vAlign w:val="center"/>
            <w:hideMark/>
          </w:tcPr>
          <w:p w14:paraId="48E90D56"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Retrospective account of the deceased's last 6 months of life</w:t>
            </w:r>
          </w:p>
        </w:tc>
      </w:tr>
      <w:tr w:rsidR="007121FC" w:rsidRPr="00A77932" w14:paraId="7494B377" w14:textId="77777777" w:rsidTr="00851E52">
        <w:trPr>
          <w:trHeight w:val="1152"/>
        </w:trPr>
        <w:tc>
          <w:tcPr>
            <w:tcW w:w="813" w:type="dxa"/>
            <w:tcBorders>
              <w:top w:val="nil"/>
              <w:left w:val="nil"/>
              <w:bottom w:val="nil"/>
              <w:right w:val="nil"/>
            </w:tcBorders>
            <w:vAlign w:val="center"/>
            <w:hideMark/>
          </w:tcPr>
          <w:p w14:paraId="461474EA"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8</w:t>
            </w:r>
          </w:p>
        </w:tc>
        <w:tc>
          <w:tcPr>
            <w:tcW w:w="1411" w:type="dxa"/>
            <w:tcBorders>
              <w:top w:val="nil"/>
              <w:left w:val="nil"/>
              <w:bottom w:val="nil"/>
              <w:right w:val="nil"/>
            </w:tcBorders>
            <w:vAlign w:val="center"/>
            <w:hideMark/>
          </w:tcPr>
          <w:p w14:paraId="19D60209"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Buzgova et al. (2020)</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&lt;EndNote&gt;&lt;Cite&gt;&lt;Author&gt;Bužgová&lt;/Author&gt;&lt;Year&gt;2020&lt;/Year&gt;&lt;RecNum&gt;27&lt;/RecNum&gt;&lt;DisplayText&gt;[58]&lt;/DisplayText&gt;&lt;record&gt;&lt;rec-number&gt;27&lt;/rec-number&gt;&lt;foreign-keys&gt;&lt;key app="EN" db-id="eszd9vve00p9rte5r9dpw20vf5zfvadfs2df" timestamp="1782286660" guid="1acfc03d-2908-41ad-a543-c4492c6f3cbc"&gt;27&lt;/key&gt;&lt;/foreign-keys&gt;&lt;ref-type name="Journal Article"&gt;17&lt;/ref-type&gt;&lt;contributors&gt;&lt;authors&gt;&lt;author&gt;Bužgová, Radka&lt;/author&gt;&lt;author&gt;Kozáková, Radka&lt;/author&gt;&lt;author&gt;Škutová, Monika&lt;/author&gt;&lt;/authors&gt;&lt;/contributors&gt;&lt;titles&gt;&lt;title&gt;Factors Influencing Health-Related Quality of Life of Patients with Multiple Sclerosis and Their Caregivers&lt;/title&gt;&lt;secondary-title&gt;European Neurology&lt;/secondary-title&gt;&lt;alt-title&gt;Eur Neurol&lt;/alt-title&gt;&lt;/titles&gt;&lt;periodical&gt;&lt;full-title&gt;European Neurology&lt;/full-title&gt;&lt;abbr-1&gt;Eur Neurol&lt;/abbr-1&gt;&lt;/periodical&gt;&lt;alt-periodical&gt;&lt;full-title&gt;European Neurology&lt;/full-title&gt;&lt;abbr-1&gt;Eur Neurol&lt;/abbr-1&gt;&lt;/alt-periodical&gt;&lt;pages&gt;380-388&lt;/pages&gt;&lt;volume&gt;83&lt;/volume&gt;&lt;number&gt;4&lt;/number&gt;&lt;dates&gt;&lt;year&gt;2020&lt;/year&gt;&lt;pub-dates&gt;&lt;date&gt;2020&lt;/date&gt;&lt;/pub-dates&gt;&lt;/dates&gt;&lt;pub-location&gt;Switzerland&lt;/pub-location&gt;&lt;isbn&gt;0014-3022, 1421-9913&lt;/isbn&gt;&lt;urls&gt;&lt;related-urls&gt;&lt;url&gt;https://karger.com/article/doi/10.1159/000508949&lt;/url&gt;&lt;/related-urls&gt;&lt;/urls&gt;&lt;electronic-resource-num&gt;10.1159/000508949&lt;/electronic-resource-num&gt;&lt;remote-database-provider&gt;DOI.org (Crossref)&lt;/remote-database-provider&gt;&lt;language&gt;en&lt;/language&gt;&lt;access-date&gt;2026/05/06/09:53:00&lt;/access-date&gt;&lt;/record&gt;&lt;/Cite&gt;&lt;/EndNote&gt;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[58]</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4218E29E"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Czech Republic</w:t>
            </w:r>
          </w:p>
        </w:tc>
        <w:tc>
          <w:tcPr>
            <w:tcW w:w="1333" w:type="dxa"/>
            <w:tcBorders>
              <w:top w:val="nil"/>
              <w:left w:val="nil"/>
              <w:bottom w:val="nil"/>
              <w:right w:val="nil"/>
            </w:tcBorders>
            <w:vAlign w:val="center"/>
            <w:hideMark/>
          </w:tcPr>
          <w:p w14:paraId="4FBAAEF3"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Cross sectional study (quantitative non-randomised)</w:t>
            </w:r>
          </w:p>
        </w:tc>
        <w:tc>
          <w:tcPr>
            <w:tcW w:w="1888" w:type="dxa"/>
            <w:tcBorders>
              <w:top w:val="nil"/>
              <w:left w:val="nil"/>
              <w:bottom w:val="nil"/>
              <w:right w:val="nil"/>
            </w:tcBorders>
            <w:vAlign w:val="center"/>
            <w:hideMark/>
          </w:tcPr>
          <w:p w14:paraId="47D67B2A"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Multiple sclerosis (MS)</w:t>
            </w:r>
          </w:p>
        </w:tc>
        <w:tc>
          <w:tcPr>
            <w:tcW w:w="1802" w:type="dxa"/>
            <w:tcBorders>
              <w:top w:val="nil"/>
              <w:left w:val="nil"/>
              <w:bottom w:val="nil"/>
              <w:right w:val="nil"/>
            </w:tcBorders>
            <w:vAlign w:val="center"/>
            <w:hideMark/>
          </w:tcPr>
          <w:p w14:paraId="0A3FE0C3"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family members</w:t>
            </w:r>
          </w:p>
        </w:tc>
        <w:tc>
          <w:tcPr>
            <w:tcW w:w="1843" w:type="dxa"/>
            <w:tcBorders>
              <w:top w:val="nil"/>
              <w:left w:val="nil"/>
              <w:bottom w:val="nil"/>
              <w:right w:val="nil"/>
            </w:tcBorders>
            <w:vAlign w:val="center"/>
            <w:hideMark/>
          </w:tcPr>
          <w:p w14:paraId="4F9E5EE6"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family members</w:t>
            </w:r>
          </w:p>
        </w:tc>
        <w:tc>
          <w:tcPr>
            <w:tcW w:w="2693" w:type="dxa"/>
            <w:tcBorders>
              <w:top w:val="nil"/>
              <w:left w:val="nil"/>
              <w:bottom w:val="nil"/>
              <w:right w:val="nil"/>
            </w:tcBorders>
            <w:vAlign w:val="center"/>
            <w:hideMark/>
          </w:tcPr>
          <w:p w14:paraId="09AB7107"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Progressive Neurological Diseases Quality of Life (PNDQoL)</w:t>
            </w:r>
          </w:p>
        </w:tc>
        <w:tc>
          <w:tcPr>
            <w:tcW w:w="2460" w:type="dxa"/>
            <w:tcBorders>
              <w:top w:val="nil"/>
              <w:left w:val="nil"/>
              <w:bottom w:val="nil"/>
              <w:right w:val="nil"/>
            </w:tcBorders>
            <w:vAlign w:val="center"/>
            <w:hideMark/>
          </w:tcPr>
          <w:p w14:paraId="111BDA5C"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Prognosis by clinical assessment (Palliative Performance Scale ≤ 70 points)</w:t>
            </w:r>
          </w:p>
        </w:tc>
      </w:tr>
      <w:tr w:rsidR="007121FC" w:rsidRPr="00A77932" w14:paraId="44F2F3C4" w14:textId="77777777" w:rsidTr="00851E52">
        <w:trPr>
          <w:trHeight w:val="2304"/>
        </w:trPr>
        <w:tc>
          <w:tcPr>
            <w:tcW w:w="813" w:type="dxa"/>
            <w:tcBorders>
              <w:top w:val="nil"/>
              <w:left w:val="nil"/>
              <w:bottom w:val="nil"/>
              <w:right w:val="nil"/>
            </w:tcBorders>
            <w:vAlign w:val="center"/>
            <w:hideMark/>
          </w:tcPr>
          <w:p w14:paraId="07B5D757"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9</w:t>
            </w:r>
          </w:p>
        </w:tc>
        <w:tc>
          <w:tcPr>
            <w:tcW w:w="1411" w:type="dxa"/>
            <w:tcBorders>
              <w:top w:val="nil"/>
              <w:left w:val="nil"/>
              <w:bottom w:val="nil"/>
              <w:right w:val="nil"/>
            </w:tcBorders>
            <w:vAlign w:val="center"/>
            <w:hideMark/>
          </w:tcPr>
          <w:p w14:paraId="6612E8DD"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Buzgova et al. (2019)</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&lt;EndNote&gt;&lt;Cite&gt;&lt;Author&gt;Bužgová&lt;/Author&gt;&lt;Year&gt;2019&lt;/Year&gt;&lt;RecNum&gt;39&lt;/RecNum&gt;&lt;DisplayText&gt;[57]&lt;/DisplayText&gt;&lt;record&gt;&lt;rec-number&gt;39&lt;/rec-number&gt;&lt;foreign-keys&gt;&lt;key app="EN" db-id="eszd9vve00p9rte5r9dpw20vf5zfvadfs2df" timestamp="1782286664" guid="a40cdc06-c5fe-4773-8a09-5add98105edb"&gt;39&lt;/key&gt;&lt;/foreign-keys&gt;&lt;ref-type name="Journal Article"&gt;17&lt;/ref-type&gt;&lt;contributors&gt;&lt;authors&gt;&lt;author&gt;Bužgová, Radka&lt;/author&gt;&lt;author&gt;Kozáková, Radka&lt;/author&gt;&lt;author&gt;Juríčková, Lubica&lt;/author&gt;&lt;/authors&gt;&lt;/contributors&gt;&lt;titles&gt;&lt;title&gt;The Unmet Needs of Patients With Progressive Neurological Diseases in the Czech Republic: A Qualitative Study&lt;/title&gt;&lt;secondary-title&gt;Journal of Palliative Care&lt;/secondary-title&gt;&lt;alt-title&gt;J Palliat Care&lt;/alt-title&gt;&lt;short-title&gt;The Unmet Needs of Patients With Progressive Neurological Diseases in the Czech Republic&lt;/short-title&gt;&lt;/titles&gt;&lt;periodical&gt;&lt;full-title&gt;Journal of Palliative Care&lt;/full-title&gt;&lt;/periodical&gt;&lt;pages&gt;38-46&lt;/pages&gt;&lt;volume&gt;34&lt;/volume&gt;&lt;number&gt;1&lt;/number&gt;&lt;dates&gt;&lt;year&gt;2019&lt;/year&gt;&lt;pub-dates&gt;&lt;date&gt;2019/01//&lt;/date&gt;&lt;/pub-dates&gt;&lt;/dates&gt;&lt;isbn&gt;0825-8597, 2369-5293&lt;/isbn&gt;&lt;accession-num&gt;WOS:000454135400009&lt;/accession-num&gt;&lt;urls&gt;&lt;related-urls&gt;&lt;url&gt;https://journals.sagepub.com/doi/10.1177/0825859718800489&lt;/url&gt;&lt;/related-urls&gt;&lt;/urls&gt;&lt;electronic-resource-num&gt;10.1177/0825859718800489&lt;/electronic-resource-num&gt;&lt;remote-database-provider&gt;DOI.org (Crossref)&lt;/remote-database-provider&gt;&lt;language&gt;en&lt;/language&gt;&lt;access-date&gt;2026/05/06/09:57:19&lt;/access-date&gt;&lt;/record&gt;&lt;/Cite&gt;&lt;/EndNote&gt;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[57]</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7E7C5254"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Czech Republic</w:t>
            </w:r>
          </w:p>
        </w:tc>
        <w:tc>
          <w:tcPr>
            <w:tcW w:w="1333" w:type="dxa"/>
            <w:tcBorders>
              <w:top w:val="nil"/>
              <w:left w:val="nil"/>
              <w:bottom w:val="nil"/>
              <w:right w:val="nil"/>
            </w:tcBorders>
            <w:vAlign w:val="center"/>
            <w:hideMark/>
          </w:tcPr>
          <w:p w14:paraId="026F5DE0"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Qualitative study</w:t>
            </w:r>
          </w:p>
        </w:tc>
        <w:tc>
          <w:tcPr>
            <w:tcW w:w="1888" w:type="dxa"/>
            <w:tcBorders>
              <w:top w:val="nil"/>
              <w:left w:val="nil"/>
              <w:bottom w:val="nil"/>
              <w:right w:val="nil"/>
            </w:tcBorders>
            <w:vAlign w:val="center"/>
            <w:hideMark/>
          </w:tcPr>
          <w:p w14:paraId="05710982"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Progressive neurological diseases including multiple sclerosis (MS), Parkinson's disease (PD), atypical parkinsonism, Huntington's disease (HD), motor neurone disease (MND)</w:t>
            </w:r>
          </w:p>
        </w:tc>
        <w:tc>
          <w:tcPr>
            <w:tcW w:w="1802" w:type="dxa"/>
            <w:tcBorders>
              <w:top w:val="nil"/>
              <w:left w:val="nil"/>
              <w:bottom w:val="nil"/>
              <w:right w:val="nil"/>
            </w:tcBorders>
            <w:vAlign w:val="center"/>
            <w:hideMark/>
          </w:tcPr>
          <w:p w14:paraId="5C867D5E"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family members, health and social care professionals (doctors, nurses, physiotherapists, occupational therapists, social workers, psychologists, and hospital chaplains)</w:t>
            </w:r>
          </w:p>
        </w:tc>
        <w:tc>
          <w:tcPr>
            <w:tcW w:w="1843" w:type="dxa"/>
            <w:tcBorders>
              <w:top w:val="nil"/>
              <w:left w:val="nil"/>
              <w:bottom w:val="nil"/>
              <w:right w:val="nil"/>
            </w:tcBorders>
            <w:vAlign w:val="center"/>
            <w:hideMark/>
          </w:tcPr>
          <w:p w14:paraId="2E847860"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Patient, family members, healthcare and social professionals</w:t>
            </w:r>
          </w:p>
        </w:tc>
        <w:tc>
          <w:tcPr>
            <w:tcW w:w="2693" w:type="dxa"/>
            <w:tcBorders>
              <w:top w:val="nil"/>
              <w:left w:val="nil"/>
              <w:bottom w:val="nil"/>
              <w:right w:val="nil"/>
            </w:tcBorders>
            <w:vAlign w:val="center"/>
            <w:hideMark/>
          </w:tcPr>
          <w:p w14:paraId="2B0AC162"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Individual interviews with patients, caregivers and healthcare professionals, and focus groups with health care and social professionals on the unmet needs of patients with progressive neurological disease.</w:t>
            </w:r>
          </w:p>
        </w:tc>
        <w:tc>
          <w:tcPr>
            <w:tcW w:w="2460" w:type="dxa"/>
            <w:tcBorders>
              <w:top w:val="nil"/>
              <w:left w:val="nil"/>
              <w:bottom w:val="nil"/>
              <w:right w:val="nil"/>
            </w:tcBorders>
            <w:vAlign w:val="center"/>
            <w:hideMark/>
          </w:tcPr>
          <w:p w14:paraId="56A9A384"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 xml:space="preserve">Not reported, discussed EoL </w:t>
            </w:r>
          </w:p>
        </w:tc>
      </w:tr>
      <w:tr w:rsidR="007121FC" w:rsidRPr="00A77932" w14:paraId="2B05C00D" w14:textId="77777777" w:rsidTr="00851E52">
        <w:trPr>
          <w:trHeight w:val="864"/>
        </w:trPr>
        <w:tc>
          <w:tcPr>
            <w:tcW w:w="813" w:type="dxa"/>
            <w:tcBorders>
              <w:top w:val="nil"/>
              <w:left w:val="nil"/>
              <w:bottom w:val="nil"/>
              <w:right w:val="nil"/>
            </w:tcBorders>
            <w:vAlign w:val="center"/>
            <w:hideMark/>
          </w:tcPr>
          <w:p w14:paraId="377E86DD"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10</w:t>
            </w:r>
          </w:p>
        </w:tc>
        <w:tc>
          <w:tcPr>
            <w:tcW w:w="1411" w:type="dxa"/>
            <w:tcBorders>
              <w:top w:val="nil"/>
              <w:left w:val="nil"/>
              <w:bottom w:val="nil"/>
              <w:right w:val="nil"/>
            </w:tcBorders>
            <w:vAlign w:val="center"/>
            <w:hideMark/>
          </w:tcPr>
          <w:p w14:paraId="0C088BE7"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Cerilli et al. (2023)</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&lt;EndNote&gt;&lt;Cite&gt;&lt;Author&gt;Cerilli&lt;/Author&gt;&lt;Year&gt;2023&lt;/Year&gt;&lt;RecNum&gt;40&lt;/RecNum&gt;&lt;DisplayText&gt;[59]&lt;/DisplayText&gt;&lt;record&gt;&lt;rec-number&gt;40&lt;/rec-number&gt;&lt;foreign-keys&gt;&lt;key app="EN" db-id="eszd9vve00p9rte5r9dpw20vf5zfvadfs2df" timestamp="1782286664" guid="ae52ff74-8457-4d52-92dc-9d621d021730"&gt;40&lt;/key&gt;&lt;/foreign-keys&gt;&lt;ref-type name="Journal Article"&gt;17&lt;/ref-type&gt;&lt;contributors&gt;&lt;authors&gt;&lt;author&gt;Cerilli, Caroline&lt;/author&gt;&lt;author&gt;Katz, Gabrielle&lt;/author&gt;&lt;author&gt;Volandes, Angelo E.&lt;/author&gt;&lt;author&gt;Davis, Aretha Delight&lt;/author&gt;&lt;author&gt;Paasche-Orlow, Michael K.&lt;/author&gt;&lt;author&gt;James, Tyler G.&lt;/author&gt;&lt;author&gt;McKee, Michael M.&lt;/author&gt;&lt;/authors&gt;&lt;/contributors&gt;&lt;titles&gt;&lt;title&gt;“There is No Communication”: A Qualitative Examination of Deaf Signers’ Experiences With Advance Care Planning&lt;/title&gt;&lt;secondary-title&gt;Journal of Palliative Care&lt;/secondary-title&gt;&lt;alt-title&gt;J Palliat Care&lt;/alt-title&gt;&lt;short-title&gt;“There is No Communication”&lt;/short-title&gt;&lt;/titles&gt;&lt;periodical&gt;&lt;full-title&gt;Journal of Palliative Care&lt;/full-title&gt;&lt;/periodical&gt;&lt;pages&gt;372-380&lt;/pages&gt;&lt;volume&gt;38&lt;/volume&gt;&lt;number&gt;3&lt;/number&gt;&lt;dates&gt;&lt;year&gt;2023&lt;/year&gt;&lt;pub-dates&gt;&lt;date&gt;2023/07//&lt;/date&gt;&lt;/pub-dates&gt;&lt;/dates&gt;&lt;isbn&gt;0825-8597, 2369-5293&lt;/isbn&gt;&lt;accession-num&gt;WOS:001008297000001&lt;/accession-num&gt;&lt;urls&gt;&lt;related-urls&gt;&lt;url&gt;https://journals.sagepub.com/doi/10.1177/08258597231179763&lt;/url&gt;&lt;/related-urls&gt;&lt;/urls&gt;&lt;electronic-resource-num&gt;10.1177/08258597231179763&lt;/electronic-resource-num&gt;&lt;remote-database-provider&gt;DOI.org (Crossref)&lt;/remote-database-provider&gt;&lt;language&gt;en&lt;/language&gt;&lt;access-date&gt;2026/05/06/09:57:22&lt;/access-date&gt;&lt;/record&gt;&lt;/Cite&gt;&lt;/EndNote&gt;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[59]</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3EEBD890"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United States of America</w:t>
            </w:r>
          </w:p>
        </w:tc>
        <w:tc>
          <w:tcPr>
            <w:tcW w:w="1333" w:type="dxa"/>
            <w:tcBorders>
              <w:top w:val="nil"/>
              <w:left w:val="nil"/>
              <w:bottom w:val="nil"/>
              <w:right w:val="nil"/>
            </w:tcBorders>
            <w:vAlign w:val="center"/>
            <w:hideMark/>
          </w:tcPr>
          <w:p w14:paraId="78DFD643"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Qualitative study</w:t>
            </w:r>
          </w:p>
        </w:tc>
        <w:tc>
          <w:tcPr>
            <w:tcW w:w="1888" w:type="dxa"/>
            <w:tcBorders>
              <w:top w:val="nil"/>
              <w:left w:val="nil"/>
              <w:bottom w:val="nil"/>
              <w:right w:val="nil"/>
            </w:tcBorders>
            <w:vAlign w:val="center"/>
            <w:hideMark/>
          </w:tcPr>
          <w:p w14:paraId="3E2BD342"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Older Deaf ASL users; diagnosis unclear</w:t>
            </w:r>
          </w:p>
        </w:tc>
        <w:tc>
          <w:tcPr>
            <w:tcW w:w="1802" w:type="dxa"/>
            <w:tcBorders>
              <w:top w:val="nil"/>
              <w:left w:val="nil"/>
              <w:bottom w:val="nil"/>
              <w:right w:val="nil"/>
            </w:tcBorders>
            <w:vAlign w:val="center"/>
            <w:hideMark/>
          </w:tcPr>
          <w:p w14:paraId="32545BD3"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w:t>
            </w:r>
          </w:p>
        </w:tc>
        <w:tc>
          <w:tcPr>
            <w:tcW w:w="1843" w:type="dxa"/>
            <w:tcBorders>
              <w:top w:val="nil"/>
              <w:left w:val="nil"/>
              <w:bottom w:val="nil"/>
              <w:right w:val="nil"/>
            </w:tcBorders>
            <w:vAlign w:val="center"/>
            <w:hideMark/>
          </w:tcPr>
          <w:p w14:paraId="6953871D"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Patient</w:t>
            </w:r>
          </w:p>
        </w:tc>
        <w:tc>
          <w:tcPr>
            <w:tcW w:w="2693" w:type="dxa"/>
            <w:tcBorders>
              <w:top w:val="nil"/>
              <w:left w:val="nil"/>
              <w:bottom w:val="nil"/>
              <w:right w:val="nil"/>
            </w:tcBorders>
            <w:vAlign w:val="center"/>
            <w:hideMark/>
          </w:tcPr>
          <w:p w14:paraId="44735F18"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Semi-structured interviews on the participants' experiences with advance care planning.</w:t>
            </w:r>
          </w:p>
        </w:tc>
        <w:tc>
          <w:tcPr>
            <w:tcW w:w="2460" w:type="dxa"/>
            <w:tcBorders>
              <w:top w:val="nil"/>
              <w:left w:val="nil"/>
              <w:bottom w:val="nil"/>
              <w:right w:val="nil"/>
            </w:tcBorders>
            <w:vAlign w:val="center"/>
            <w:hideMark/>
          </w:tcPr>
          <w:p w14:paraId="1913E35A"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 xml:space="preserve">Not reported, discussed EoL </w:t>
            </w:r>
          </w:p>
        </w:tc>
      </w:tr>
      <w:tr w:rsidR="007121FC" w:rsidRPr="00A77932" w14:paraId="6C5B0DEC" w14:textId="77777777" w:rsidTr="00851E52">
        <w:trPr>
          <w:trHeight w:val="1440"/>
        </w:trPr>
        <w:tc>
          <w:tcPr>
            <w:tcW w:w="813" w:type="dxa"/>
            <w:tcBorders>
              <w:top w:val="nil"/>
              <w:left w:val="nil"/>
              <w:bottom w:val="nil"/>
              <w:right w:val="nil"/>
            </w:tcBorders>
            <w:vAlign w:val="center"/>
            <w:hideMark/>
          </w:tcPr>
          <w:p w14:paraId="16A569B9"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11</w:t>
            </w:r>
          </w:p>
        </w:tc>
        <w:tc>
          <w:tcPr>
            <w:tcW w:w="1411" w:type="dxa"/>
            <w:tcBorders>
              <w:top w:val="nil"/>
              <w:left w:val="nil"/>
              <w:bottom w:val="nil"/>
              <w:right w:val="nil"/>
            </w:tcBorders>
            <w:vAlign w:val="center"/>
            <w:hideMark/>
          </w:tcPr>
          <w:p w14:paraId="62D59E1E"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Cheong et al. (2024)</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&lt;EndNote&gt;&lt;Cite&gt;&lt;Author&gt;Cheong&lt;/Author&gt;&lt;Year&gt;2024&lt;/Year&gt;&lt;RecNum&gt;28&lt;/RecNum&gt;&lt;DisplayText&gt;[60]&lt;/DisplayText&gt;&lt;record&gt;&lt;rec-number&gt;28&lt;/rec-number&gt;&lt;foreign-keys&gt;&lt;key app="EN" db-id="eszd9vve00p9rte5r9dpw20vf5zfvadfs2df" timestamp="1782286660" guid="b7dcdd38-198a-4262-9b07-5b04fb532664"&gt;28&lt;/key&gt;&lt;/foreign-keys&gt;&lt;ref-type name="Journal Article"&gt;17&lt;/ref-type&gt;&lt;contributors&gt;&lt;authors&gt;&lt;author&gt;Cheong, Julia Ly&lt;/author&gt;&lt;author&gt;Goh, Zhao Hk&lt;/author&gt;&lt;author&gt;Schrag, Anette&lt;/author&gt;&lt;/authors&gt;&lt;/contributors&gt;&lt;titles&gt;&lt;title&gt;Support needs of people with Multiple System Atrophy&lt;/title&gt;&lt;secondary-title&gt;Parkinsonism &amp;amp; Related Disorders&lt;/secondary-title&gt;&lt;alt-title&gt;Parkinsonism &amp;amp; Related Disorders&lt;/alt-title&gt;&lt;/titles&gt;&lt;periodical&gt;&lt;full-title&gt;Parkinsonism &amp;amp; Related Disorders&lt;/full-title&gt;&lt;abbr-1&gt;Parkinsonism &amp;amp; Related Disorders&lt;/abbr-1&gt;&lt;/periodical&gt;&lt;alt-periodical&gt;&lt;full-title&gt;Parkinsonism &amp;amp; Related Disorders&lt;/full-title&gt;&lt;abbr-1&gt;Parkinsonism &amp;amp; Related Disorders&lt;/abbr-1&gt;&lt;/alt-periodical&gt;&lt;pages&gt;106019&lt;/pages&gt;&lt;volume&gt;120&lt;/volume&gt;&lt;dates&gt;&lt;year&gt;2024&lt;/year&gt;&lt;pub-dates&gt;&lt;date&gt;2024/03//&lt;/date&gt;&lt;/pub-dates&gt;&lt;/dates&gt;&lt;pub-location&gt;England&lt;/pub-location&gt;&lt;isbn&gt;13538020&lt;/isbn&gt;&lt;urls&gt;&lt;related-urls&gt;&lt;url&gt;https://linkinghub.elsevier.com/retrieve/pii/S1353802024000312&lt;/url&gt;&lt;/related-urls&gt;&lt;/urls&gt;&lt;electronic-resource-num&gt;10.1016/j.parkreldis.2024.106019&lt;/electronic-resource-num&gt;&lt;remote-database-provider&gt;DOI.org (Crossref)&lt;/remote-database-provider&gt;&lt;language&gt;en&lt;/language&gt;&lt;access-date&gt;2026/05/06/09:53:03&lt;/access-date&gt;&lt;/record&gt;&lt;/Cite&gt;&lt;/EndNote&gt;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[60]</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381FE2C7"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United Kingdom</w:t>
            </w:r>
          </w:p>
        </w:tc>
        <w:tc>
          <w:tcPr>
            <w:tcW w:w="1333" w:type="dxa"/>
            <w:tcBorders>
              <w:top w:val="nil"/>
              <w:left w:val="nil"/>
              <w:bottom w:val="nil"/>
              <w:right w:val="nil"/>
            </w:tcBorders>
            <w:vAlign w:val="center"/>
            <w:hideMark/>
          </w:tcPr>
          <w:p w14:paraId="3A4BCC20"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Cross sectional study (quantitative descriptive)</w:t>
            </w:r>
          </w:p>
        </w:tc>
        <w:tc>
          <w:tcPr>
            <w:tcW w:w="1888" w:type="dxa"/>
            <w:tcBorders>
              <w:top w:val="nil"/>
              <w:left w:val="nil"/>
              <w:bottom w:val="nil"/>
              <w:right w:val="nil"/>
            </w:tcBorders>
            <w:vAlign w:val="center"/>
            <w:hideMark/>
          </w:tcPr>
          <w:p w14:paraId="08E2CDAE"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Multiple system atrophy (MSA)</w:t>
            </w:r>
          </w:p>
        </w:tc>
        <w:tc>
          <w:tcPr>
            <w:tcW w:w="1802" w:type="dxa"/>
            <w:tcBorders>
              <w:top w:val="nil"/>
              <w:left w:val="nil"/>
              <w:bottom w:val="nil"/>
              <w:right w:val="nil"/>
            </w:tcBorders>
            <w:vAlign w:val="center"/>
            <w:hideMark/>
          </w:tcPr>
          <w:p w14:paraId="7FF94ED2"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former carers</w:t>
            </w:r>
          </w:p>
        </w:tc>
        <w:tc>
          <w:tcPr>
            <w:tcW w:w="1843" w:type="dxa"/>
            <w:tcBorders>
              <w:top w:val="nil"/>
              <w:left w:val="nil"/>
              <w:bottom w:val="nil"/>
              <w:right w:val="nil"/>
            </w:tcBorders>
            <w:vAlign w:val="center"/>
            <w:hideMark/>
          </w:tcPr>
          <w:p w14:paraId="1A51BA7D"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former carers</w:t>
            </w:r>
          </w:p>
        </w:tc>
        <w:tc>
          <w:tcPr>
            <w:tcW w:w="2693" w:type="dxa"/>
            <w:tcBorders>
              <w:top w:val="nil"/>
              <w:left w:val="nil"/>
              <w:bottom w:val="nil"/>
              <w:right w:val="nil"/>
            </w:tcBorders>
            <w:vAlign w:val="center"/>
            <w:hideMark/>
          </w:tcPr>
          <w:p w14:paraId="4C6C0BFA"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Survey sent to people with MSA and former carers to assess physical, emotional, personal, and financial impact of MSA and support received.</w:t>
            </w:r>
          </w:p>
        </w:tc>
        <w:tc>
          <w:tcPr>
            <w:tcW w:w="2460" w:type="dxa"/>
            <w:tcBorders>
              <w:top w:val="nil"/>
              <w:left w:val="nil"/>
              <w:bottom w:val="nil"/>
              <w:right w:val="nil"/>
            </w:tcBorders>
            <w:vAlign w:val="center"/>
            <w:hideMark/>
          </w:tcPr>
          <w:p w14:paraId="681442FF"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Not reported for participating people with MSA; retrospective account of the latest stage of disease including at the EoL by former carers</w:t>
            </w:r>
          </w:p>
        </w:tc>
      </w:tr>
      <w:tr w:rsidR="007121FC" w:rsidRPr="00A77932" w14:paraId="7DA61027" w14:textId="77777777" w:rsidTr="00851E52">
        <w:trPr>
          <w:trHeight w:val="4896"/>
        </w:trPr>
        <w:tc>
          <w:tcPr>
            <w:tcW w:w="813" w:type="dxa"/>
            <w:tcBorders>
              <w:top w:val="nil"/>
              <w:left w:val="nil"/>
              <w:bottom w:val="nil"/>
              <w:right w:val="nil"/>
            </w:tcBorders>
            <w:vAlign w:val="center"/>
            <w:hideMark/>
          </w:tcPr>
          <w:p w14:paraId="7C31F60A"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lastRenderedPageBreak/>
              <w:t>12</w:t>
            </w:r>
          </w:p>
        </w:tc>
        <w:tc>
          <w:tcPr>
            <w:tcW w:w="1411" w:type="dxa"/>
            <w:tcBorders>
              <w:top w:val="nil"/>
              <w:left w:val="nil"/>
              <w:bottom w:val="nil"/>
              <w:right w:val="nil"/>
            </w:tcBorders>
            <w:vAlign w:val="center"/>
            <w:hideMark/>
          </w:tcPr>
          <w:p w14:paraId="23B8DFA3"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Cohen-Mansfield et al. (2020)</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&lt;EndNote&gt;&lt;Cite&gt;&lt;Author&gt;Cohen-Mansfield&lt;/Author&gt;&lt;Year&gt;2020&lt;/Year&gt;&lt;RecNum&gt;41&lt;/RecNum&gt;&lt;DisplayText&gt;[61]&lt;/DisplayText&gt;&lt;record&gt;&lt;rec-number&gt;41&lt;/rec-number&gt;&lt;foreign-keys&gt;&lt;key app="EN" db-id="eszd9vve00p9rte5r9dpw20vf5zfvadfs2df" timestamp="1782286664" guid="92534e14-3599-4ef5-b67c-ba8a631c8335"&gt;41&lt;/key&gt;&lt;/foreign-keys&gt;&lt;ref-type name="Journal Article"&gt;17&lt;/ref-type&gt;&lt;contributors&gt;&lt;authors&gt;&lt;author&gt;Cohen-Mansfield, Jiska&lt;/author&gt;&lt;author&gt;Brill, Shai&lt;/author&gt;&lt;/authors&gt;&lt;secondary-authors&gt;&lt;author&gt;Frey, Rosemary&lt;/author&gt;&lt;/secondary-authors&gt;&lt;/contributors&gt;&lt;titles&gt;&lt;title&gt;After providing end of life care to relatives, what care options do family caregivers prefer for themselves?&lt;/title&gt;&lt;secondary-title&gt;PLOS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0239423&lt;/pages&gt;&lt;volume&gt;15&lt;/volume&gt;&lt;number&gt;9&lt;/number&gt;&lt;dates&gt;&lt;year&gt;2020&lt;/year&gt;&lt;pub-dates&gt;&lt;date&gt;2020/09/25/&lt;/date&gt;&lt;/pub-dates&gt;&lt;/dates&gt;&lt;isbn&gt;1932-6203&lt;/isbn&gt;&lt;urls&gt;&lt;related-urls&gt;&lt;url&gt;https://dx.plos.org/10.1371/journal.pone.0239423&lt;/url&gt;&lt;/related-urls&gt;&lt;/urls&gt;&lt;electronic-resource-num&gt;10.1371/journal.pone.0239423&lt;/electronic-resource-num&gt;&lt;remote-database-provider&gt;DOI.org (Crossref)&lt;/remote-database-provider&gt;&lt;language&gt;en&lt;/language&gt;&lt;access-date&gt;2026/05/06/09:57:23&lt;/access-date&gt;&lt;/record&gt;&lt;/Cite&gt;&lt;/EndNote&gt;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[61]</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06682964"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Israel</w:t>
            </w:r>
          </w:p>
        </w:tc>
        <w:tc>
          <w:tcPr>
            <w:tcW w:w="1333" w:type="dxa"/>
            <w:tcBorders>
              <w:top w:val="nil"/>
              <w:left w:val="nil"/>
              <w:bottom w:val="nil"/>
              <w:right w:val="nil"/>
            </w:tcBorders>
            <w:vAlign w:val="center"/>
            <w:hideMark/>
          </w:tcPr>
          <w:p w14:paraId="65088524"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Mixed-methods cross-sectional study (qualitative and quantitative non-randomised)</w:t>
            </w:r>
          </w:p>
        </w:tc>
        <w:tc>
          <w:tcPr>
            <w:tcW w:w="1888" w:type="dxa"/>
            <w:tcBorders>
              <w:top w:val="nil"/>
              <w:left w:val="nil"/>
              <w:bottom w:val="nil"/>
              <w:right w:val="nil"/>
            </w:tcBorders>
            <w:vAlign w:val="center"/>
            <w:hideMark/>
          </w:tcPr>
          <w:p w14:paraId="12E8AF8A"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Advanced dementia or significant physical disability</w:t>
            </w:r>
          </w:p>
        </w:tc>
        <w:tc>
          <w:tcPr>
            <w:tcW w:w="1802" w:type="dxa"/>
            <w:tcBorders>
              <w:top w:val="nil"/>
              <w:left w:val="nil"/>
              <w:bottom w:val="nil"/>
              <w:right w:val="nil"/>
            </w:tcBorders>
            <w:vAlign w:val="center"/>
            <w:hideMark/>
          </w:tcPr>
          <w:p w14:paraId="03A30579"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Family members</w:t>
            </w:r>
          </w:p>
        </w:tc>
        <w:tc>
          <w:tcPr>
            <w:tcW w:w="1843" w:type="dxa"/>
            <w:tcBorders>
              <w:top w:val="nil"/>
              <w:left w:val="nil"/>
              <w:bottom w:val="nil"/>
              <w:right w:val="nil"/>
            </w:tcBorders>
            <w:vAlign w:val="center"/>
            <w:hideMark/>
          </w:tcPr>
          <w:p w14:paraId="2015993F"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Family members</w:t>
            </w:r>
          </w:p>
        </w:tc>
        <w:tc>
          <w:tcPr>
            <w:tcW w:w="2693" w:type="dxa"/>
            <w:tcBorders>
              <w:top w:val="nil"/>
              <w:left w:val="nil"/>
              <w:bottom w:val="nil"/>
              <w:right w:val="nil"/>
            </w:tcBorders>
            <w:vAlign w:val="center"/>
            <w:hideMark/>
          </w:tcPr>
          <w:p w14:paraId="77A4D8C1"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Quantitative: Questions related to the caregivers' relationship to family and friends, past experience with EoL, willingness to be dependent on others, quality of life values inventory (five statements related to preference for extension of life versus QoL), will to live, preferences for end of life care ((i) care in a nursing home/long term care institution, (ii) care by a caregiver at home, (iii) care by family at home, (iv) suicide, (v) euthanasia), perceived influences on EoL decisions.</w:t>
            </w:r>
            <w:r w:rsidRPr="00A77932">
              <w:rPr>
                <w:rFonts w:ascii="Aptos Narrow" w:eastAsia="Times New Roman" w:hAnsi="Aptos Narrow" w:cs="Times New Roman"/>
                <w:color w:val="000000"/>
                <w:kern w:val="0"/>
                <w:sz w:val="20"/>
                <w:szCs w:val="20"/>
                <w14:ligatures w14:val="none"/>
              </w:rPr>
              <w:br/>
              <w:t>Qualitative: Open-ended comments to explore the reasons behind participants’ preferences for care options as identified in the quantitative analysis</w:t>
            </w:r>
          </w:p>
        </w:tc>
        <w:tc>
          <w:tcPr>
            <w:tcW w:w="2460" w:type="dxa"/>
            <w:tcBorders>
              <w:top w:val="nil"/>
              <w:left w:val="nil"/>
              <w:bottom w:val="nil"/>
              <w:right w:val="nil"/>
            </w:tcBorders>
            <w:vAlign w:val="center"/>
            <w:hideMark/>
          </w:tcPr>
          <w:p w14:paraId="0A1C6046"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Advanced stage of disease (period of decline leading to the time of death)</w:t>
            </w:r>
          </w:p>
        </w:tc>
      </w:tr>
      <w:tr w:rsidR="007121FC" w:rsidRPr="00A77932" w14:paraId="57B4783D" w14:textId="77777777" w:rsidTr="00851E52">
        <w:trPr>
          <w:trHeight w:val="2304"/>
        </w:trPr>
        <w:tc>
          <w:tcPr>
            <w:tcW w:w="813" w:type="dxa"/>
            <w:tcBorders>
              <w:top w:val="nil"/>
              <w:left w:val="nil"/>
              <w:bottom w:val="nil"/>
              <w:right w:val="nil"/>
            </w:tcBorders>
            <w:vAlign w:val="center"/>
            <w:hideMark/>
          </w:tcPr>
          <w:p w14:paraId="66C6A73F"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13</w:t>
            </w:r>
          </w:p>
        </w:tc>
        <w:tc>
          <w:tcPr>
            <w:tcW w:w="1411" w:type="dxa"/>
            <w:tcBorders>
              <w:top w:val="nil"/>
              <w:left w:val="nil"/>
              <w:bottom w:val="nil"/>
              <w:right w:val="nil"/>
            </w:tcBorders>
            <w:vAlign w:val="center"/>
            <w:hideMark/>
          </w:tcPr>
          <w:p w14:paraId="6E0AF81F"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Dawson &amp; Kristjanson  (2003)</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&lt;EndNote&gt;&lt;Cite&gt;&lt;Author&gt;Dawson&lt;/Author&gt;&lt;Year&gt;2003&lt;/Year&gt;&lt;RecNum&gt;53&lt;/RecNum&gt;&lt;DisplayText&gt;[62]&lt;/DisplayText&gt;&lt;record&gt;&lt;rec-number&gt;53&lt;/rec-number&gt;&lt;foreign-keys&gt;&lt;key app="EN" db-id="eszd9vve00p9rte5r9dpw20vf5zfvadfs2df" timestamp="1782286665" guid="158bb9e9-8c22-41b2-a6d0-cfcc24253d71"&gt;53&lt;/key&gt;&lt;/foreign-keys&gt;&lt;ref-type name="Journal Article"&gt;17&lt;/ref-type&gt;&lt;contributors&gt;&lt;authors&gt;&lt;author&gt;Dawson, Sky&lt;/author&gt;&lt;author&gt;Kristjanson, Linda J.&lt;/author&gt;&lt;/authors&gt;&lt;/contributors&gt;&lt;titles&gt;&lt;title&gt;Mapping the journey: family carers&amp;apos; perceptions of issues related to end-stage care of individuals with muscular dystrophy or motor neurone disease&lt;/title&gt;&lt;secondary-title&gt;Journal of Palliative Care&lt;/secondary-title&gt;&lt;alt-title&gt;J Palliat Care&lt;/alt-title&gt;&lt;short-title&gt;Mapping the journey&lt;/short-title&gt;&lt;/titles&gt;&lt;periodical&gt;&lt;full-title&gt;Journal of Palliative Care&lt;/full-title&gt;&lt;/periodical&gt;&lt;pages&gt;36-42&lt;/pages&gt;&lt;volume&gt;19&lt;/volume&gt;&lt;number&gt;1&lt;/number&gt;&lt;keywords&gt;&lt;keyword&gt;Female&lt;/keyword&gt;&lt;keyword&gt;Humans&lt;/keyword&gt;&lt;keyword&gt;Male&lt;/keyword&gt;&lt;keyword&gt;Caregivers&lt;/keyword&gt;&lt;keyword&gt;Grief&lt;/keyword&gt;&lt;keyword&gt;Palliative Care&lt;/keyword&gt;&lt;keyword&gt;Quality of Life&lt;/keyword&gt;&lt;keyword&gt;Terminal Care&lt;/keyword&gt;&lt;keyword&gt;Fear&lt;/keyword&gt;&lt;keyword&gt;Interviews as Topic&lt;/keyword&gt;&lt;keyword&gt;Motor Neuron Disease&lt;/keyword&gt;&lt;keyword&gt;Muscular Dystrophies&lt;/keyword&gt;&lt;keyword&gt;Needs Assessment&lt;/keyword&gt;&lt;/keywords&gt;&lt;dates&gt;&lt;year&gt;2003&lt;/year&gt;&lt;pub-dates&gt;&lt;date&gt;2003&lt;/date&gt;&lt;/pub-dates&gt;&lt;/dates&gt;&lt;isbn&gt;0825-8597&lt;/isbn&gt;&lt;urls&gt;&lt;related-urls&gt;&lt;url&gt;http://www.ncbi.nlm.nih.gov/pubmed/12710113&lt;/url&gt;&lt;/related-urls&gt;&lt;/urls&gt;&lt;remote-database-provider&gt;PubMed&lt;/remote-database-provider&gt;&lt;language&gt;eng&lt;/languag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[62]</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35DDAE1B"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Australia</w:t>
            </w:r>
          </w:p>
        </w:tc>
        <w:tc>
          <w:tcPr>
            <w:tcW w:w="1333" w:type="dxa"/>
            <w:tcBorders>
              <w:top w:val="nil"/>
              <w:left w:val="nil"/>
              <w:bottom w:val="nil"/>
              <w:right w:val="nil"/>
            </w:tcBorders>
            <w:vAlign w:val="center"/>
            <w:hideMark/>
          </w:tcPr>
          <w:p w14:paraId="146D0A91"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Qualitative study</w:t>
            </w:r>
          </w:p>
        </w:tc>
        <w:tc>
          <w:tcPr>
            <w:tcW w:w="1888" w:type="dxa"/>
            <w:tcBorders>
              <w:top w:val="nil"/>
              <w:left w:val="nil"/>
              <w:bottom w:val="nil"/>
              <w:right w:val="nil"/>
            </w:tcBorders>
            <w:vAlign w:val="center"/>
            <w:hideMark/>
          </w:tcPr>
          <w:p w14:paraId="363B1E77"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Motor neurone disease (MND) or muscular dystrophy (MD)</w:t>
            </w:r>
          </w:p>
        </w:tc>
        <w:tc>
          <w:tcPr>
            <w:tcW w:w="1802" w:type="dxa"/>
            <w:tcBorders>
              <w:top w:val="nil"/>
              <w:left w:val="nil"/>
              <w:bottom w:val="nil"/>
              <w:right w:val="nil"/>
            </w:tcBorders>
            <w:vAlign w:val="center"/>
            <w:hideMark/>
          </w:tcPr>
          <w:p w14:paraId="150C8124"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family members, healthcare professionals (not specified)</w:t>
            </w:r>
          </w:p>
        </w:tc>
        <w:tc>
          <w:tcPr>
            <w:tcW w:w="1843" w:type="dxa"/>
            <w:tcBorders>
              <w:top w:val="nil"/>
              <w:left w:val="nil"/>
              <w:bottom w:val="nil"/>
              <w:right w:val="nil"/>
            </w:tcBorders>
            <w:vAlign w:val="center"/>
            <w:hideMark/>
          </w:tcPr>
          <w:p w14:paraId="1BC3079D"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Patient, family members, healthcare professionals</w:t>
            </w:r>
          </w:p>
        </w:tc>
        <w:tc>
          <w:tcPr>
            <w:tcW w:w="2693" w:type="dxa"/>
            <w:tcBorders>
              <w:top w:val="nil"/>
              <w:left w:val="nil"/>
              <w:bottom w:val="nil"/>
              <w:right w:val="nil"/>
            </w:tcBorders>
            <w:vAlign w:val="center"/>
            <w:hideMark/>
          </w:tcPr>
          <w:p w14:paraId="2407DB18"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Semi-structured interviews on end-of-life issues faced by family carers of MD and MND.</w:t>
            </w:r>
          </w:p>
        </w:tc>
        <w:tc>
          <w:tcPr>
            <w:tcW w:w="2460" w:type="dxa"/>
            <w:tcBorders>
              <w:top w:val="nil"/>
              <w:left w:val="nil"/>
              <w:bottom w:val="nil"/>
              <w:right w:val="nil"/>
            </w:tcBorders>
            <w:vAlign w:val="center"/>
            <w:hideMark/>
          </w:tcPr>
          <w:p w14:paraId="5C6CDF04"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Advanced stage of disease (final stage of life)</w:t>
            </w:r>
          </w:p>
        </w:tc>
      </w:tr>
      <w:tr w:rsidR="007121FC" w:rsidRPr="00A77932" w14:paraId="76B00AC1" w14:textId="77777777" w:rsidTr="00851E52">
        <w:trPr>
          <w:trHeight w:val="2016"/>
        </w:trPr>
        <w:tc>
          <w:tcPr>
            <w:tcW w:w="813" w:type="dxa"/>
            <w:tcBorders>
              <w:top w:val="nil"/>
              <w:left w:val="nil"/>
              <w:bottom w:val="nil"/>
              <w:right w:val="nil"/>
            </w:tcBorders>
            <w:vAlign w:val="center"/>
            <w:hideMark/>
          </w:tcPr>
          <w:p w14:paraId="4175A98E"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14</w:t>
            </w:r>
          </w:p>
        </w:tc>
        <w:tc>
          <w:tcPr>
            <w:tcW w:w="1411" w:type="dxa"/>
            <w:tcBorders>
              <w:top w:val="nil"/>
              <w:left w:val="nil"/>
              <w:bottom w:val="nil"/>
              <w:right w:val="nil"/>
            </w:tcBorders>
            <w:vAlign w:val="center"/>
            <w:hideMark/>
          </w:tcPr>
          <w:p w14:paraId="59F68DEB"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Dorsemans et al. (2023)</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&lt;EndNote&gt;&lt;Cite&gt;&lt;Author&gt;Dorsemans&lt;/Author&gt;&lt;Year&gt;2023&lt;/Year&gt;&lt;RecNum&gt;42&lt;/RecNum&gt;&lt;DisplayText&gt;[63]&lt;/DisplayText&gt;&lt;record&gt;&lt;rec-number&gt;42&lt;/rec-number&gt;&lt;foreign-keys&gt;&lt;key app="EN" db-id="eszd9vve00p9rte5r9dpw20vf5zfvadfs2df" timestamp="1782286664" guid="b199aa3c-a610-4729-8d54-ea6ecfcc6c24"&gt;42&lt;/key&gt;&lt;/foreign-keys&gt;&lt;ref-type name="Journal Article"&gt;17&lt;/ref-type&gt;&lt;contributors&gt;&lt;authors&gt;&lt;author&gt;Dorsemans, Anne-Claire&lt;/author&gt;&lt;author&gt;Coarelli, Giulia&lt;/author&gt;&lt;author&gt;Heinzmann, Anna&lt;/author&gt;&lt;author&gt;Verdon, Benoit&lt;/author&gt;&lt;author&gt;De Luca, Manuella&lt;/author&gt;&lt;author&gt;Petit, Elodie&lt;/author&gt;&lt;author&gt;Pierron, Lucie&lt;/author&gt;&lt;author&gt;Levy-Soussan, Michèle&lt;/author&gt;&lt;author&gt;Durr, Alexandra&lt;/author&gt;&lt;author&gt;Gargiulo, Marcela&lt;/author&gt;&lt;author&gt;Ewenczyk, Claire&lt;/author&gt;&lt;/authors&gt;&lt;/contributors&gt;&lt;titles&gt;&lt;title&gt;End-of-Life Discussions With Patients and Caregivers Affected By Neurogenetic Diseases&lt;/title&gt;&lt;secondary-title&gt;Neurology Clinical Practice&lt;/secondary-title&gt;&lt;alt-title&gt;Neur Clin Pract&lt;/alt-title&gt;&lt;/titles&gt;&lt;periodical&gt;&lt;full-title&gt;Neurology Clinical Practice&lt;/full-title&gt;&lt;abbr-1&gt;Neur Clin Pract&lt;/abbr-1&gt;&lt;/periodical&gt;&lt;alt-periodical&gt;&lt;full-title&gt;Neurology Clinical Practice&lt;/full-title&gt;&lt;abbr-1&gt;Neur Clin Pract&lt;/abbr-1&gt;&lt;/alt-periodical&gt;&lt;pages&gt;e200199&lt;/pages&gt;&lt;volume&gt;13&lt;/volume&gt;&lt;number&gt;6&lt;/number&gt;&lt;dates&gt;&lt;year&gt;2023&lt;/year&gt;&lt;pub-dates&gt;&lt;date&gt;2023/12//&lt;/date&gt;&lt;/pub-dates&gt;&lt;/dates&gt;&lt;pub-location&gt;United States&lt;/pub-location&gt;&lt;isbn&gt;2163-0402, 2163-0933&lt;/isbn&gt;&lt;urls&gt;&lt;related-urls&gt;&lt;url&gt;https://www.neurology.org/doi/10.1212/CPJ.0000000000200199&lt;/url&gt;&lt;/related-urls&gt;&lt;/urls&gt;&lt;electronic-resource-num&gt;10.1212/CPJ.0000000000200199&lt;/electronic-resource-num&gt;&lt;remote-database-provider&gt;DOI.org (Crossref)&lt;/remote-database-provider&gt;&lt;language&gt;en&lt;/language&gt;&lt;access-date&gt;2026/05/06/09:57:28&lt;/access-date&gt;&lt;/record&gt;&lt;/Cite&gt;&lt;/EndNote&gt;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[63]</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62AF4856"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France</w:t>
            </w:r>
          </w:p>
        </w:tc>
        <w:tc>
          <w:tcPr>
            <w:tcW w:w="1333" w:type="dxa"/>
            <w:tcBorders>
              <w:top w:val="nil"/>
              <w:left w:val="nil"/>
              <w:bottom w:val="nil"/>
              <w:right w:val="nil"/>
            </w:tcBorders>
            <w:vAlign w:val="center"/>
            <w:hideMark/>
          </w:tcPr>
          <w:p w14:paraId="7976EE85"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Mixed-methods cross-sectional study (qualitative and quantitative non-randomised)</w:t>
            </w:r>
          </w:p>
        </w:tc>
        <w:tc>
          <w:tcPr>
            <w:tcW w:w="1888" w:type="dxa"/>
            <w:tcBorders>
              <w:top w:val="nil"/>
              <w:left w:val="nil"/>
              <w:bottom w:val="nil"/>
              <w:right w:val="nil"/>
            </w:tcBorders>
            <w:vAlign w:val="center"/>
            <w:hideMark/>
          </w:tcPr>
          <w:p w14:paraId="62A95801"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Neurogenetic Diseases, including Huntington disease (HD), spinocerebellar ataxias (SCA), and Friedreich ataxia (FRDA)</w:t>
            </w:r>
          </w:p>
        </w:tc>
        <w:tc>
          <w:tcPr>
            <w:tcW w:w="1802" w:type="dxa"/>
            <w:tcBorders>
              <w:top w:val="nil"/>
              <w:left w:val="nil"/>
              <w:bottom w:val="nil"/>
              <w:right w:val="nil"/>
            </w:tcBorders>
            <w:vAlign w:val="center"/>
            <w:hideMark/>
          </w:tcPr>
          <w:p w14:paraId="15A20997"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family members</w:t>
            </w:r>
          </w:p>
        </w:tc>
        <w:tc>
          <w:tcPr>
            <w:tcW w:w="1843" w:type="dxa"/>
            <w:tcBorders>
              <w:top w:val="nil"/>
              <w:left w:val="nil"/>
              <w:bottom w:val="nil"/>
              <w:right w:val="nil"/>
            </w:tcBorders>
            <w:vAlign w:val="center"/>
            <w:hideMark/>
          </w:tcPr>
          <w:p w14:paraId="04569690"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family members</w:t>
            </w:r>
          </w:p>
        </w:tc>
        <w:tc>
          <w:tcPr>
            <w:tcW w:w="2693" w:type="dxa"/>
            <w:tcBorders>
              <w:top w:val="nil"/>
              <w:left w:val="nil"/>
              <w:bottom w:val="nil"/>
              <w:right w:val="nil"/>
            </w:tcBorders>
            <w:vAlign w:val="center"/>
            <w:hideMark/>
          </w:tcPr>
          <w:p w14:paraId="08DAC857"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Quantitative: WHOQOL</w:t>
            </w:r>
            <w:r w:rsidRPr="00A77932">
              <w:rPr>
                <w:rFonts w:ascii="Aptos Narrow" w:eastAsia="Times New Roman" w:hAnsi="Aptos Narrow" w:cs="Times New Roman"/>
                <w:color w:val="000000"/>
                <w:kern w:val="0"/>
                <w:sz w:val="20"/>
                <w:szCs w:val="20"/>
                <w14:ligatures w14:val="none"/>
              </w:rPr>
              <w:noBreakHyphen/>
              <w:t>BREF, Hospital Anxiety and Depression Scale (HADS), Zarit Burden Scale.</w:t>
            </w:r>
            <w:r w:rsidRPr="00A77932">
              <w:rPr>
                <w:rFonts w:ascii="Aptos Narrow" w:eastAsia="Times New Roman" w:hAnsi="Aptos Narrow" w:cs="Times New Roman"/>
                <w:color w:val="000000"/>
                <w:kern w:val="0"/>
                <w:sz w:val="20"/>
                <w:szCs w:val="20"/>
                <w14:ligatures w14:val="none"/>
              </w:rPr>
              <w:br/>
              <w:t>Qualitative: 15 patient-caregiver dyads completed telehealth semi</w:t>
            </w:r>
            <w:r w:rsidRPr="00A77932">
              <w:rPr>
                <w:rFonts w:ascii="Aptos Narrow" w:eastAsia="Times New Roman" w:hAnsi="Aptos Narrow" w:cs="Times New Roman"/>
                <w:color w:val="000000"/>
                <w:kern w:val="0"/>
                <w:sz w:val="20"/>
                <w:szCs w:val="20"/>
                <w14:ligatures w14:val="none"/>
              </w:rPr>
              <w:noBreakHyphen/>
              <w:t>structured interviews on barriers/facilitators to EoL discussions.</w:t>
            </w:r>
          </w:p>
        </w:tc>
        <w:tc>
          <w:tcPr>
            <w:tcW w:w="2460" w:type="dxa"/>
            <w:tcBorders>
              <w:top w:val="nil"/>
              <w:left w:val="nil"/>
              <w:bottom w:val="nil"/>
              <w:right w:val="nil"/>
            </w:tcBorders>
            <w:vAlign w:val="center"/>
            <w:hideMark/>
          </w:tcPr>
          <w:p w14:paraId="4C4463A8"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 xml:space="preserve">Not reported, discussed EoL </w:t>
            </w:r>
          </w:p>
        </w:tc>
      </w:tr>
      <w:tr w:rsidR="007121FC" w:rsidRPr="00A77932" w14:paraId="456EB0F4" w14:textId="77777777" w:rsidTr="00851E52">
        <w:trPr>
          <w:trHeight w:val="2880"/>
        </w:trPr>
        <w:tc>
          <w:tcPr>
            <w:tcW w:w="813" w:type="dxa"/>
            <w:tcBorders>
              <w:top w:val="nil"/>
              <w:left w:val="nil"/>
              <w:bottom w:val="nil"/>
              <w:right w:val="nil"/>
            </w:tcBorders>
            <w:vAlign w:val="center"/>
            <w:hideMark/>
          </w:tcPr>
          <w:p w14:paraId="5A998F70"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15</w:t>
            </w:r>
          </w:p>
        </w:tc>
        <w:tc>
          <w:tcPr>
            <w:tcW w:w="1411" w:type="dxa"/>
            <w:tcBorders>
              <w:top w:val="nil"/>
              <w:left w:val="nil"/>
              <w:bottom w:val="nil"/>
              <w:right w:val="nil"/>
            </w:tcBorders>
            <w:vAlign w:val="center"/>
            <w:hideMark/>
          </w:tcPr>
          <w:p w14:paraId="5020A94F"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Eriksson et al. (2016)</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&lt;EndNote&gt;&lt;Cite&gt;&lt;Author&gt;Eriksson&lt;/Author&gt;&lt;Year&gt;2016&lt;/Year&gt;&lt;RecNum&gt;29&lt;/RecNum&gt;&lt;DisplayText&gt;[64]&lt;/DisplayText&gt;&lt;record&gt;&lt;rec-number&gt;29&lt;/rec-number&gt;&lt;foreign-keys&gt;&lt;key app="EN" db-id="eszd9vve00p9rte5r9dpw20vf5zfvadfs2df" timestamp="1782286661" guid="92bb22a1-c18c-485e-91c4-e98fedb5057b"&gt;29&lt;/key&gt;&lt;/foreign-keys&gt;&lt;ref-type name="Journal Article"&gt;17&lt;/ref-type&gt;&lt;contributors&gt;&lt;authors&gt;&lt;author&gt;Eriksson, Heléne&lt;/author&gt;&lt;author&gt;Milberg, Anna&lt;/author&gt;&lt;author&gt;Hjelm, Katarina&lt;/author&gt;&lt;author&gt;Friedrichsen, Maria&lt;/author&gt;&lt;/authors&gt;&lt;secondary-authors&gt;&lt;author&gt;Taniyama, Yoshiaki&lt;/author&gt;&lt;/secondary-authors&gt;&lt;/contributors&gt;&lt;titles&gt;&lt;title&gt;End of Life Care for Patients Dying of Stroke: A Comparative Registry Study of Stroke and Cancer&lt;/title&gt;&lt;secondary-title&gt;PLOS ONE&lt;/secondary-title&gt;&lt;alt-title&gt;PLoS ONE&lt;/alt-title&gt;&lt;short-title&gt;End of Life Care for Patients Dying of Stroke&lt;/short-title&gt;&lt;/titles&gt;&lt;periodical&gt;&lt;full-title&gt;PLOS ONE&lt;/full-title&gt;&lt;abbr-1&gt;PLoS ONE&lt;/abbr-1&gt;&lt;/periodical&gt;&lt;alt-periodical&gt;&lt;full-title&gt;PLOS ONE&lt;/full-title&gt;&lt;abbr-1&gt;PLoS ONE&lt;/abbr-1&gt;&lt;/alt-periodical&gt;&lt;pages&gt;e0147694&lt;/pages&gt;&lt;volume&gt;11&lt;/volume&gt;&lt;number&gt;2&lt;/number&gt;&lt;dates&gt;&lt;year&gt;2016&lt;/year&gt;&lt;pub-dates&gt;&lt;date&gt;2016/02/04/&lt;/date&gt;&lt;/pub-dates&gt;&lt;/dates&gt;&lt;isbn&gt;1932-6203&lt;/isbn&gt;&lt;urls&gt;&lt;related-urls&gt;&lt;url&gt;https://dx.plos.org/10.1371/journal.pone.0147694&lt;/url&gt;&lt;/related-urls&gt;&lt;/urls&gt;&lt;electronic-resource-num&gt;10.1371/journal.pone.0147694&lt;/electronic-resource-num&gt;&lt;remote-database-provider&gt;DOI.org (Crossref)&lt;/remote-database-provider&gt;&lt;language&gt;en&lt;/language&gt;&lt;access-date&gt;2026/05/06/09:53:06&lt;/access-date&gt;&lt;/record&gt;&lt;/Cite&gt;&lt;/EndNote&gt;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[64]</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100C0B93"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Sweden</w:t>
            </w:r>
          </w:p>
        </w:tc>
        <w:tc>
          <w:tcPr>
            <w:tcW w:w="1333" w:type="dxa"/>
            <w:tcBorders>
              <w:top w:val="nil"/>
              <w:left w:val="nil"/>
              <w:bottom w:val="nil"/>
              <w:right w:val="nil"/>
            </w:tcBorders>
            <w:vAlign w:val="center"/>
            <w:hideMark/>
          </w:tcPr>
          <w:p w14:paraId="3924D201"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Cohort study (quantitative non-randomised)</w:t>
            </w:r>
          </w:p>
        </w:tc>
        <w:tc>
          <w:tcPr>
            <w:tcW w:w="1888" w:type="dxa"/>
            <w:tcBorders>
              <w:top w:val="nil"/>
              <w:left w:val="nil"/>
              <w:bottom w:val="nil"/>
              <w:right w:val="nil"/>
            </w:tcBorders>
            <w:vAlign w:val="center"/>
            <w:hideMark/>
          </w:tcPr>
          <w:p w14:paraId="549954C4"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Stroke</w:t>
            </w:r>
          </w:p>
        </w:tc>
        <w:tc>
          <w:tcPr>
            <w:tcW w:w="1802" w:type="dxa"/>
            <w:tcBorders>
              <w:top w:val="nil"/>
              <w:left w:val="nil"/>
              <w:bottom w:val="nil"/>
              <w:right w:val="nil"/>
            </w:tcBorders>
            <w:vAlign w:val="center"/>
            <w:hideMark/>
          </w:tcPr>
          <w:p w14:paraId="1955CC55"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 xml:space="preserve">PwPDs, healthcare professionals (nurse, physicians) </w:t>
            </w:r>
          </w:p>
        </w:tc>
        <w:tc>
          <w:tcPr>
            <w:tcW w:w="1843" w:type="dxa"/>
            <w:tcBorders>
              <w:top w:val="nil"/>
              <w:left w:val="nil"/>
              <w:bottom w:val="nil"/>
              <w:right w:val="nil"/>
            </w:tcBorders>
            <w:vAlign w:val="center"/>
            <w:hideMark/>
          </w:tcPr>
          <w:p w14:paraId="0B8C864A"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Healthcare professionals</w:t>
            </w:r>
          </w:p>
        </w:tc>
        <w:tc>
          <w:tcPr>
            <w:tcW w:w="2693" w:type="dxa"/>
            <w:tcBorders>
              <w:top w:val="nil"/>
              <w:left w:val="nil"/>
              <w:bottom w:val="nil"/>
              <w:right w:val="nil"/>
            </w:tcBorders>
            <w:vAlign w:val="center"/>
            <w:hideMark/>
          </w:tcPr>
          <w:p w14:paraId="29087B35"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Validated end-of-life questionnaire from the Swedish Register of Palliative Care; questions included patient symptoms during last week of life, communication with the patient about transition to end of life care, patient symptoms, satisfaction with care provided by healthcare staff and whether the patient's ability to self-</w:t>
            </w:r>
            <w:r w:rsidRPr="00A77932">
              <w:rPr>
                <w:rFonts w:ascii="Aptos Narrow" w:eastAsia="Times New Roman" w:hAnsi="Aptos Narrow" w:cs="Times New Roman"/>
                <w:color w:val="000000"/>
                <w:kern w:val="0"/>
                <w:sz w:val="20"/>
                <w:szCs w:val="20"/>
                <w14:ligatures w14:val="none"/>
              </w:rPr>
              <w:lastRenderedPageBreak/>
              <w:t>determine was retained until the final days.</w:t>
            </w:r>
          </w:p>
        </w:tc>
        <w:tc>
          <w:tcPr>
            <w:tcW w:w="2460" w:type="dxa"/>
            <w:tcBorders>
              <w:top w:val="nil"/>
              <w:left w:val="nil"/>
              <w:bottom w:val="nil"/>
              <w:right w:val="nil"/>
            </w:tcBorders>
            <w:vAlign w:val="center"/>
            <w:hideMark/>
          </w:tcPr>
          <w:p w14:paraId="456B6E2E"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lastRenderedPageBreak/>
              <w:t>Retrospective account of the deceased's last week of life</w:t>
            </w:r>
          </w:p>
        </w:tc>
      </w:tr>
      <w:tr w:rsidR="007121FC" w:rsidRPr="00A77932" w14:paraId="48340C0B" w14:textId="77777777" w:rsidTr="00851E52">
        <w:trPr>
          <w:trHeight w:val="2016"/>
        </w:trPr>
        <w:tc>
          <w:tcPr>
            <w:tcW w:w="813" w:type="dxa"/>
            <w:tcBorders>
              <w:top w:val="nil"/>
              <w:left w:val="nil"/>
              <w:bottom w:val="nil"/>
              <w:right w:val="nil"/>
            </w:tcBorders>
            <w:vAlign w:val="center"/>
            <w:hideMark/>
          </w:tcPr>
          <w:p w14:paraId="42875D1A"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16</w:t>
            </w:r>
          </w:p>
        </w:tc>
        <w:tc>
          <w:tcPr>
            <w:tcW w:w="1411" w:type="dxa"/>
            <w:tcBorders>
              <w:top w:val="nil"/>
              <w:left w:val="nil"/>
              <w:bottom w:val="nil"/>
              <w:right w:val="nil"/>
            </w:tcBorders>
            <w:vAlign w:val="center"/>
            <w:hideMark/>
          </w:tcPr>
          <w:p w14:paraId="5E0B8DD4"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Fordjour et al. (2024)</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&lt;EndNote&gt;&lt;Cite&gt;&lt;Author&gt;Fordjour&lt;/Author&gt;&lt;Year&gt;2024&lt;/Year&gt;&lt;RecNum&gt;30&lt;/RecNum&gt;&lt;DisplayText&gt;[65]&lt;/DisplayText&gt;&lt;record&gt;&lt;rec-number&gt;30&lt;/rec-number&gt;&lt;foreign-keys&gt;&lt;key app="EN" db-id="eszd9vve00p9rte5r9dpw20vf5zfvadfs2df" timestamp="1782286661" guid="90c1ac22-6e08-492f-86be-0f5927fc5aac"&gt;30&lt;/key&gt;&lt;/foreign-keys&gt;&lt;ref-type name="Journal Article"&gt;17&lt;/ref-type&gt;&lt;contributors&gt;&lt;authors&gt;&lt;author&gt;Fordjour, Genevieve Ataa&lt;/author&gt;&lt;author&gt;Chow, Amy Yin Man&lt;/author&gt;&lt;author&gt;Hui, Victoria Ka-Ying&lt;/author&gt;&lt;author&gt;Chan, Cecilia Lai Wan&lt;/author&gt;&lt;/authors&gt;&lt;/contributors&gt;&lt;titles&gt;&lt;title&gt;Comparative analysis of symptom burdens and influential factors among diverse terminally-ill patients&lt;/title&gt;&lt;secondary-title&gt;Annals of Palliative Medicine&lt;/secondary-title&gt;&lt;alt-title&gt;Ann Palliat Med&lt;/alt-title&gt;&lt;/titles&gt;&lt;periodical&gt;&lt;full-title&gt;Annals of Palliative Medicine&lt;/full-title&gt;&lt;abbr-1&gt;Ann Palliat Med&lt;/abbr-1&gt;&lt;/periodical&gt;&lt;alt-periodical&gt;&lt;full-title&gt;Annals of Palliative Medicine&lt;/full-title&gt;&lt;abbr-1&gt;Ann Palliat Med&lt;/abbr-1&gt;&lt;/alt-periodical&gt;&lt;pages&gt;513-530&lt;/pages&gt;&lt;volume&gt;13&lt;/volume&gt;&lt;number&gt;3&lt;/number&gt;&lt;dates&gt;&lt;year&gt;2024&lt;/year&gt;&lt;pub-dates&gt;&lt;date&gt;2024/05//&lt;/date&gt;&lt;/pub-dates&gt;&lt;/dates&gt;&lt;isbn&gt;22245820, 22245839&lt;/isbn&gt;&lt;urls&gt;&lt;related-urls&gt;&lt;url&gt;https://apm.amegroups.com/article/view/124437/html&lt;/url&gt;&lt;/related-urls&gt;&lt;/urls&gt;&lt;electronic-resource-num&gt;10.21037/apm-23-565&lt;/electronic-resource-num&gt;&lt;remote-database-provider&gt;DOI.org (Crossref)&lt;/remote-database-provider&gt;&lt;language&gt;en&lt;/language&gt;&lt;access-date&gt;2026/05/06/09:53:08&lt;/access-date&gt;&lt;/record&gt;&lt;/Cite&gt;&lt;/EndNote&gt;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[65]</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7C4CE09E"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Hong Kong</w:t>
            </w:r>
            <w:r>
              <w:rPr>
                <w:rFonts w:ascii="Aptos Narrow" w:eastAsia="Times New Roman" w:hAnsi="Aptos Narrow" w:cs="Times New Roman"/>
                <w:color w:val="000000"/>
                <w:kern w:val="0"/>
                <w:sz w:val="20"/>
                <w:szCs w:val="20"/>
                <w14:ligatures w14:val="none"/>
              </w:rPr>
              <w:t xml:space="preserve"> SAR China</w:t>
            </w:r>
          </w:p>
        </w:tc>
        <w:tc>
          <w:tcPr>
            <w:tcW w:w="1333" w:type="dxa"/>
            <w:tcBorders>
              <w:top w:val="nil"/>
              <w:left w:val="nil"/>
              <w:bottom w:val="nil"/>
              <w:right w:val="nil"/>
            </w:tcBorders>
            <w:vAlign w:val="center"/>
            <w:hideMark/>
          </w:tcPr>
          <w:p w14:paraId="2C520F1A"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Cross sectional study (quantitative non-randomised)</w:t>
            </w:r>
          </w:p>
        </w:tc>
        <w:tc>
          <w:tcPr>
            <w:tcW w:w="1888" w:type="dxa"/>
            <w:tcBorders>
              <w:top w:val="nil"/>
              <w:left w:val="nil"/>
              <w:bottom w:val="nil"/>
              <w:right w:val="nil"/>
            </w:tcBorders>
            <w:vAlign w:val="center"/>
            <w:hideMark/>
          </w:tcPr>
          <w:p w14:paraId="631A1C1B"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Motor neurone disease (MND) and Parkinson's disease (PD) (subgroups of terminally ill patients, as other disease groups were not considered as physical disabilities)</w:t>
            </w:r>
          </w:p>
        </w:tc>
        <w:tc>
          <w:tcPr>
            <w:tcW w:w="1802" w:type="dxa"/>
            <w:tcBorders>
              <w:top w:val="nil"/>
              <w:left w:val="nil"/>
              <w:bottom w:val="nil"/>
              <w:right w:val="nil"/>
            </w:tcBorders>
            <w:vAlign w:val="center"/>
            <w:hideMark/>
          </w:tcPr>
          <w:p w14:paraId="7BB51278"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w:t>
            </w:r>
          </w:p>
        </w:tc>
        <w:tc>
          <w:tcPr>
            <w:tcW w:w="1843" w:type="dxa"/>
            <w:tcBorders>
              <w:top w:val="nil"/>
              <w:left w:val="nil"/>
              <w:bottom w:val="nil"/>
              <w:right w:val="nil"/>
            </w:tcBorders>
            <w:vAlign w:val="center"/>
            <w:hideMark/>
          </w:tcPr>
          <w:p w14:paraId="6C927D8D"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w:t>
            </w:r>
          </w:p>
        </w:tc>
        <w:tc>
          <w:tcPr>
            <w:tcW w:w="2693" w:type="dxa"/>
            <w:tcBorders>
              <w:top w:val="nil"/>
              <w:left w:val="nil"/>
              <w:bottom w:val="nil"/>
              <w:right w:val="nil"/>
            </w:tcBorders>
            <w:vAlign w:val="center"/>
            <w:hideMark/>
          </w:tcPr>
          <w:p w14:paraId="4AE78315"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 xml:space="preserve"> Integrated Palliative care Outcome Scale (IPOS).</w:t>
            </w:r>
          </w:p>
        </w:tc>
        <w:tc>
          <w:tcPr>
            <w:tcW w:w="2460" w:type="dxa"/>
            <w:tcBorders>
              <w:top w:val="nil"/>
              <w:left w:val="nil"/>
              <w:bottom w:val="nil"/>
              <w:right w:val="nil"/>
            </w:tcBorders>
            <w:vAlign w:val="center"/>
            <w:hideMark/>
          </w:tcPr>
          <w:p w14:paraId="2E9C9605"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Prognosis of 12 months prior to death</w:t>
            </w:r>
          </w:p>
        </w:tc>
      </w:tr>
      <w:tr w:rsidR="007121FC" w:rsidRPr="00A77932" w14:paraId="541E92CA" w14:textId="77777777" w:rsidTr="00851E52">
        <w:trPr>
          <w:trHeight w:val="3168"/>
        </w:trPr>
        <w:tc>
          <w:tcPr>
            <w:tcW w:w="813" w:type="dxa"/>
            <w:tcBorders>
              <w:top w:val="nil"/>
              <w:left w:val="nil"/>
              <w:bottom w:val="nil"/>
              <w:right w:val="nil"/>
            </w:tcBorders>
            <w:vAlign w:val="center"/>
            <w:hideMark/>
          </w:tcPr>
          <w:p w14:paraId="0FBECDC0"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17</w:t>
            </w:r>
          </w:p>
        </w:tc>
        <w:tc>
          <w:tcPr>
            <w:tcW w:w="1411" w:type="dxa"/>
            <w:tcBorders>
              <w:top w:val="nil"/>
              <w:left w:val="nil"/>
              <w:bottom w:val="nil"/>
              <w:right w:val="nil"/>
            </w:tcBorders>
            <w:vAlign w:val="center"/>
            <w:hideMark/>
          </w:tcPr>
          <w:p w14:paraId="25E80ABB"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Gofton et al. (2017)</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&lt;EndNote&gt;&lt;Cite&gt;&lt;Author&gt;Gofton&lt;/Author&gt;&lt;Year&gt;2018&lt;/Year&gt;&lt;RecNum&gt;43&lt;/RecNum&gt;&lt;DisplayText&gt;[66]&lt;/DisplayText&gt;&lt;record&gt;&lt;rec-number&gt;43&lt;/rec-number&gt;&lt;foreign-keys&gt;&lt;key app="EN" db-id="eszd9vve00p9rte5r9dpw20vf5zfvadfs2df" timestamp="1782286664" guid="ac4f78de-5ded-49f7-bda8-5da3b6d2c3cf"&gt;43&lt;/key&gt;&lt;/foreign-keys&gt;&lt;ref-type name="Journal Article"&gt;17&lt;/ref-type&gt;&lt;contributors&gt;&lt;authors&gt;&lt;author&gt;Gofton, T. E.&lt;/author&gt;&lt;author&gt;Chum, M.&lt;/author&gt;&lt;author&gt;Schulz, V.&lt;/author&gt;&lt;author&gt;Gofton, B. T.&lt;/author&gt;&lt;author&gt;Sarpal, A.&lt;/author&gt;&lt;author&gt;Watling, C.&lt;/author&gt;&lt;/authors&gt;&lt;/contributors&gt;&lt;titles&gt;&lt;title&gt;Challenges facing palliative neurology practice: A qualitative analysis&lt;/title&gt;&lt;secondary-title&gt;Journal of the Neurological Sciences&lt;/secondary-title&gt;&lt;alt-title&gt;Journal of the Neurological Sciences&lt;/alt-title&gt;&lt;short-title&gt;Challenges facing palliative neurology practice&lt;/short-title&gt;&lt;/titles&gt;&lt;periodical&gt;&lt;full-title&gt;Journal of the Neurological Sciences&lt;/full-title&gt;&lt;abbr-1&gt;Journal of the Neurological Sciences&lt;/abbr-1&gt;&lt;/periodical&gt;&lt;alt-periodical&gt;&lt;full-title&gt;Journal of the Neurological Sciences&lt;/full-title&gt;&lt;abbr-1&gt;Journal of the Neurological Sciences&lt;/abbr-1&gt;&lt;/alt-periodical&gt;&lt;pages&gt;225-231&lt;/pages&gt;&lt;volume&gt;385&lt;/volume&gt;&lt;dates&gt;&lt;year&gt;2018&lt;/year&gt;&lt;pub-dates&gt;&lt;date&gt;2018/02//&lt;/date&gt;&lt;/pub-dates&gt;&lt;/dates&gt;&lt;pub-location&gt;Netherlands&lt;/pub-location&gt;&lt;isbn&gt;0022510X&lt;/isbn&gt;&lt;urls&gt;&lt;related-urls&gt;&lt;url&gt;https://linkinghub.elsevier.com/retrieve/pii/S0022510X1734491X&lt;/url&gt;&lt;/related-urls&gt;&lt;/urls&gt;&lt;electronic-resource-num&gt;10.1016/j.jns.2017.12.008&lt;/electronic-resource-num&gt;&lt;remote-database-provider&gt;DOI.org (Crossref)&lt;/remote-database-provider&gt;&lt;language&gt;en&lt;/language&gt;&lt;access-date&gt;2026/05/06/09:57:30&lt;/access-date&gt;&lt;/record&gt;&lt;/Cite&gt;&lt;/EndNote&gt;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[66]</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51F06274"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Canada</w:t>
            </w:r>
          </w:p>
        </w:tc>
        <w:tc>
          <w:tcPr>
            <w:tcW w:w="1333" w:type="dxa"/>
            <w:tcBorders>
              <w:top w:val="nil"/>
              <w:left w:val="nil"/>
              <w:bottom w:val="nil"/>
              <w:right w:val="nil"/>
            </w:tcBorders>
            <w:vAlign w:val="center"/>
            <w:hideMark/>
          </w:tcPr>
          <w:p w14:paraId="0DFDD0AA"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Qualitative study</w:t>
            </w:r>
          </w:p>
        </w:tc>
        <w:tc>
          <w:tcPr>
            <w:tcW w:w="1888" w:type="dxa"/>
            <w:tcBorders>
              <w:top w:val="nil"/>
              <w:left w:val="nil"/>
              <w:bottom w:val="nil"/>
              <w:right w:val="nil"/>
            </w:tcBorders>
            <w:vAlign w:val="center"/>
            <w:hideMark/>
          </w:tcPr>
          <w:p w14:paraId="5D3AB909"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Progressive neurological illnesses including amyotrophic lateral sclerosis (ALS), muscular dystrophies (MD), stroke, neuro-oncology, traumatic brain injury</w:t>
            </w:r>
          </w:p>
        </w:tc>
        <w:tc>
          <w:tcPr>
            <w:tcW w:w="1802" w:type="dxa"/>
            <w:tcBorders>
              <w:top w:val="nil"/>
              <w:left w:val="nil"/>
              <w:bottom w:val="nil"/>
              <w:right w:val="nil"/>
            </w:tcBorders>
            <w:vAlign w:val="center"/>
            <w:hideMark/>
          </w:tcPr>
          <w:p w14:paraId="30D97FB6"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family members, healthcare professionals (neurologists, specialist palliative care physicians, general palliative care residents, nurses, and allied health providers including speech language pathology, occupational therapy and physiotherapy)</w:t>
            </w:r>
          </w:p>
        </w:tc>
        <w:tc>
          <w:tcPr>
            <w:tcW w:w="1843" w:type="dxa"/>
            <w:tcBorders>
              <w:top w:val="nil"/>
              <w:left w:val="nil"/>
              <w:bottom w:val="nil"/>
              <w:right w:val="nil"/>
            </w:tcBorders>
            <w:vAlign w:val="center"/>
            <w:hideMark/>
          </w:tcPr>
          <w:p w14:paraId="2305431C"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family members, healthcare professionals</w:t>
            </w:r>
          </w:p>
        </w:tc>
        <w:tc>
          <w:tcPr>
            <w:tcW w:w="2693" w:type="dxa"/>
            <w:tcBorders>
              <w:top w:val="nil"/>
              <w:left w:val="nil"/>
              <w:bottom w:val="nil"/>
              <w:right w:val="nil"/>
            </w:tcBorders>
            <w:vAlign w:val="center"/>
            <w:hideMark/>
          </w:tcPr>
          <w:p w14:paraId="1BEC426B"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 xml:space="preserve">Patient-caregiver dyadic interviews and individual interviews or focus groups with health care professionals. </w:t>
            </w:r>
          </w:p>
        </w:tc>
        <w:tc>
          <w:tcPr>
            <w:tcW w:w="2460" w:type="dxa"/>
            <w:tcBorders>
              <w:top w:val="nil"/>
              <w:left w:val="nil"/>
              <w:bottom w:val="nil"/>
              <w:right w:val="nil"/>
            </w:tcBorders>
            <w:vAlign w:val="center"/>
            <w:hideMark/>
          </w:tcPr>
          <w:p w14:paraId="51BCD405"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Not reported; under palliative care</w:t>
            </w:r>
          </w:p>
        </w:tc>
      </w:tr>
      <w:tr w:rsidR="007121FC" w:rsidRPr="00A77932" w14:paraId="679AA2E0" w14:textId="77777777" w:rsidTr="00851E52">
        <w:trPr>
          <w:trHeight w:val="2016"/>
        </w:trPr>
        <w:tc>
          <w:tcPr>
            <w:tcW w:w="813" w:type="dxa"/>
            <w:tcBorders>
              <w:top w:val="nil"/>
              <w:left w:val="nil"/>
              <w:bottom w:val="nil"/>
              <w:right w:val="nil"/>
            </w:tcBorders>
            <w:vAlign w:val="center"/>
            <w:hideMark/>
          </w:tcPr>
          <w:p w14:paraId="33F23A75"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18</w:t>
            </w:r>
          </w:p>
        </w:tc>
        <w:tc>
          <w:tcPr>
            <w:tcW w:w="1411" w:type="dxa"/>
            <w:tcBorders>
              <w:top w:val="nil"/>
              <w:left w:val="nil"/>
              <w:bottom w:val="nil"/>
              <w:right w:val="nil"/>
            </w:tcBorders>
            <w:vAlign w:val="center"/>
            <w:hideMark/>
          </w:tcPr>
          <w:p w14:paraId="6EB963A2"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Klietz et al. (2018)</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&lt;EndNote&gt;&lt;Cite&gt;&lt;Author&gt;Klietz&lt;/Author&gt;&lt;Year&gt;2018&lt;/Year&gt;&lt;RecNum&gt;31&lt;/RecNum&gt;&lt;DisplayText&gt;[67]&lt;/DisplayText&gt;&lt;record&gt;&lt;rec-number&gt;31&lt;/rec-number&gt;&lt;foreign-keys&gt;&lt;key app="EN" db-id="eszd9vve00p9rte5r9dpw20vf5zfvadfs2df" timestamp="1782286664" guid="83599579-f07b-4fb0-ab95-3b9d21b99c30"&gt;31&lt;/key&gt;&lt;/foreign-keys&gt;&lt;ref-type name="Journal Article"&gt;17&lt;/ref-type&gt;&lt;contributors&gt;&lt;authors&gt;&lt;author&gt;Klietz, Martin&lt;/author&gt;&lt;author&gt;Tulke, Amelie&lt;/author&gt;&lt;author&gt;Müschen, Lars H.&lt;/author&gt;&lt;author&gt;Paracka, Lejla&lt;/author&gt;&lt;author&gt;Schrader, Christoph&lt;/author&gt;&lt;author&gt;Dressler, Dirk W.&lt;/author&gt;&lt;author&gt;Wegner, Florian&lt;/author&gt;&lt;/authors&gt;&lt;/contributors&gt;&lt;titles&gt;&lt;title&gt;Impaired Quality of Life and Need for Palliative Care in a German Cohort of Advanced Parkinson’s Disease Patients&lt;/title&gt;&lt;secondary-title&gt;Frontiers in Neurology&lt;/secondary-title&gt;&lt;alt-title&gt;Front. Neurol.&lt;/alt-title&gt;&lt;/titles&gt;&lt;periodical&gt;&lt;full-title&gt;Frontiers in Neurology&lt;/full-title&gt;&lt;abbr-1&gt;Front. Neurol.&lt;/abbr-1&gt;&lt;/periodical&gt;&lt;alt-periodical&gt;&lt;full-title&gt;Frontiers in Neurology&lt;/full-title&gt;&lt;abbr-1&gt;Front. Neurol.&lt;/abbr-1&gt;&lt;/alt-periodical&gt;&lt;pages&gt;120&lt;/pages&gt;&lt;volume&gt;9&lt;/volume&gt;&lt;dates&gt;&lt;year&gt;2018&lt;/year&gt;&lt;pub-dates&gt;&lt;date&gt;2018/03/06/&lt;/date&gt;&lt;/pub-dates&gt;&lt;/dates&gt;&lt;isbn&gt;1664-2295&lt;/isbn&gt;&lt;urls&gt;&lt;related-urls&gt;&lt;url&gt;http://journal.frontiersin.org/article/10.3389/fneur.2018.00120/full&lt;/url&gt;&lt;/related-urls&gt;&lt;/urls&gt;&lt;electronic-resource-num&gt;10.3389/fneur.2018.00120&lt;/electronic-resource-num&gt;&lt;remote-database-provider&gt;DOI.org (Crossref)&lt;/remote-database-provider&gt;&lt;language&gt;en&lt;/language&gt;&lt;access-date&gt;2026/05/06/09:53:10&lt;/access-date&gt;&lt;/record&gt;&lt;/Cite&gt;&lt;/EndNote&gt;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[67]</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5930227B"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Germany</w:t>
            </w:r>
          </w:p>
        </w:tc>
        <w:tc>
          <w:tcPr>
            <w:tcW w:w="1333" w:type="dxa"/>
            <w:tcBorders>
              <w:top w:val="nil"/>
              <w:left w:val="nil"/>
              <w:bottom w:val="nil"/>
              <w:right w:val="nil"/>
            </w:tcBorders>
            <w:vAlign w:val="center"/>
            <w:hideMark/>
          </w:tcPr>
          <w:p w14:paraId="26A7A06D"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Cross sectional (quantitative non-randomised)</w:t>
            </w:r>
          </w:p>
        </w:tc>
        <w:tc>
          <w:tcPr>
            <w:tcW w:w="1888" w:type="dxa"/>
            <w:tcBorders>
              <w:top w:val="nil"/>
              <w:left w:val="nil"/>
              <w:bottom w:val="nil"/>
              <w:right w:val="nil"/>
            </w:tcBorders>
            <w:vAlign w:val="center"/>
            <w:hideMark/>
          </w:tcPr>
          <w:p w14:paraId="07C243FA"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 xml:space="preserve">Parkinson's disease (PD) </w:t>
            </w:r>
          </w:p>
        </w:tc>
        <w:tc>
          <w:tcPr>
            <w:tcW w:w="1802" w:type="dxa"/>
            <w:tcBorders>
              <w:top w:val="nil"/>
              <w:left w:val="nil"/>
              <w:bottom w:val="nil"/>
              <w:right w:val="nil"/>
            </w:tcBorders>
            <w:vAlign w:val="center"/>
            <w:hideMark/>
          </w:tcPr>
          <w:p w14:paraId="42B68125"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w:t>
            </w:r>
          </w:p>
        </w:tc>
        <w:tc>
          <w:tcPr>
            <w:tcW w:w="1843" w:type="dxa"/>
            <w:tcBorders>
              <w:top w:val="nil"/>
              <w:left w:val="nil"/>
              <w:bottom w:val="nil"/>
              <w:right w:val="nil"/>
            </w:tcBorders>
            <w:vAlign w:val="center"/>
            <w:hideMark/>
          </w:tcPr>
          <w:p w14:paraId="6E85528A"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w:t>
            </w:r>
          </w:p>
        </w:tc>
        <w:tc>
          <w:tcPr>
            <w:tcW w:w="2693" w:type="dxa"/>
            <w:tcBorders>
              <w:top w:val="nil"/>
              <w:left w:val="nil"/>
              <w:bottom w:val="nil"/>
              <w:right w:val="nil"/>
            </w:tcBorders>
            <w:vAlign w:val="center"/>
            <w:hideMark/>
          </w:tcPr>
          <w:p w14:paraId="0BBC59C5"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Parkinson’s Disease Questionnaire (PDQ-39), with a structured interview on palliative care needs and use, care setting, advance directives, prior discussions, and preferences for end</w:t>
            </w:r>
            <w:r w:rsidRPr="00A77932">
              <w:rPr>
                <w:rFonts w:ascii="Aptos Narrow" w:eastAsia="Times New Roman" w:hAnsi="Aptos Narrow" w:cs="Times New Roman"/>
                <w:color w:val="000000"/>
                <w:kern w:val="0"/>
                <w:sz w:val="20"/>
                <w:szCs w:val="20"/>
                <w14:ligatures w14:val="none"/>
              </w:rPr>
              <w:noBreakHyphen/>
              <w:t>of</w:t>
            </w:r>
            <w:r w:rsidRPr="00A77932">
              <w:rPr>
                <w:rFonts w:ascii="Aptos Narrow" w:eastAsia="Times New Roman" w:hAnsi="Aptos Narrow" w:cs="Times New Roman"/>
                <w:color w:val="000000"/>
                <w:kern w:val="0"/>
                <w:sz w:val="20"/>
                <w:szCs w:val="20"/>
                <w14:ligatures w14:val="none"/>
              </w:rPr>
              <w:noBreakHyphen/>
              <w:t>life care.</w:t>
            </w:r>
          </w:p>
        </w:tc>
        <w:tc>
          <w:tcPr>
            <w:tcW w:w="2460" w:type="dxa"/>
            <w:tcBorders>
              <w:top w:val="nil"/>
              <w:left w:val="nil"/>
              <w:bottom w:val="nil"/>
              <w:right w:val="nil"/>
            </w:tcBorders>
            <w:vAlign w:val="center"/>
            <w:hideMark/>
          </w:tcPr>
          <w:p w14:paraId="53CC81C1"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Advanced disease stage (65 years of age or older, disease duration of at least 5 years, loss of autonomy), prognosis by clinical assessment (Hoehn and Yahr stage ≥ 3) and under palliative care</w:t>
            </w:r>
          </w:p>
        </w:tc>
      </w:tr>
      <w:tr w:rsidR="007121FC" w:rsidRPr="00A77932" w14:paraId="296A63E9" w14:textId="77777777" w:rsidTr="00851E52">
        <w:trPr>
          <w:trHeight w:val="2880"/>
        </w:trPr>
        <w:tc>
          <w:tcPr>
            <w:tcW w:w="813" w:type="dxa"/>
            <w:tcBorders>
              <w:top w:val="nil"/>
              <w:left w:val="nil"/>
              <w:bottom w:val="nil"/>
              <w:right w:val="nil"/>
            </w:tcBorders>
            <w:vAlign w:val="center"/>
            <w:hideMark/>
          </w:tcPr>
          <w:p w14:paraId="32675C71"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lastRenderedPageBreak/>
              <w:t>19</w:t>
            </w:r>
          </w:p>
        </w:tc>
        <w:tc>
          <w:tcPr>
            <w:tcW w:w="1411" w:type="dxa"/>
            <w:tcBorders>
              <w:top w:val="nil"/>
              <w:left w:val="nil"/>
              <w:bottom w:val="nil"/>
              <w:right w:val="nil"/>
            </w:tcBorders>
            <w:vAlign w:val="center"/>
            <w:hideMark/>
          </w:tcPr>
          <w:p w14:paraId="42523890"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Lennaerts-Kats et al. (2022)</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&lt;EndNote&gt;&lt;Cite&gt;&lt;Author&gt;Lennaerts-Kats&lt;/Author&gt;&lt;Year&gt;2022&lt;/Year&gt;&lt;RecNum&gt;44&lt;/RecNum&gt;&lt;DisplayText&gt;[68]&lt;/DisplayText&gt;&lt;record&gt;&lt;rec-number&gt;44&lt;/rec-number&gt;&lt;foreign-keys&gt;&lt;key app="EN" db-id="eszd9vve00p9rte5r9dpw20vf5zfvadfs2df" timestamp="1782286664" guid="faf4d400-6a52-49f4-bd27-43e4714eecba"&gt;44&lt;/key&gt;&lt;/foreign-keys&gt;&lt;ref-type name="Journal Article"&gt;17&lt;/ref-type&gt;&lt;contributors&gt;&lt;authors&gt;&lt;author&gt;Lennaerts-Kats, Herma&lt;/author&gt;&lt;author&gt;Ebenau, Anne&lt;/author&gt;&lt;author&gt;Van Der Steen, Jenny T.&lt;/author&gt;&lt;author&gt;Munneke, Marten&lt;/author&gt;&lt;author&gt;Bloem, Bastiaan R.&lt;/author&gt;&lt;author&gt;Vissers, Kris C. P.&lt;/author&gt;&lt;author&gt;Meinders, Marjan J.&lt;/author&gt;&lt;author&gt;Groot, Marieke M.&lt;/author&gt;&lt;/authors&gt;&lt;/contributors&gt;&lt;titles&gt;&lt;title&gt;“No One Can Tell Me How Parkinson’s Disease Will Unfold”: A Mixed Methods Case Study on Palliative Care for People with Parkinson’s Disease and Their Family Caregivers&lt;/title&gt;&lt;secondary-title&gt;Journal of Parkinson&amp;apos;s Disease&lt;/secondary-title&gt;&lt;alt-title&gt;JPD&lt;/alt-title&gt;&lt;short-title&gt;“No One Can Tell Me How Parkinson’s Disease Will Unfold”&lt;/short-title&gt;&lt;/titles&gt;&lt;periodical&gt;&lt;full-title&gt;Journal of Parkinson&amp;apos;s Disease&lt;/full-title&gt;&lt;abbr-1&gt;JPD&lt;/abbr-1&gt;&lt;/periodical&gt;&lt;alt-periodical&gt;&lt;full-title&gt;Journal of Parkinson&amp;apos;s Disease&lt;/full-title&gt;&lt;abbr-1&gt;JPD&lt;/abbr-1&gt;&lt;/alt-periodical&gt;&lt;pages&gt;207-219&lt;/pages&gt;&lt;volume&gt;12&lt;/volume&gt;&lt;number&gt;1&lt;/number&gt;&lt;dates&gt;&lt;year&gt;2022&lt;/year&gt;&lt;pub-dates&gt;&lt;date&gt;2022/01/21/&lt;/date&gt;&lt;/pub-dates&gt;&lt;/dates&gt;&lt;isbn&gt;18777171, 1877718X&lt;/isbn&gt;&lt;urls&gt;&lt;related-urls&gt;&lt;url&gt;https://journals.sagepub.com/doi/full/10.3233/JPD-212742&lt;/url&gt;&lt;/related-urls&gt;&lt;/urls&gt;&lt;electronic-resource-num&gt;10.3233/JPD-212742&lt;/electronic-resource-num&gt;&lt;remote-database-provider&gt;DOI.org (Crossref)&lt;/remote-database-provider&gt;&lt;language&gt;en&lt;/language&gt;&lt;access-date&gt;2026/05/06/09:57:33&lt;/access-date&gt;&lt;/record&gt;&lt;/Cite&gt;&lt;/EndNote&gt;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[68]</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6750BA29"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Netherlands</w:t>
            </w:r>
          </w:p>
        </w:tc>
        <w:tc>
          <w:tcPr>
            <w:tcW w:w="1333" w:type="dxa"/>
            <w:tcBorders>
              <w:top w:val="nil"/>
              <w:left w:val="nil"/>
              <w:bottom w:val="nil"/>
              <w:right w:val="nil"/>
            </w:tcBorders>
            <w:vAlign w:val="center"/>
            <w:hideMark/>
          </w:tcPr>
          <w:p w14:paraId="1F02AC89"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Mixed methods longitudinal case study (qualitative and quantitative descriptive)</w:t>
            </w:r>
          </w:p>
        </w:tc>
        <w:tc>
          <w:tcPr>
            <w:tcW w:w="1888" w:type="dxa"/>
            <w:tcBorders>
              <w:top w:val="nil"/>
              <w:left w:val="nil"/>
              <w:bottom w:val="nil"/>
              <w:right w:val="nil"/>
            </w:tcBorders>
            <w:vAlign w:val="center"/>
            <w:hideMark/>
          </w:tcPr>
          <w:p w14:paraId="44A1BDFD"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 xml:space="preserve">Parkinson's disease (PD) </w:t>
            </w:r>
          </w:p>
        </w:tc>
        <w:tc>
          <w:tcPr>
            <w:tcW w:w="1802" w:type="dxa"/>
            <w:tcBorders>
              <w:top w:val="nil"/>
              <w:left w:val="nil"/>
              <w:bottom w:val="nil"/>
              <w:right w:val="nil"/>
            </w:tcBorders>
            <w:vAlign w:val="center"/>
            <w:hideMark/>
          </w:tcPr>
          <w:p w14:paraId="0C0271EC"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family members</w:t>
            </w:r>
          </w:p>
        </w:tc>
        <w:tc>
          <w:tcPr>
            <w:tcW w:w="1843" w:type="dxa"/>
            <w:tcBorders>
              <w:top w:val="nil"/>
              <w:left w:val="nil"/>
              <w:bottom w:val="nil"/>
              <w:right w:val="nil"/>
            </w:tcBorders>
            <w:vAlign w:val="center"/>
            <w:hideMark/>
          </w:tcPr>
          <w:p w14:paraId="54D92A7F"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family members</w:t>
            </w:r>
          </w:p>
        </w:tc>
        <w:tc>
          <w:tcPr>
            <w:tcW w:w="2693" w:type="dxa"/>
            <w:tcBorders>
              <w:top w:val="nil"/>
              <w:left w:val="nil"/>
              <w:bottom w:val="nil"/>
              <w:right w:val="nil"/>
            </w:tcBorders>
            <w:vAlign w:val="center"/>
            <w:hideMark/>
          </w:tcPr>
          <w:p w14:paraId="2A403A15"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Quantitative:  Functional Assessment of Cancer Therapy General (FACT-G), Marwit-Meuser Caregiver Grief Inventory (MM-CGI-SF), Zarit Burden Interview (ZBI), Positive Experiences Scale (PES).</w:t>
            </w:r>
            <w:r w:rsidRPr="00A77932">
              <w:rPr>
                <w:rFonts w:ascii="Aptos Narrow" w:eastAsia="Times New Roman" w:hAnsi="Aptos Narrow" w:cs="Times New Roman"/>
                <w:color w:val="000000"/>
                <w:kern w:val="0"/>
                <w:sz w:val="20"/>
                <w:szCs w:val="20"/>
                <w14:ligatures w14:val="none"/>
              </w:rPr>
              <w:br/>
              <w:t>Qualitative: Semi-structured face to face interviews. Patients and caregivers were interviewed separately. After-death interviews with caregivers were conducted by telephone.</w:t>
            </w:r>
          </w:p>
        </w:tc>
        <w:tc>
          <w:tcPr>
            <w:tcW w:w="2460" w:type="dxa"/>
            <w:tcBorders>
              <w:top w:val="nil"/>
              <w:left w:val="nil"/>
              <w:bottom w:val="nil"/>
              <w:right w:val="nil"/>
            </w:tcBorders>
            <w:vAlign w:val="center"/>
            <w:hideMark/>
          </w:tcPr>
          <w:p w14:paraId="7D00F956"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Prognosis of 12 months prior to death</w:t>
            </w:r>
          </w:p>
        </w:tc>
      </w:tr>
      <w:tr w:rsidR="007121FC" w:rsidRPr="00A77932" w14:paraId="090F60E4" w14:textId="77777777" w:rsidTr="00851E52">
        <w:trPr>
          <w:trHeight w:val="864"/>
        </w:trPr>
        <w:tc>
          <w:tcPr>
            <w:tcW w:w="813" w:type="dxa"/>
            <w:tcBorders>
              <w:top w:val="nil"/>
              <w:left w:val="nil"/>
              <w:bottom w:val="nil"/>
              <w:right w:val="nil"/>
            </w:tcBorders>
            <w:vAlign w:val="center"/>
            <w:hideMark/>
          </w:tcPr>
          <w:p w14:paraId="7187AB4C"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20</w:t>
            </w:r>
          </w:p>
        </w:tc>
        <w:tc>
          <w:tcPr>
            <w:tcW w:w="1411" w:type="dxa"/>
            <w:tcBorders>
              <w:top w:val="nil"/>
              <w:left w:val="nil"/>
              <w:bottom w:val="nil"/>
              <w:right w:val="nil"/>
            </w:tcBorders>
            <w:vAlign w:val="center"/>
            <w:hideMark/>
          </w:tcPr>
          <w:p w14:paraId="7CC371A6"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Liu et al. (202</w:t>
            </w:r>
            <w:r>
              <w:rPr>
                <w:rFonts w:ascii="Aptos Narrow" w:eastAsia="Times New Roman" w:hAnsi="Aptos Narrow" w:cs="Times New Roman"/>
                <w:color w:val="000000"/>
                <w:kern w:val="0"/>
                <w:sz w:val="20"/>
                <w:szCs w:val="20"/>
                <w14:ligatures w14:val="none"/>
              </w:rPr>
              <w:t>4</w:t>
            </w:r>
            <w:r w:rsidRPr="00A77932">
              <w:rPr>
                <w:rFonts w:ascii="Aptos Narrow" w:eastAsia="Times New Roman" w:hAnsi="Aptos Narrow" w:cs="Times New Roman"/>
                <w:color w:val="000000"/>
                <w:kern w:val="0"/>
                <w:sz w:val="20"/>
                <w:szCs w:val="20"/>
                <w14:ligatures w14:val="none"/>
              </w:rPr>
              <w:t>)</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&lt;EndNote&gt;&lt;Cite&gt;&lt;Author&gt;Liu&lt;/Author&gt;&lt;Year&gt;2024&lt;/Year&gt;&lt;RecNum&gt;32&lt;/RecNum&gt;&lt;DisplayText&gt;[69]&lt;/DisplayText&gt;&lt;record&gt;&lt;rec-number&gt;32&lt;/rec-number&gt;&lt;foreign-keys&gt;&lt;key app="EN" db-id="eszd9vve00p9rte5r9dpw20vf5zfvadfs2df" timestamp="1782286664" guid="2c231b3a-2a07-4b14-ae9e-40f962b55997"&gt;32&lt;/key&gt;&lt;/foreign-keys&gt;&lt;ref-type name="Journal Article"&gt;17&lt;/ref-type&gt;&lt;contributors&gt;&lt;authors&gt;&lt;author&gt;Liu, Huiqin&lt;/author&gt;&lt;author&gt;Cook, Angus&lt;/author&gt;&lt;author&gt;Ding, Jinfeng&lt;/author&gt;&lt;author&gt;Lu, Hongwei&lt;/author&gt;&lt;author&gt;Jiao, Jingjing&lt;/author&gt;&lt;author&gt;Bai, Wenhui&lt;/author&gt;&lt;author&gt;Johnson, Claire E.&lt;/author&gt;&lt;/authors&gt;&lt;/contributors&gt;&lt;titles&gt;&lt;title&gt;Palliative care needs and specialist services post stroke: national population-based study&lt;/title&gt;&lt;secondary-title&gt;BMJ Supportive &amp;amp; Palliative Care&lt;/secondary-title&gt;&lt;alt-title&gt;BMJ Support Palliat Care&lt;/alt-title&gt;&lt;short-title&gt;Palliative care needs and specialist services post stroke&lt;/short-title&gt;&lt;/titles&gt;&lt;periodical&gt;&lt;full-title&gt;BMJ Supportive &amp;amp; Palliative Care&lt;/full-title&gt;&lt;abbr-1&gt;BMJ Support Palliat Care&lt;/abbr-1&gt;&lt;/periodical&gt;&lt;alt-periodical&gt;&lt;full-title&gt;BMJ Supportive &amp;amp; Palliative Care&lt;/full-title&gt;&lt;abbr-1&gt;BMJ Support Palliat Care&lt;/abbr-1&gt;&lt;/alt-periodical&gt;&lt;pages&gt;e1422-e1431&lt;/pages&gt;&lt;volume&gt;14&lt;/volume&gt;&lt;number&gt;e1&lt;/number&gt;&lt;dates&gt;&lt;year&gt;2024&lt;/year&gt;&lt;pub-dates&gt;&lt;date&gt;2024/05//&lt;/date&gt;&lt;/pub-dates&gt;&lt;/dates&gt;&lt;pub-location&gt;United Kingdom&lt;/pub-location&gt;&lt;publisher&gt;BMJ Publishing Group&lt;/publisher&gt;&lt;isbn&gt;2045-435X, 2045-4368&lt;/isbn&gt;&lt;accession-num&gt;2032053184&lt;/accession-num&gt;&lt;urls&gt;&lt;related-urls&gt;&lt;url&gt;https://spcare.bmj.com/lookup/doi/10.1136/spcare-2023-004280&lt;/url&gt;&lt;/related-urls&gt;&lt;/urls&gt;&lt;electronic-resource-num&gt;10.1136/spcare-2023-004280&lt;/electronic-resource-num&gt;&lt;remote-database-provider&gt;DOI.org (Crossref)&lt;/remote-database-provider&gt;&lt;language&gt;en&lt;/language&gt;&lt;access-date&gt;2026/05/06/09:53:13&lt;/access-date&gt;&lt;/record&gt;&lt;/Cite&gt;&lt;/EndNote&gt;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[69]</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70EBF4FF"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 xml:space="preserve">Australia </w:t>
            </w:r>
          </w:p>
        </w:tc>
        <w:tc>
          <w:tcPr>
            <w:tcW w:w="1333" w:type="dxa"/>
            <w:tcBorders>
              <w:top w:val="nil"/>
              <w:left w:val="nil"/>
              <w:bottom w:val="nil"/>
              <w:right w:val="nil"/>
            </w:tcBorders>
            <w:vAlign w:val="center"/>
            <w:hideMark/>
          </w:tcPr>
          <w:p w14:paraId="2722D90B"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Cohort study (quantitative non-randomised)</w:t>
            </w:r>
          </w:p>
        </w:tc>
        <w:tc>
          <w:tcPr>
            <w:tcW w:w="1888" w:type="dxa"/>
            <w:tcBorders>
              <w:top w:val="nil"/>
              <w:left w:val="nil"/>
              <w:bottom w:val="nil"/>
              <w:right w:val="nil"/>
            </w:tcBorders>
            <w:vAlign w:val="center"/>
            <w:hideMark/>
          </w:tcPr>
          <w:p w14:paraId="7EED3EF4"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Stroke</w:t>
            </w:r>
          </w:p>
        </w:tc>
        <w:tc>
          <w:tcPr>
            <w:tcW w:w="1802" w:type="dxa"/>
            <w:tcBorders>
              <w:top w:val="nil"/>
              <w:left w:val="nil"/>
              <w:bottom w:val="nil"/>
              <w:right w:val="nil"/>
            </w:tcBorders>
            <w:vAlign w:val="center"/>
            <w:hideMark/>
          </w:tcPr>
          <w:p w14:paraId="6E950D2D"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w:t>
            </w:r>
          </w:p>
        </w:tc>
        <w:tc>
          <w:tcPr>
            <w:tcW w:w="1843" w:type="dxa"/>
            <w:tcBorders>
              <w:top w:val="nil"/>
              <w:left w:val="nil"/>
              <w:bottom w:val="nil"/>
              <w:right w:val="nil"/>
            </w:tcBorders>
            <w:vAlign w:val="center"/>
            <w:hideMark/>
          </w:tcPr>
          <w:p w14:paraId="67275EF9"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or proxy by family or healthcare providers</w:t>
            </w:r>
          </w:p>
        </w:tc>
        <w:tc>
          <w:tcPr>
            <w:tcW w:w="2693" w:type="dxa"/>
            <w:tcBorders>
              <w:top w:val="nil"/>
              <w:left w:val="nil"/>
              <w:bottom w:val="nil"/>
              <w:right w:val="nil"/>
            </w:tcBorders>
            <w:vAlign w:val="center"/>
            <w:hideMark/>
          </w:tcPr>
          <w:p w14:paraId="6C735863"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Palliative Care Problem Severity Score (PCPSS).</w:t>
            </w:r>
          </w:p>
        </w:tc>
        <w:tc>
          <w:tcPr>
            <w:tcW w:w="2460" w:type="dxa"/>
            <w:tcBorders>
              <w:top w:val="nil"/>
              <w:left w:val="nil"/>
              <w:bottom w:val="nil"/>
              <w:right w:val="nil"/>
            </w:tcBorders>
            <w:vAlign w:val="center"/>
            <w:hideMark/>
          </w:tcPr>
          <w:p w14:paraId="2012B751"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Not reported; under palliative care</w:t>
            </w:r>
          </w:p>
        </w:tc>
      </w:tr>
      <w:tr w:rsidR="007121FC" w:rsidRPr="00A77932" w14:paraId="00EFB0D1" w14:textId="77777777" w:rsidTr="00851E52">
        <w:trPr>
          <w:trHeight w:val="2304"/>
        </w:trPr>
        <w:tc>
          <w:tcPr>
            <w:tcW w:w="813" w:type="dxa"/>
            <w:tcBorders>
              <w:top w:val="nil"/>
              <w:left w:val="nil"/>
              <w:bottom w:val="nil"/>
              <w:right w:val="nil"/>
            </w:tcBorders>
            <w:vAlign w:val="center"/>
            <w:hideMark/>
          </w:tcPr>
          <w:p w14:paraId="2E04C2BA"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21</w:t>
            </w:r>
          </w:p>
        </w:tc>
        <w:tc>
          <w:tcPr>
            <w:tcW w:w="1411" w:type="dxa"/>
            <w:tcBorders>
              <w:top w:val="nil"/>
              <w:left w:val="nil"/>
              <w:bottom w:val="nil"/>
              <w:right w:val="nil"/>
            </w:tcBorders>
            <w:vAlign w:val="center"/>
            <w:hideMark/>
          </w:tcPr>
          <w:p w14:paraId="07AF2062"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McCurry et al. (2013)</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&lt;EndNote&gt;&lt;Cite&gt;&lt;Author&gt;McCurry&lt;/Author&gt;&lt;Year&gt;2013&lt;/Year&gt;&lt;RecNum&gt;46&lt;/RecNum&gt;&lt;DisplayText&gt;[71]&lt;/DisplayText&gt;&lt;record&gt;&lt;rec-number&gt;46&lt;/rec-number&gt;&lt;foreign-keys&gt;&lt;key app="EN" db-id="eszd9vve00p9rte5r9dpw20vf5zfvadfs2df" timestamp="1782286665" guid="fa27180f-ab9b-425e-b49a-0b2728f1f0fb"&gt;46&lt;/key&gt;&lt;/foreign-keys&gt;&lt;ref-type name="Journal Article"&gt;17&lt;/ref-type&gt;&lt;contributors&gt;&lt;authors&gt;&lt;author&gt;McCurry, Mary K.&lt;/author&gt;&lt;/authors&gt;&lt;/contributors&gt;&lt;titles&gt;&lt;title&gt;An Exploratory Study of Decision Making by Informal Caregivers of Individuals With Multiple Sclerosis&lt;/title&gt;&lt;secondary-title&gt;Journal of Neuroscience Nursing&lt;/secondary-title&gt;&lt;alt-title&gt;JOURNAL OF NEUROSCIENCE NURSING&lt;/alt-title&gt;&lt;/titles&gt;&lt;periodical&gt;&lt;full-title&gt;Journal of Neuroscience Nursing&lt;/full-title&gt;&lt;abbr-1&gt;JOURNAL OF NEUROSCIENCE NURSING&lt;/abbr-1&gt;&lt;/periodical&gt;&lt;alt-periodical&gt;&lt;full-title&gt;Journal of Neuroscience Nursing&lt;/full-title&gt;&lt;abbr-1&gt;JOURNAL OF NEUROSCIENCE NURSING&lt;/abbr-1&gt;&lt;/alt-periodical&gt;&lt;pages&gt;52-60&lt;/pages&gt;&lt;volume&gt;45&lt;/volume&gt;&lt;number&gt;1&lt;/number&gt;&lt;dates&gt;&lt;year&gt;2013&lt;/year&gt;&lt;pub-dates&gt;&lt;date&gt;2013/02//&lt;/date&gt;&lt;/pub-dates&gt;&lt;/dates&gt;&lt;isbn&gt;0888-0395&lt;/isbn&gt;&lt;accession-num&gt;WOS:000313108300009&lt;/accession-num&gt;&lt;urls&gt;&lt;related-urls&gt;&lt;url&gt;https://journals.lww.com/01376517-201302000-00008&lt;/url&gt;&lt;/related-urls&gt;&lt;/urls&gt;&lt;electronic-resource-num&gt;10.1097/JNN.0b013e318275b252&lt;/electronic-resource-num&gt;&lt;remote-database-provider&gt;DOI.org (Crossref)&lt;/remote-database-provider&gt;&lt;language&gt;en&lt;/language&gt;&lt;access-date&gt;2026/05/06/09:57:37&lt;/access-date&gt;&lt;/record&gt;&lt;/Cite&gt;&lt;/EndNote&gt;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[71]</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6479F5AA"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United States of America</w:t>
            </w:r>
          </w:p>
        </w:tc>
        <w:tc>
          <w:tcPr>
            <w:tcW w:w="1333" w:type="dxa"/>
            <w:tcBorders>
              <w:top w:val="nil"/>
              <w:left w:val="nil"/>
              <w:bottom w:val="nil"/>
              <w:right w:val="nil"/>
            </w:tcBorders>
            <w:vAlign w:val="center"/>
            <w:hideMark/>
          </w:tcPr>
          <w:p w14:paraId="35D25F16"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Qualitative study</w:t>
            </w:r>
          </w:p>
        </w:tc>
        <w:tc>
          <w:tcPr>
            <w:tcW w:w="1888" w:type="dxa"/>
            <w:tcBorders>
              <w:top w:val="nil"/>
              <w:left w:val="nil"/>
              <w:bottom w:val="nil"/>
              <w:right w:val="nil"/>
            </w:tcBorders>
            <w:vAlign w:val="center"/>
            <w:hideMark/>
          </w:tcPr>
          <w:p w14:paraId="6296B125"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Multiple sclerosis (MS)</w:t>
            </w:r>
          </w:p>
        </w:tc>
        <w:tc>
          <w:tcPr>
            <w:tcW w:w="1802" w:type="dxa"/>
            <w:tcBorders>
              <w:top w:val="nil"/>
              <w:left w:val="nil"/>
              <w:bottom w:val="nil"/>
              <w:right w:val="nil"/>
            </w:tcBorders>
            <w:vAlign w:val="center"/>
            <w:hideMark/>
          </w:tcPr>
          <w:p w14:paraId="4A16D6B2"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Informal caregivers (family members and a friend)</w:t>
            </w:r>
          </w:p>
        </w:tc>
        <w:tc>
          <w:tcPr>
            <w:tcW w:w="1843" w:type="dxa"/>
            <w:tcBorders>
              <w:top w:val="nil"/>
              <w:left w:val="nil"/>
              <w:bottom w:val="nil"/>
              <w:right w:val="nil"/>
            </w:tcBorders>
            <w:vAlign w:val="center"/>
            <w:hideMark/>
          </w:tcPr>
          <w:p w14:paraId="693746F9"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Informal caregivers</w:t>
            </w:r>
          </w:p>
        </w:tc>
        <w:tc>
          <w:tcPr>
            <w:tcW w:w="2693" w:type="dxa"/>
            <w:tcBorders>
              <w:top w:val="nil"/>
              <w:left w:val="nil"/>
              <w:bottom w:val="nil"/>
              <w:right w:val="nil"/>
            </w:tcBorders>
            <w:vAlign w:val="center"/>
            <w:hideMark/>
          </w:tcPr>
          <w:p w14:paraId="08AAB645"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Semi-structured interviews with open-ended questions to understand the types of decisions caregivers were making and to identify the resources they were using to inform their decision making. A second interviews was completed to validate the accuracy of the thematic survey of the initial interview.</w:t>
            </w:r>
          </w:p>
        </w:tc>
        <w:tc>
          <w:tcPr>
            <w:tcW w:w="2460" w:type="dxa"/>
            <w:tcBorders>
              <w:top w:val="nil"/>
              <w:left w:val="nil"/>
              <w:bottom w:val="nil"/>
              <w:right w:val="nil"/>
            </w:tcBorders>
            <w:vAlign w:val="center"/>
            <w:hideMark/>
          </w:tcPr>
          <w:p w14:paraId="181F398E"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Not reported, discussed EoL</w:t>
            </w:r>
          </w:p>
        </w:tc>
      </w:tr>
      <w:tr w:rsidR="007121FC" w:rsidRPr="00A77932" w14:paraId="607FA5EC" w14:textId="77777777" w:rsidTr="00851E52">
        <w:trPr>
          <w:trHeight w:val="1152"/>
        </w:trPr>
        <w:tc>
          <w:tcPr>
            <w:tcW w:w="813" w:type="dxa"/>
            <w:tcBorders>
              <w:top w:val="nil"/>
              <w:left w:val="nil"/>
              <w:bottom w:val="nil"/>
              <w:right w:val="nil"/>
            </w:tcBorders>
            <w:vAlign w:val="center"/>
            <w:hideMark/>
          </w:tcPr>
          <w:p w14:paraId="065EE632"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22</w:t>
            </w:r>
          </w:p>
        </w:tc>
        <w:tc>
          <w:tcPr>
            <w:tcW w:w="1411" w:type="dxa"/>
            <w:tcBorders>
              <w:top w:val="nil"/>
              <w:left w:val="nil"/>
              <w:bottom w:val="nil"/>
              <w:right w:val="nil"/>
            </w:tcBorders>
            <w:vAlign w:val="center"/>
            <w:hideMark/>
          </w:tcPr>
          <w:p w14:paraId="01B1BC59"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McVeigh et al. (2019)</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&lt;EndNote&gt;&lt;Cite&gt;&lt;Author&gt;Mc Veigh&lt;/Author&gt;&lt;Year&gt;2019&lt;/Year&gt;&lt;RecNum&gt;45&lt;/RecNum&gt;&lt;DisplayText&gt;[70]&lt;/DisplayText&gt;&lt;record&gt;&lt;rec-number&gt;45&lt;/rec-number&gt;&lt;foreign-keys&gt;&lt;key app="EN" db-id="eszd9vve00p9rte5r9dpw20vf5zfvadfs2df" timestamp="1782286665" guid="b57cbf21-af2b-4daa-bad2-9b5485b65050"&gt;45&lt;/key&gt;&lt;/foreign-keys&gt;&lt;ref-type name="Journal Article"&gt;17&lt;/ref-type&gt;&lt;contributors&gt;&lt;authors&gt;&lt;author&gt;Mc Veigh, Clare&lt;/author&gt;&lt;author&gt;Donaghy, Colette&lt;/author&gt;&lt;author&gt;Mc Laughlin, Briege&lt;/author&gt;&lt;author&gt;Dick, Alison&lt;/author&gt;&lt;author&gt;Kaur, Kiran&lt;/author&gt;&lt;author&gt;Mc Conville, John&lt;/author&gt;&lt;author&gt;Watson, Max&lt;/author&gt;&lt;/authors&gt;&lt;/contributors&gt;&lt;titles&gt;&lt;title&gt;Palliative care for patients with motor neurone disease and their bereaved carers: a qualitative study&lt;/title&gt;&lt;secondary-title&gt;BMC Palliative Care&lt;/secondary-title&gt;&lt;alt-title&gt;BMC Palliat Care&lt;/alt-title&gt;&lt;short-title&gt;Palliative care for patients with motor neurone disease and their bereaved carers&lt;/short-title&gt;&lt;/titles&gt;&lt;periodical&gt;&lt;full-title&gt;BMC Palliative Care&lt;/full-title&gt;&lt;abbr-1&gt;BMC Palliat Care&lt;/abbr-1&gt;&lt;/periodical&gt;&lt;alt-periodical&gt;&lt;full-title&gt;BMC Palliative Care&lt;/full-title&gt;&lt;abbr-1&gt;BMC Palliat Care&lt;/abbr-1&gt;&lt;/alt-periodical&gt;&lt;pages&gt;39&lt;/pages&gt;&lt;volume&gt;18&lt;/volume&gt;&lt;number&gt;1&lt;/number&gt;&lt;dates&gt;&lt;year&gt;2019&lt;/year&gt;&lt;pub-dates&gt;&lt;date&gt;2019/12//&lt;/date&gt;&lt;/pub-dates&gt;&lt;/dates&gt;&lt;isbn&gt;1472-684X&lt;/isbn&gt;&lt;urls&gt;&lt;related-urls&gt;&lt;url&gt;https://bmcpalliatcare.biomedcentral.com/articles/10.1186/s12904-019-0423-8&lt;/url&gt;&lt;/related-urls&gt;&lt;/urls&gt;&lt;electronic-resource-num&gt;10.1186/s12904-019-0423-8&lt;/electronic-resource-num&gt;&lt;remote-database-provider&gt;DOI.org (Crossref)&lt;/remote-database-provider&gt;&lt;language&gt;en&lt;/language&gt;&lt;access-date&gt;2026/05/06/09:57:35&lt;/access-date&gt;&lt;/record&gt;&lt;/Cite&gt;&lt;/EndNote&gt;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[70]</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1A935971"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United Kingdom</w:t>
            </w:r>
          </w:p>
        </w:tc>
        <w:tc>
          <w:tcPr>
            <w:tcW w:w="1333" w:type="dxa"/>
            <w:tcBorders>
              <w:top w:val="nil"/>
              <w:left w:val="nil"/>
              <w:bottom w:val="nil"/>
              <w:right w:val="nil"/>
            </w:tcBorders>
            <w:vAlign w:val="center"/>
            <w:hideMark/>
          </w:tcPr>
          <w:p w14:paraId="21DAF39D"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Qualitative study</w:t>
            </w:r>
          </w:p>
        </w:tc>
        <w:tc>
          <w:tcPr>
            <w:tcW w:w="1888" w:type="dxa"/>
            <w:tcBorders>
              <w:top w:val="nil"/>
              <w:left w:val="nil"/>
              <w:bottom w:val="nil"/>
              <w:right w:val="nil"/>
            </w:tcBorders>
            <w:vAlign w:val="center"/>
            <w:hideMark/>
          </w:tcPr>
          <w:p w14:paraId="67C07F78"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Motor neurone disease (MND)</w:t>
            </w:r>
          </w:p>
        </w:tc>
        <w:tc>
          <w:tcPr>
            <w:tcW w:w="1802" w:type="dxa"/>
            <w:tcBorders>
              <w:top w:val="nil"/>
              <w:left w:val="nil"/>
              <w:bottom w:val="nil"/>
              <w:right w:val="nil"/>
            </w:tcBorders>
            <w:vAlign w:val="center"/>
            <w:hideMark/>
          </w:tcPr>
          <w:p w14:paraId="5EE6FBCE"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Family members</w:t>
            </w:r>
          </w:p>
        </w:tc>
        <w:tc>
          <w:tcPr>
            <w:tcW w:w="1843" w:type="dxa"/>
            <w:tcBorders>
              <w:top w:val="nil"/>
              <w:left w:val="nil"/>
              <w:bottom w:val="nil"/>
              <w:right w:val="nil"/>
            </w:tcBorders>
            <w:vAlign w:val="center"/>
            <w:hideMark/>
          </w:tcPr>
          <w:p w14:paraId="5E56E62D"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Family members</w:t>
            </w:r>
          </w:p>
        </w:tc>
        <w:tc>
          <w:tcPr>
            <w:tcW w:w="2693" w:type="dxa"/>
            <w:tcBorders>
              <w:top w:val="nil"/>
              <w:left w:val="nil"/>
              <w:bottom w:val="nil"/>
              <w:right w:val="nil"/>
            </w:tcBorders>
            <w:vAlign w:val="center"/>
            <w:hideMark/>
          </w:tcPr>
          <w:p w14:paraId="46C92C1B"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Semi-structured interviews conducted to examine end of life care for people with MND and the role of specialist and generalist palliative care.</w:t>
            </w:r>
          </w:p>
        </w:tc>
        <w:tc>
          <w:tcPr>
            <w:tcW w:w="2460" w:type="dxa"/>
            <w:tcBorders>
              <w:top w:val="nil"/>
              <w:left w:val="nil"/>
              <w:bottom w:val="nil"/>
              <w:right w:val="nil"/>
            </w:tcBorders>
            <w:vAlign w:val="center"/>
            <w:hideMark/>
          </w:tcPr>
          <w:p w14:paraId="2EADE6E5"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Retrospective account of the deceased's last 2 years of life</w:t>
            </w:r>
          </w:p>
        </w:tc>
      </w:tr>
      <w:tr w:rsidR="007121FC" w:rsidRPr="00A77932" w14:paraId="36431E8D" w14:textId="77777777" w:rsidTr="00851E52">
        <w:trPr>
          <w:trHeight w:val="4032"/>
        </w:trPr>
        <w:tc>
          <w:tcPr>
            <w:tcW w:w="813" w:type="dxa"/>
            <w:tcBorders>
              <w:top w:val="nil"/>
              <w:left w:val="nil"/>
              <w:bottom w:val="nil"/>
              <w:right w:val="nil"/>
            </w:tcBorders>
            <w:vAlign w:val="center"/>
            <w:hideMark/>
          </w:tcPr>
          <w:p w14:paraId="1C0D3A8F"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23</w:t>
            </w:r>
          </w:p>
        </w:tc>
        <w:tc>
          <w:tcPr>
            <w:tcW w:w="1411" w:type="dxa"/>
            <w:tcBorders>
              <w:top w:val="nil"/>
              <w:left w:val="nil"/>
              <w:bottom w:val="nil"/>
              <w:right w:val="nil"/>
            </w:tcBorders>
            <w:vAlign w:val="center"/>
            <w:hideMark/>
          </w:tcPr>
          <w:p w14:paraId="428C4209"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Nolan et al. (2008)</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&lt;EndNote&gt;&lt;Cite&gt;&lt;Author&gt;Nolan&lt;/Author&gt;&lt;Year&gt;2008&lt;/Year&gt;&lt;RecNum&gt;47&lt;/RecNum&gt;&lt;DisplayText&gt;[72]&lt;/DisplayText&gt;&lt;record&gt;&lt;rec-number&gt;47&lt;/rec-number&gt;&lt;foreign-keys&gt;&lt;key app="EN" db-id="eszd9vve00p9rte5r9dpw20vf5zfvadfs2df" timestamp="1782286665" guid="bd7f1c2f-a583-43d5-a696-4cc4af840531"&gt;47&lt;/key&gt;&lt;/foreign-keys&gt;&lt;ref-type name="Journal Article"&gt;17&lt;/ref-type&gt;&lt;contributors&gt;&lt;authors&gt;&lt;author&gt;Nolan, Marie T.&lt;/author&gt;&lt;author&gt;Kub, Joan&lt;/author&gt;&lt;author&gt;Hughes, Mark T.&lt;/author&gt;&lt;author&gt;Terry, Peter B.&lt;/author&gt;&lt;author&gt;Astrow, Alan B.&lt;/author&gt;&lt;author&gt;Carbo, Cynthia A.&lt;/author&gt;&lt;author&gt;Thompson, Richard E.&lt;/author&gt;&lt;author&gt;Clawson, Lora&lt;/author&gt;&lt;author&gt;Texeira, Kenneth&lt;/author&gt;&lt;author&gt;Sulmasy, Daniel P.&lt;/author&gt;&lt;/authors&gt;&lt;/contributors&gt;&lt;titles&gt;&lt;title&gt;Family health care decision making and self-efficacy with patients with ALS at the end of life&lt;/title&gt;&lt;secondary-title&gt;Palliative and Supportive Care&lt;/secondary-title&gt;&lt;alt-title&gt;Pall Supp Care&lt;/alt-title&gt;&lt;/titles&gt;&lt;periodical&gt;&lt;full-title&gt;Palliative and Supportive Care&lt;/full-title&gt;&lt;abbr-1&gt;Pall Supp Care&lt;/abbr-1&gt;&lt;/periodical&gt;&lt;alt-periodical&gt;&lt;full-title&gt;Palliative and Supportive Care&lt;/full-title&gt;&lt;abbr-1&gt;Pall Supp Care&lt;/abbr-1&gt;&lt;/alt-periodical&gt;&lt;pages&gt;273-280&lt;/pages&gt;&lt;volume&gt;6&lt;/volume&gt;&lt;number&gt;3&lt;/number&gt;&lt;dates&gt;&lt;year&gt;2008&lt;/year&gt;&lt;pub-dates&gt;&lt;date&gt;2008/09//&lt;/date&gt;&lt;/pub-dates&gt;&lt;/dates&gt;&lt;isbn&gt;1478-9515, 1478-9523&lt;/isbn&gt;&lt;urls&gt;&lt;related-urls&gt;&lt;url&gt;https://www.cambridge.org/core/product/identifier/S1478951508000412/type/journal_article&lt;/url&gt;&lt;/related-urls&gt;&lt;/urls&gt;&lt;electronic-resource-num&gt;10.1017/S1478951508000412&lt;/electronic-resource-num&gt;&lt;remote-database-provider&gt;DOI.org (Crossref)&lt;/remote-database-provider&gt;&lt;language&gt;en&lt;/language&gt;&lt;access-date&gt;2026/05/06/09:57:39&lt;/access-date&gt;&lt;/record&gt;&lt;/Cite&gt;&lt;/EndNote&gt;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[72]</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19CE350E"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United States of America</w:t>
            </w:r>
          </w:p>
        </w:tc>
        <w:tc>
          <w:tcPr>
            <w:tcW w:w="1333" w:type="dxa"/>
            <w:tcBorders>
              <w:top w:val="nil"/>
              <w:left w:val="nil"/>
              <w:bottom w:val="nil"/>
              <w:right w:val="nil"/>
            </w:tcBorders>
            <w:vAlign w:val="center"/>
            <w:hideMark/>
          </w:tcPr>
          <w:p w14:paraId="16D60F23"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Mixed-methods longitudinal study (qualitative and quantitative non-randomised)</w:t>
            </w:r>
          </w:p>
        </w:tc>
        <w:tc>
          <w:tcPr>
            <w:tcW w:w="1888" w:type="dxa"/>
            <w:tcBorders>
              <w:top w:val="nil"/>
              <w:left w:val="nil"/>
              <w:bottom w:val="nil"/>
              <w:right w:val="nil"/>
            </w:tcBorders>
            <w:vAlign w:val="center"/>
            <w:hideMark/>
          </w:tcPr>
          <w:p w14:paraId="2D0F7C45"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Amyotrophic lateral sclerosis (ALS)</w:t>
            </w:r>
          </w:p>
        </w:tc>
        <w:tc>
          <w:tcPr>
            <w:tcW w:w="1802" w:type="dxa"/>
            <w:tcBorders>
              <w:top w:val="nil"/>
              <w:left w:val="nil"/>
              <w:bottom w:val="nil"/>
              <w:right w:val="nil"/>
            </w:tcBorders>
            <w:vAlign w:val="center"/>
            <w:hideMark/>
          </w:tcPr>
          <w:p w14:paraId="461F32A4"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family members</w:t>
            </w:r>
          </w:p>
        </w:tc>
        <w:tc>
          <w:tcPr>
            <w:tcW w:w="1843" w:type="dxa"/>
            <w:tcBorders>
              <w:top w:val="nil"/>
              <w:left w:val="nil"/>
              <w:bottom w:val="nil"/>
              <w:right w:val="nil"/>
            </w:tcBorders>
            <w:vAlign w:val="center"/>
            <w:hideMark/>
          </w:tcPr>
          <w:p w14:paraId="35E693AC"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family members</w:t>
            </w:r>
          </w:p>
        </w:tc>
        <w:tc>
          <w:tcPr>
            <w:tcW w:w="2693" w:type="dxa"/>
            <w:tcBorders>
              <w:top w:val="nil"/>
              <w:left w:val="nil"/>
              <w:bottom w:val="nil"/>
              <w:right w:val="nil"/>
            </w:tcBorders>
            <w:vAlign w:val="center"/>
            <w:hideMark/>
          </w:tcPr>
          <w:p w14:paraId="69BBFC02"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Modified version of Control Preferences Scale (asked</w:t>
            </w:r>
            <w:r w:rsidRPr="00A77932">
              <w:rPr>
                <w:rFonts w:ascii="Aptos Narrow" w:eastAsia="Times New Roman" w:hAnsi="Aptos Narrow" w:cs="Times New Roman"/>
                <w:color w:val="000000"/>
                <w:kern w:val="0"/>
                <w:sz w:val="20"/>
                <w:szCs w:val="20"/>
                <w14:ligatures w14:val="none"/>
              </w:rPr>
              <w:br/>
              <w:t>subjects to indicate how they preferred to make an important healthcare decision with their family), Family Member Decision Making Survey, adapted version of the patient-family dimension of the Decision Control Preferences Scale (asked family to indicate whether the patient had made this decision independently, through shared decision making with family,</w:t>
            </w:r>
            <w:r w:rsidRPr="00A77932">
              <w:rPr>
                <w:rFonts w:ascii="Aptos Narrow" w:eastAsia="Times New Roman" w:hAnsi="Aptos Narrow" w:cs="Times New Roman"/>
                <w:color w:val="000000"/>
                <w:kern w:val="0"/>
                <w:sz w:val="20"/>
                <w:szCs w:val="20"/>
                <w14:ligatures w14:val="none"/>
              </w:rPr>
              <w:br/>
              <w:t>or through decision making that was reliant on the family).</w:t>
            </w:r>
          </w:p>
        </w:tc>
        <w:tc>
          <w:tcPr>
            <w:tcW w:w="2460" w:type="dxa"/>
            <w:tcBorders>
              <w:top w:val="nil"/>
              <w:left w:val="nil"/>
              <w:bottom w:val="nil"/>
              <w:right w:val="nil"/>
            </w:tcBorders>
            <w:vAlign w:val="center"/>
            <w:hideMark/>
          </w:tcPr>
          <w:p w14:paraId="6BBFC05A"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Retrospective account of the deceased's last 3 months of life</w:t>
            </w:r>
          </w:p>
        </w:tc>
      </w:tr>
      <w:tr w:rsidR="007121FC" w:rsidRPr="00A77932" w14:paraId="471160A3" w14:textId="77777777" w:rsidTr="00851E52">
        <w:trPr>
          <w:trHeight w:val="1152"/>
        </w:trPr>
        <w:tc>
          <w:tcPr>
            <w:tcW w:w="813" w:type="dxa"/>
            <w:tcBorders>
              <w:top w:val="nil"/>
              <w:left w:val="nil"/>
              <w:bottom w:val="nil"/>
              <w:right w:val="nil"/>
            </w:tcBorders>
            <w:vAlign w:val="center"/>
            <w:hideMark/>
          </w:tcPr>
          <w:p w14:paraId="47F7E9C1"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24</w:t>
            </w:r>
          </w:p>
        </w:tc>
        <w:tc>
          <w:tcPr>
            <w:tcW w:w="1411" w:type="dxa"/>
            <w:tcBorders>
              <w:top w:val="nil"/>
              <w:left w:val="nil"/>
              <w:bottom w:val="nil"/>
              <w:right w:val="nil"/>
            </w:tcBorders>
            <w:vAlign w:val="center"/>
            <w:hideMark/>
          </w:tcPr>
          <w:p w14:paraId="0CCF657C"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Olesen et al. (2022)</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&lt;EndNote&gt;&lt;Cite&gt;&lt;Author&gt;Olesen&lt;/Author&gt;&lt;Year&gt;2023&lt;/Year&gt;&lt;RecNum&gt;48&lt;/RecNum&gt;&lt;DisplayText&gt;[73]&lt;/DisplayText&gt;&lt;record&gt;&lt;rec-number&gt;48&lt;/rec-number&gt;&lt;foreign-keys&gt;&lt;key app="EN" db-id="eszd9vve00p9rte5r9dpw20vf5zfvadfs2df" timestamp="1782286665" guid="01ed6d34-c82d-4531-ab2c-c7cede4d07ec"&gt;48&lt;/key&gt;&lt;/foreign-keys&gt;&lt;ref-type name="Journal Article"&gt;17&lt;/ref-type&gt;&lt;contributors&gt;&lt;authors&gt;&lt;author&gt;Olesen, Lene Klem&lt;/author&gt;&lt;author&gt;La Cour, Karen&lt;/author&gt;&lt;author&gt;Thorne, Sally&lt;/author&gt;&lt;author&gt;With, Heidi&lt;/author&gt;&lt;author&gt;Handberg, Charlotte&lt;/author&gt;&lt;/authors&gt;&lt;/contributors&gt;&lt;titles&gt;&lt;title&gt;Perceived benefits from peer</w:instrText>
            </w:r>
            <w:r>
              <w:rPr>
                <w:rFonts w:ascii="Cambria Math" w:eastAsia="Times New Roman" w:hAnsi="Cambria Math" w:cs="Cambria Math"/>
                <w:color w:val="000000"/>
                <w:kern w:val="0"/>
                <w:sz w:val="20"/>
                <w:szCs w:val="20"/>
                <w14:ligatures w14:val="none"/>
              </w:rPr>
              <w:instrText>‐</w:instrText>
            </w:r>
            <w:r>
              <w:rPr>
                <w:rFonts w:ascii="Aptos Narrow" w:eastAsia="Times New Roman" w:hAnsi="Aptos Narrow" w:cs="Times New Roman"/>
                <w:color w:val="000000"/>
                <w:kern w:val="0"/>
                <w:sz w:val="20"/>
                <w:szCs w:val="20"/>
                <w14:ligatures w14:val="none"/>
              </w:rPr>
              <w:instrText>support among family caregivers of people with amyotrophic lateral sclerosis and cognitive impairments in a palliative rehabilitation blended online learning programme&lt;/title&gt;&lt;secondary-title&gt;Journal of Evaluation in Clinical Practice&lt;/secondary-title&gt;&lt;alt-title&gt;Evaluation Clinical Practice&lt;/alt-title&gt;&lt;/titles&gt;&lt;periodical&gt;&lt;full-title&gt;Journal of Evaluation in Clinical Practice&lt;/full-title&gt;&lt;abbr-1&gt;Evaluation Clinical Practice&lt;/abbr-1&gt;&lt;/periodical&gt;&lt;alt-periodical&gt;&lt;full-title&gt;Journal of Evaluation in Clinical Practice&lt;/full-title&gt;&lt;abbr-1&gt;Evaluation Clinical Practice&lt;/abbr-1&gt;&lt;/alt-periodical&gt;&lt;pages&gt;602-613&lt;/pages&gt;&lt;volume&gt;29&lt;/volume&gt;&lt;number&gt;4&lt;/number&gt;&lt;dates&gt;&lt;year&gt;2023&lt;/year&gt;&lt;pub-dates&gt;&lt;date&gt;2023/06//&lt;/date&gt;&lt;/pub-dates&gt;&lt;/dates&gt;&lt;isbn&gt;1356-1294, 1365-2753&lt;/isbn&gt;&lt;accession-num&gt;WOS:000920802600001&lt;/accession-num&gt;&lt;urls&gt;&lt;related-urls&gt;&lt;url&gt;https://onlinelibrary.wiley.com/doi/10.1111/jep.13808&lt;/url&gt;&lt;/related-urls&gt;&lt;/urls&gt;&lt;electronic-resource-num&gt;10.1111/jep.13808&lt;/electronic-resource-num&gt;&lt;remote-database-provider&gt;DOI.org (Crossref)&lt;/remote-database-provider&gt;&lt;language&gt;en&lt;/language&gt;&lt;access-date&gt;2026/05/06/09:57:41&lt;/access-date&gt;&lt;/record&gt;&lt;/Cite&gt;&lt;/EndNote&gt;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[73]</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0B750DC2"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Denmark</w:t>
            </w:r>
          </w:p>
        </w:tc>
        <w:tc>
          <w:tcPr>
            <w:tcW w:w="1333" w:type="dxa"/>
            <w:tcBorders>
              <w:top w:val="nil"/>
              <w:left w:val="nil"/>
              <w:bottom w:val="nil"/>
              <w:right w:val="nil"/>
            </w:tcBorders>
            <w:vAlign w:val="center"/>
            <w:hideMark/>
          </w:tcPr>
          <w:p w14:paraId="249D786F"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Qualitative study</w:t>
            </w:r>
          </w:p>
        </w:tc>
        <w:tc>
          <w:tcPr>
            <w:tcW w:w="1888" w:type="dxa"/>
            <w:tcBorders>
              <w:top w:val="nil"/>
              <w:left w:val="nil"/>
              <w:bottom w:val="nil"/>
              <w:right w:val="nil"/>
            </w:tcBorders>
            <w:vAlign w:val="center"/>
            <w:hideMark/>
          </w:tcPr>
          <w:p w14:paraId="48221390"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Amyotrophic lateral sclerosis (ALS) with cognitive and/or behavioural impairments</w:t>
            </w:r>
          </w:p>
        </w:tc>
        <w:tc>
          <w:tcPr>
            <w:tcW w:w="1802" w:type="dxa"/>
            <w:tcBorders>
              <w:top w:val="nil"/>
              <w:left w:val="nil"/>
              <w:bottom w:val="nil"/>
              <w:right w:val="nil"/>
            </w:tcBorders>
            <w:vAlign w:val="center"/>
            <w:hideMark/>
          </w:tcPr>
          <w:p w14:paraId="5E5561F6"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Family members</w:t>
            </w:r>
          </w:p>
        </w:tc>
        <w:tc>
          <w:tcPr>
            <w:tcW w:w="1843" w:type="dxa"/>
            <w:tcBorders>
              <w:top w:val="nil"/>
              <w:left w:val="nil"/>
              <w:bottom w:val="nil"/>
              <w:right w:val="nil"/>
            </w:tcBorders>
            <w:vAlign w:val="center"/>
            <w:hideMark/>
          </w:tcPr>
          <w:p w14:paraId="0C9C14BB"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Group-based peer discussions between family members</w:t>
            </w:r>
          </w:p>
        </w:tc>
        <w:tc>
          <w:tcPr>
            <w:tcW w:w="2693" w:type="dxa"/>
            <w:tcBorders>
              <w:top w:val="nil"/>
              <w:left w:val="nil"/>
              <w:bottom w:val="nil"/>
              <w:right w:val="nil"/>
            </w:tcBorders>
            <w:hideMark/>
          </w:tcPr>
          <w:p w14:paraId="5AD3EECC"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Participant observations of recorded virtual group-facilitated meetings from two rounds of a 4-month intervention</w:t>
            </w:r>
          </w:p>
        </w:tc>
        <w:tc>
          <w:tcPr>
            <w:tcW w:w="2460" w:type="dxa"/>
            <w:tcBorders>
              <w:top w:val="nil"/>
              <w:left w:val="nil"/>
              <w:bottom w:val="nil"/>
              <w:right w:val="nil"/>
            </w:tcBorders>
            <w:vAlign w:val="center"/>
            <w:hideMark/>
          </w:tcPr>
          <w:p w14:paraId="0F7CF00A"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Not reported, discussed EoL</w:t>
            </w:r>
          </w:p>
        </w:tc>
      </w:tr>
      <w:tr w:rsidR="007121FC" w:rsidRPr="00A77932" w14:paraId="6240E3E6" w14:textId="77777777" w:rsidTr="00851E52">
        <w:trPr>
          <w:trHeight w:val="1152"/>
        </w:trPr>
        <w:tc>
          <w:tcPr>
            <w:tcW w:w="813" w:type="dxa"/>
            <w:tcBorders>
              <w:top w:val="nil"/>
              <w:left w:val="nil"/>
              <w:bottom w:val="nil"/>
              <w:right w:val="nil"/>
            </w:tcBorders>
            <w:vAlign w:val="center"/>
            <w:hideMark/>
          </w:tcPr>
          <w:p w14:paraId="00B51F1E"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lastRenderedPageBreak/>
              <w:t>25</w:t>
            </w:r>
          </w:p>
        </w:tc>
        <w:tc>
          <w:tcPr>
            <w:tcW w:w="1411" w:type="dxa"/>
            <w:tcBorders>
              <w:top w:val="nil"/>
              <w:left w:val="nil"/>
              <w:bottom w:val="nil"/>
              <w:right w:val="nil"/>
            </w:tcBorders>
            <w:vAlign w:val="center"/>
            <w:hideMark/>
          </w:tcPr>
          <w:p w14:paraId="3F776377"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Prigatano et al. (2022)</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&lt;EndNote&gt;&lt;Cite&gt;&lt;Author&gt;Prigatano&lt;/Author&gt;&lt;Year&gt;2022&lt;/Year&gt;&lt;RecNum&gt;49&lt;/RecNum&gt;&lt;DisplayText&gt;[74]&lt;/DisplayText&gt;&lt;record&gt;&lt;rec-number&gt;49&lt;/rec-number&gt;&lt;foreign-keys&gt;&lt;key app="EN" db-id="eszd9vve00p9rte5r9dpw20vf5zfvadfs2df" timestamp="1782286665" guid="385cc14d-3a0e-43ea-9d8b-1a7804a8024c"&gt;49&lt;/key&gt;&lt;/foreign-keys&gt;&lt;ref-type name="Journal Article"&gt;17&lt;/ref-type&gt;&lt;contributors&gt;&lt;authors&gt;&lt;author&gt;Prigatano, George P.&lt;/author&gt;&lt;author&gt;Salins, Naomi&lt;/author&gt;&lt;/authors&gt;&lt;/contributors&gt;&lt;titles&gt;&lt;title&gt;End of Life Neuropsychological Impairments and Psychological Care of Persons With Advanced Parkinsonism&lt;/title&gt;&lt;secondary-title&gt;American Journal of Hospice and Palliative Medicine®&lt;/secondary-title&gt;&lt;alt-title&gt;Am J Hosp Palliat Care&lt;/alt-title&gt;&lt;/titles&gt;&lt;periodical&gt;&lt;full-title&gt;American Journal of Hospice and Palliative Medicine®&lt;/full-title&gt;&lt;abbr-1&gt;Am J Hosp Palliat Care&lt;/abbr-1&gt;&lt;/periodical&gt;&lt;alt-periodical&gt;&lt;full-title&gt;American Journal of Hospice and Palliative Medicine®&lt;/full-title&gt;&lt;abbr-1&gt;Am J Hosp Palliat Care&lt;/abbr-1&gt;&lt;/alt-periodical&gt;&lt;pages&gt;962-965&lt;/pages&gt;&lt;volume&gt;39&lt;/volume&gt;&lt;number&gt;8&lt;/number&gt;&lt;dates&gt;&lt;year&gt;2022&lt;/year&gt;&lt;pub-dates&gt;&lt;date&gt;2022/08//&lt;/date&gt;&lt;/pub-dates&gt;&lt;/dates&gt;&lt;pub-location&gt;United States&lt;/pub-location&gt;&lt;isbn&gt;1049-9091, 1938-2715&lt;/isbn&gt;&lt;urls&gt;&lt;related-urls&gt;&lt;url&gt;https://journals.sagepub.com/doi/10.1177/10499091211049798&lt;/url&gt;&lt;/related-urls&gt;&lt;/urls&gt;&lt;electronic-resource-num&gt;10.1177/10499091211049798&lt;/electronic-resource-num&gt;&lt;remote-database-provider&gt;DOI.org (Crossref)&lt;/remote-database-provider&gt;&lt;language&gt;en&lt;/language&gt;&lt;access-date&gt;2026/05/06/09:57:44&lt;/access-date&gt;&lt;/record&gt;&lt;/Cite&gt;&lt;/EndNote&gt;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[74]</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622FB475"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United States of America</w:t>
            </w:r>
          </w:p>
        </w:tc>
        <w:tc>
          <w:tcPr>
            <w:tcW w:w="1333" w:type="dxa"/>
            <w:tcBorders>
              <w:top w:val="nil"/>
              <w:left w:val="nil"/>
              <w:bottom w:val="nil"/>
              <w:right w:val="nil"/>
            </w:tcBorders>
            <w:vAlign w:val="center"/>
            <w:hideMark/>
          </w:tcPr>
          <w:p w14:paraId="5B2AC4D8"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Case report (Qualitative)</w:t>
            </w:r>
          </w:p>
        </w:tc>
        <w:tc>
          <w:tcPr>
            <w:tcW w:w="1888" w:type="dxa"/>
            <w:tcBorders>
              <w:top w:val="nil"/>
              <w:left w:val="nil"/>
              <w:bottom w:val="nil"/>
              <w:right w:val="nil"/>
            </w:tcBorders>
            <w:vAlign w:val="center"/>
            <w:hideMark/>
          </w:tcPr>
          <w:p w14:paraId="12CE723B"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 xml:space="preserve">Parkinson's disease (PD) </w:t>
            </w:r>
          </w:p>
        </w:tc>
        <w:tc>
          <w:tcPr>
            <w:tcW w:w="1802" w:type="dxa"/>
            <w:tcBorders>
              <w:top w:val="nil"/>
              <w:left w:val="nil"/>
              <w:bottom w:val="nil"/>
              <w:right w:val="nil"/>
            </w:tcBorders>
            <w:vAlign w:val="center"/>
            <w:hideMark/>
          </w:tcPr>
          <w:p w14:paraId="1500FA28"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family members</w:t>
            </w:r>
          </w:p>
        </w:tc>
        <w:tc>
          <w:tcPr>
            <w:tcW w:w="1843" w:type="dxa"/>
            <w:tcBorders>
              <w:top w:val="nil"/>
              <w:left w:val="nil"/>
              <w:bottom w:val="nil"/>
              <w:right w:val="nil"/>
            </w:tcBorders>
            <w:vAlign w:val="center"/>
            <w:hideMark/>
          </w:tcPr>
          <w:p w14:paraId="61899743"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Researcher; clinical neuropsychologist</w:t>
            </w:r>
          </w:p>
        </w:tc>
        <w:tc>
          <w:tcPr>
            <w:tcW w:w="2693" w:type="dxa"/>
            <w:tcBorders>
              <w:top w:val="nil"/>
              <w:left w:val="nil"/>
              <w:bottom w:val="nil"/>
              <w:right w:val="nil"/>
            </w:tcBorders>
            <w:vAlign w:val="center"/>
            <w:hideMark/>
          </w:tcPr>
          <w:p w14:paraId="767CD129"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Brief descriptions of three older patients with advanced PD and experiences of their family caregivers.</w:t>
            </w:r>
          </w:p>
        </w:tc>
        <w:tc>
          <w:tcPr>
            <w:tcW w:w="2460" w:type="dxa"/>
            <w:tcBorders>
              <w:top w:val="nil"/>
              <w:left w:val="nil"/>
              <w:bottom w:val="nil"/>
              <w:right w:val="nil"/>
            </w:tcBorders>
            <w:vAlign w:val="center"/>
            <w:hideMark/>
          </w:tcPr>
          <w:p w14:paraId="2D70FA59"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Advanced stage of disease for one patient and retrospective account of two patients that had died within 6-12 months</w:t>
            </w:r>
          </w:p>
        </w:tc>
      </w:tr>
      <w:tr w:rsidR="007121FC" w:rsidRPr="00A77932" w14:paraId="6225BD42" w14:textId="77777777" w:rsidTr="00851E52">
        <w:trPr>
          <w:trHeight w:val="2880"/>
        </w:trPr>
        <w:tc>
          <w:tcPr>
            <w:tcW w:w="813" w:type="dxa"/>
            <w:tcBorders>
              <w:top w:val="nil"/>
              <w:left w:val="nil"/>
              <w:bottom w:val="nil"/>
              <w:right w:val="nil"/>
            </w:tcBorders>
            <w:vAlign w:val="center"/>
            <w:hideMark/>
          </w:tcPr>
          <w:p w14:paraId="6E73D7E7"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26</w:t>
            </w:r>
          </w:p>
        </w:tc>
        <w:tc>
          <w:tcPr>
            <w:tcW w:w="1411" w:type="dxa"/>
            <w:tcBorders>
              <w:top w:val="nil"/>
              <w:left w:val="nil"/>
              <w:bottom w:val="nil"/>
              <w:right w:val="nil"/>
            </w:tcBorders>
            <w:vAlign w:val="center"/>
            <w:hideMark/>
          </w:tcPr>
          <w:p w14:paraId="6D2EA197"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Rabkin et al. (2006)*</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&lt;EndNote&gt;&lt;Cite&gt;&lt;Author&gt;Rabkin&lt;/Author&gt;&lt;Year&gt;2006&lt;/Year&gt;&lt;RecNum&gt;33&lt;/RecNum&gt;&lt;DisplayText&gt;[75]&lt;/DisplayText&gt;&lt;record&gt;&lt;rec-number&gt;33&lt;/rec-number&gt;&lt;foreign-keys&gt;&lt;key app="EN" db-id="eszd9vve00p9rte5r9dpw20vf5zfvadfs2df" timestamp="1782286664" guid="3ff87659-2369-4730-9f02-84eff84d1384"&gt;33&lt;/key&gt;&lt;/foreign-keys&gt;&lt;ref-type name="Journal Article"&gt;17&lt;/ref-type&gt;&lt;contributors&gt;&lt;authors&gt;&lt;author&gt;Rabkin, Judith G.&lt;/author&gt;&lt;author&gt;Albert, Steven M.&lt;/author&gt;&lt;author&gt;Tider, Toby&lt;/author&gt;&lt;author&gt;Del Bene, Maura L.&lt;/author&gt;&lt;author&gt;O&amp;apos;Sullivan, Ita&lt;/author&gt;&lt;author&gt;Rowland, Lewis P.&lt;/author&gt;&lt;author&gt;Mitsumoto, Hiroshi&lt;/author&gt;&lt;/authors&gt;&lt;/contributors&gt;&lt;titles&gt;&lt;title&gt;Predictors and course of elective long</w:instrText>
            </w:r>
            <w:r>
              <w:rPr>
                <w:rFonts w:ascii="Cambria Math" w:eastAsia="Times New Roman" w:hAnsi="Cambria Math" w:cs="Cambria Math"/>
                <w:color w:val="000000"/>
                <w:kern w:val="0"/>
                <w:sz w:val="20"/>
                <w:szCs w:val="20"/>
                <w14:ligatures w14:val="none"/>
              </w:rPr>
              <w:instrText>‐</w:instrText>
            </w:r>
            <w:r>
              <w:rPr>
                <w:rFonts w:ascii="Aptos Narrow" w:eastAsia="Times New Roman" w:hAnsi="Aptos Narrow" w:cs="Times New Roman"/>
                <w:color w:val="000000"/>
                <w:kern w:val="0"/>
                <w:sz w:val="20"/>
                <w:szCs w:val="20"/>
                <w14:ligatures w14:val="none"/>
              </w:rPr>
              <w:instrText>term mechanical ventilation: A prospective study of ALS patients&lt;/title&gt;&lt;secondary-title&gt;Amyotrophic Lateral Sclerosis&lt;/secondary-title&gt;&lt;alt-title&gt;Amyotrophic Lateral Sclerosis&lt;/alt-title&gt;&lt;short-title&gt;Predictors and course of elective long</w:instrText>
            </w:r>
            <w:r>
              <w:rPr>
                <w:rFonts w:ascii="Cambria Math" w:eastAsia="Times New Roman" w:hAnsi="Cambria Math" w:cs="Cambria Math"/>
                <w:color w:val="000000"/>
                <w:kern w:val="0"/>
                <w:sz w:val="20"/>
                <w:szCs w:val="20"/>
                <w14:ligatures w14:val="none"/>
              </w:rPr>
              <w:instrText>‐</w:instrText>
            </w:r>
            <w:r>
              <w:rPr>
                <w:rFonts w:ascii="Aptos Narrow" w:eastAsia="Times New Roman" w:hAnsi="Aptos Narrow" w:cs="Times New Roman"/>
                <w:color w:val="000000"/>
                <w:kern w:val="0"/>
                <w:sz w:val="20"/>
                <w:szCs w:val="20"/>
                <w14:ligatures w14:val="none"/>
              </w:rPr>
              <w:instrText>term mechanical ventilation&lt;/short-title&gt;&lt;/titles&gt;&lt;periodical&gt;&lt;full-title&gt;Amyotrophic Lateral Sclerosis&lt;/full-title&gt;&lt;abbr-1&gt;Amyotrophic Lateral Sclerosis&lt;/abbr-1&gt;&lt;/periodical&gt;&lt;alt-periodical&gt;&lt;full-title&gt;Amyotrophic Lateral Sclerosis&lt;/full-title&gt;&lt;abbr-1&gt;Amyotrophic Lateral Sclerosis&lt;/abbr-1&gt;&lt;/alt-periodical&gt;&lt;pages&gt;86-95&lt;/pages&gt;&lt;volume&gt;7&lt;/volume&gt;&lt;number&gt;2&lt;/number&gt;&lt;dates&gt;&lt;year&gt;2006&lt;/year&gt;&lt;pub-dates&gt;&lt;date&gt;2006/01//&lt;/date&gt;&lt;/pub-dates&gt;&lt;/dates&gt;&lt;pub-location&gt;England&lt;/pub-location&gt;&lt;isbn&gt;1748-2968, 1471-180X&lt;/isbn&gt;&lt;urls&gt;&lt;related-urls&gt;&lt;url&gt;http://www.tandfonline.com/doi/full/10.1080/14660820500515021&lt;/url&gt;&lt;/related-urls&gt;&lt;/urls&gt;&lt;electronic-resource-num&gt;10.1080/14660820500515021&lt;/electronic-resource-num&gt;&lt;remote-database-provider&gt;DOI.org (Crossref)&lt;/remote-database-provider&gt;&lt;language&gt;en&lt;/language&gt;&lt;access-date&gt;2026/05/06/09:53:16&lt;/access-date&gt;&lt;/record&gt;&lt;/Cite&gt;&lt;/EndNote&gt;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[75]</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30FA149E"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United States of America</w:t>
            </w:r>
          </w:p>
        </w:tc>
        <w:tc>
          <w:tcPr>
            <w:tcW w:w="1333" w:type="dxa"/>
            <w:tcBorders>
              <w:top w:val="nil"/>
              <w:left w:val="nil"/>
              <w:bottom w:val="nil"/>
              <w:right w:val="nil"/>
            </w:tcBorders>
            <w:vAlign w:val="center"/>
            <w:hideMark/>
          </w:tcPr>
          <w:p w14:paraId="04F5C77F"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Cohort study (quantitative non-randomised)</w:t>
            </w:r>
          </w:p>
        </w:tc>
        <w:tc>
          <w:tcPr>
            <w:tcW w:w="1888" w:type="dxa"/>
            <w:tcBorders>
              <w:top w:val="nil"/>
              <w:left w:val="nil"/>
              <w:bottom w:val="nil"/>
              <w:right w:val="nil"/>
            </w:tcBorders>
            <w:vAlign w:val="center"/>
            <w:hideMark/>
          </w:tcPr>
          <w:p w14:paraId="63F2FB4C"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Amyotrophic lateral sclerosis (ALS)</w:t>
            </w:r>
          </w:p>
        </w:tc>
        <w:tc>
          <w:tcPr>
            <w:tcW w:w="1802" w:type="dxa"/>
            <w:tcBorders>
              <w:top w:val="nil"/>
              <w:left w:val="nil"/>
              <w:bottom w:val="nil"/>
              <w:right w:val="nil"/>
            </w:tcBorders>
            <w:vAlign w:val="center"/>
            <w:hideMark/>
          </w:tcPr>
          <w:p w14:paraId="7B9F7A3B"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family members</w:t>
            </w:r>
          </w:p>
        </w:tc>
        <w:tc>
          <w:tcPr>
            <w:tcW w:w="1843" w:type="dxa"/>
            <w:tcBorders>
              <w:top w:val="nil"/>
              <w:left w:val="nil"/>
              <w:bottom w:val="nil"/>
              <w:right w:val="nil"/>
            </w:tcBorders>
            <w:vAlign w:val="center"/>
            <w:hideMark/>
          </w:tcPr>
          <w:p w14:paraId="302131A8"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family members</w:t>
            </w:r>
          </w:p>
        </w:tc>
        <w:tc>
          <w:tcPr>
            <w:tcW w:w="2693" w:type="dxa"/>
            <w:tcBorders>
              <w:top w:val="nil"/>
              <w:left w:val="nil"/>
              <w:bottom w:val="nil"/>
              <w:right w:val="nil"/>
            </w:tcBorders>
            <w:vAlign w:val="center"/>
            <w:hideMark/>
          </w:tcPr>
          <w:p w14:paraId="047AB634"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Patient Health Questionnaire (PHQ-9); Beck Hopelessness Scale (BHS-PC); Holland Systems of Beliefs Inventory; Schedule of Attitudes toward Hastened Death (SAHD); Quality of Life Enjoyment and Satisfaction Questionnaire (QOL); Manne Perceived Partner Support Scale; Visual Analog Scales (VAS) on items related to previous scales, Zarit Burden Scale.</w:t>
            </w:r>
          </w:p>
        </w:tc>
        <w:tc>
          <w:tcPr>
            <w:tcW w:w="2460" w:type="dxa"/>
            <w:tcBorders>
              <w:top w:val="nil"/>
              <w:left w:val="nil"/>
              <w:bottom w:val="nil"/>
              <w:right w:val="nil"/>
            </w:tcBorders>
            <w:vAlign w:val="center"/>
            <w:hideMark/>
          </w:tcPr>
          <w:p w14:paraId="72AC96E5"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Prognosis by physiological indicator (&lt;50% forced vital capacity )</w:t>
            </w:r>
          </w:p>
        </w:tc>
      </w:tr>
      <w:tr w:rsidR="007121FC" w:rsidRPr="00A77932" w14:paraId="6E51A2FE" w14:textId="77777777" w:rsidTr="00851E52">
        <w:trPr>
          <w:trHeight w:val="864"/>
        </w:trPr>
        <w:tc>
          <w:tcPr>
            <w:tcW w:w="813" w:type="dxa"/>
            <w:tcBorders>
              <w:top w:val="nil"/>
              <w:left w:val="nil"/>
              <w:bottom w:val="nil"/>
              <w:right w:val="nil"/>
            </w:tcBorders>
            <w:vAlign w:val="center"/>
            <w:hideMark/>
          </w:tcPr>
          <w:p w14:paraId="5CDA86BC"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27</w:t>
            </w:r>
          </w:p>
        </w:tc>
        <w:tc>
          <w:tcPr>
            <w:tcW w:w="1411" w:type="dxa"/>
            <w:tcBorders>
              <w:top w:val="nil"/>
              <w:left w:val="nil"/>
              <w:bottom w:val="nil"/>
              <w:right w:val="nil"/>
            </w:tcBorders>
            <w:vAlign w:val="center"/>
            <w:hideMark/>
          </w:tcPr>
          <w:p w14:paraId="466FBA81"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Runacres et al. (2023)</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&lt;EndNote&gt;&lt;Cite&gt;&lt;Author&gt;Runacres&lt;/Author&gt;&lt;Year&gt;2023&lt;/Year&gt;&lt;RecNum&gt;34&lt;/RecNum&gt;&lt;DisplayText&gt;[76]&lt;/DisplayText&gt;&lt;record&gt;&lt;rec-number&gt;34&lt;/rec-number&gt;&lt;foreign-keys&gt;&lt;key app="EN" db-id="eszd9vve00p9rte5r9dpw20vf5zfvadfs2df" timestamp="1782286664" guid="6ad2fd3a-22aa-4b4c-adc5-b1cd8e2ecf71"&gt;34&lt;/key&gt;&lt;/foreign-keys&gt;&lt;ref-type name="Journal Article"&gt;17&lt;/ref-type&gt;&lt;contributors&gt;&lt;authors&gt;&lt;author&gt;Runacres, Fiona&lt;/author&gt;&lt;author&gt;Mathers, Susan&lt;/author&gt;&lt;author&gt;Lee, Sarah Cm&lt;/author&gt;&lt;author&gt;Hearn, Rowan&lt;/author&gt;&lt;author&gt;Gregory, Sonia&lt;/author&gt;&lt;author&gt;Bear, Natasha&lt;/author&gt;&lt;author&gt;Aoun, Samar&lt;/author&gt;&lt;/authors&gt;&lt;/contributors&gt;&lt;titles&gt;&lt;title&gt;Motor neurone disease: A point-prevalence study of patient reported symptom prevalence, severity and palliative care needs&lt;/title&gt;&lt;secondary-title&gt;Palliative Medicine&lt;/secondary-title&gt;&lt;alt-title&gt;Palliat Med&lt;/alt-title&gt;&lt;short-title&gt;Motor neurone disease&lt;/short-title&gt;&lt;/titles&gt;&lt;periodical&gt;&lt;full-title&gt;Palliative Medicine&lt;/full-title&gt;&lt;abbr-1&gt;Palliat Med&lt;/abbr-1&gt;&lt;/periodical&gt;&lt;alt-periodical&gt;&lt;full-title&gt;Palliative Medicine&lt;/full-title&gt;&lt;abbr-1&gt;Palliat Med&lt;/abbr-1&gt;&lt;/alt-periodical&gt;&lt;pages&gt;1402-1412&lt;/pages&gt;&lt;volume&gt;37&lt;/volume&gt;&lt;number&gt;9&lt;/number&gt;&lt;dates&gt;&lt;year&gt;2023&lt;/year&gt;&lt;pub-dates&gt;&lt;date&gt;2023/10//&lt;/date&gt;&lt;/pub-dates&gt;&lt;/dates&gt;&lt;pub-location&gt;United Kingdom&lt;/pub-location&gt;&lt;publisher&gt;SAGE Publications Ltd&lt;/publisher&gt;&lt;isbn&gt;0269-2163, 1477-030X&lt;/isbn&gt;&lt;accession-num&gt;2024854981&lt;/accession-num&gt;&lt;urls&gt;&lt;related-urls&gt;&lt;url&gt;https://journals.sagepub.com/doi/10.1177/02692163231191545&lt;/url&gt;&lt;/related-urls&gt;&lt;/urls&gt;&lt;electronic-resource-num&gt;10.1177/02692163231191545&lt;/electronic-resource-num&gt;&lt;remote-database-provider&gt;DOI.org (Crossref)&lt;/remote-database-provider&gt;&lt;language&gt;en&lt;/language&gt;&lt;access-date&gt;2026/05/06/09:53:19&lt;/access-date&gt;&lt;/record&gt;&lt;/Cite&gt;&lt;/EndNote&gt;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[76]</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4752C965"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Australia</w:t>
            </w:r>
          </w:p>
        </w:tc>
        <w:tc>
          <w:tcPr>
            <w:tcW w:w="1333" w:type="dxa"/>
            <w:tcBorders>
              <w:top w:val="nil"/>
              <w:left w:val="nil"/>
              <w:bottom w:val="nil"/>
              <w:right w:val="nil"/>
            </w:tcBorders>
            <w:vAlign w:val="center"/>
            <w:hideMark/>
          </w:tcPr>
          <w:p w14:paraId="4E04FC0F"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Cross sectional study (quantitative descriptive)</w:t>
            </w:r>
          </w:p>
        </w:tc>
        <w:tc>
          <w:tcPr>
            <w:tcW w:w="1888" w:type="dxa"/>
            <w:tcBorders>
              <w:top w:val="nil"/>
              <w:left w:val="nil"/>
              <w:bottom w:val="nil"/>
              <w:right w:val="nil"/>
            </w:tcBorders>
            <w:vAlign w:val="center"/>
            <w:hideMark/>
          </w:tcPr>
          <w:p w14:paraId="3046B985"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Motor neurone disease (MND)</w:t>
            </w:r>
          </w:p>
        </w:tc>
        <w:tc>
          <w:tcPr>
            <w:tcW w:w="1802" w:type="dxa"/>
            <w:tcBorders>
              <w:top w:val="nil"/>
              <w:left w:val="nil"/>
              <w:bottom w:val="nil"/>
              <w:right w:val="nil"/>
            </w:tcBorders>
            <w:vAlign w:val="center"/>
            <w:hideMark/>
          </w:tcPr>
          <w:p w14:paraId="2447F6A4"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w:t>
            </w:r>
          </w:p>
        </w:tc>
        <w:tc>
          <w:tcPr>
            <w:tcW w:w="1843" w:type="dxa"/>
            <w:tcBorders>
              <w:top w:val="nil"/>
              <w:left w:val="nil"/>
              <w:bottom w:val="nil"/>
              <w:right w:val="nil"/>
            </w:tcBorders>
            <w:vAlign w:val="center"/>
            <w:hideMark/>
          </w:tcPr>
          <w:p w14:paraId="77CDA474"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w:t>
            </w:r>
          </w:p>
        </w:tc>
        <w:tc>
          <w:tcPr>
            <w:tcW w:w="2693" w:type="dxa"/>
            <w:tcBorders>
              <w:top w:val="nil"/>
              <w:left w:val="nil"/>
              <w:bottom w:val="nil"/>
              <w:right w:val="nil"/>
            </w:tcBorders>
            <w:vAlign w:val="center"/>
            <w:hideMark/>
          </w:tcPr>
          <w:p w14:paraId="272ADCCB"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Integrated Palliative Care Outcome Scale-Neuro (IPOS-Neuro).</w:t>
            </w:r>
          </w:p>
        </w:tc>
        <w:tc>
          <w:tcPr>
            <w:tcW w:w="2460" w:type="dxa"/>
            <w:tcBorders>
              <w:top w:val="nil"/>
              <w:left w:val="nil"/>
              <w:bottom w:val="nil"/>
              <w:right w:val="nil"/>
            </w:tcBorders>
            <w:vAlign w:val="center"/>
            <w:hideMark/>
          </w:tcPr>
          <w:p w14:paraId="32652BE4"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Not reported; under palliative care</w:t>
            </w:r>
          </w:p>
        </w:tc>
      </w:tr>
      <w:tr w:rsidR="007121FC" w:rsidRPr="00A77932" w14:paraId="3C9461A9" w14:textId="77777777" w:rsidTr="00851E52">
        <w:trPr>
          <w:trHeight w:val="2592"/>
        </w:trPr>
        <w:tc>
          <w:tcPr>
            <w:tcW w:w="813" w:type="dxa"/>
            <w:tcBorders>
              <w:top w:val="nil"/>
              <w:left w:val="nil"/>
              <w:bottom w:val="nil"/>
              <w:right w:val="nil"/>
            </w:tcBorders>
            <w:vAlign w:val="center"/>
            <w:hideMark/>
          </w:tcPr>
          <w:p w14:paraId="4CE6C9F5"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28</w:t>
            </w:r>
          </w:p>
        </w:tc>
        <w:tc>
          <w:tcPr>
            <w:tcW w:w="1411" w:type="dxa"/>
            <w:tcBorders>
              <w:top w:val="nil"/>
              <w:left w:val="nil"/>
              <w:bottom w:val="nil"/>
              <w:right w:val="nil"/>
            </w:tcBorders>
            <w:vAlign w:val="center"/>
            <w:hideMark/>
          </w:tcPr>
          <w:p w14:paraId="4CDE9432"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Veronese et al. (2015)</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&lt;EndNote&gt;&lt;Cite&gt;&lt;Author&gt;Veronese&lt;/Author&gt;&lt;Year&gt;2015&lt;/Year&gt;&lt;RecNum&gt;50&lt;/RecNum&gt;&lt;DisplayText&gt;[78]&lt;/DisplayText&gt;&lt;record&gt;&lt;rec-number&gt;50&lt;/rec-number&gt;&lt;foreign-keys&gt;&lt;key app="EN" db-id="eszd9vve00p9rte5r9dpw20vf5zfvadfs2df" timestamp="1782286665" guid="7694f77e-80d5-4b8c-abf8-ee808223314a"&gt;50&lt;/key&gt;&lt;/foreign-keys&gt;&lt;ref-type name="Journal Article"&gt;17&lt;/ref-type&gt;&lt;contributors&gt;&lt;authors&gt;&lt;author&gt;Veronese, S.&lt;/author&gt;&lt;author&gt;Gallo, G.&lt;/author&gt;&lt;author&gt;Valle, A.&lt;/author&gt;&lt;author&gt;Cugno, C.&lt;/author&gt;&lt;author&gt;Chiò, A.&lt;/author&gt;&lt;author&gt;Calvo, A.&lt;/author&gt;&lt;author&gt;Rivoiro, C.&lt;/author&gt;&lt;author&gt;Oliver, D. J.&lt;/author&gt;&lt;/authors&gt;&lt;/contributors&gt;&lt;titles&gt;&lt;title&gt;The palliative care needs of people severely affected by neurodegenerative disorders: A qualitative study&lt;/title&gt;&lt;secondary-title&gt;Progress in Palliative Care&lt;/secondary-title&gt;&lt;alt-title&gt;Progress in Palliative Care&lt;/alt-title&gt;&lt;short-title&gt;The palliative care needs of people severely affected by neurodegenerative disorders&lt;/short-title&gt;&lt;/titles&gt;&lt;periodical&gt;&lt;full-title&gt;Progress in Palliative Care&lt;/full-title&gt;&lt;abbr-1&gt;Progress in Palliative Care&lt;/abbr-1&gt;&lt;/periodical&gt;&lt;alt-periodical&gt;&lt;full-title&gt;Progress in Palliative Care&lt;/full-title&gt;&lt;abbr-1&gt;Progress in Palliative Care&lt;/abbr-1&gt;&lt;/alt-periodical&gt;&lt;pages&gt;331-342&lt;/pages&gt;&lt;volume&gt;23&lt;/volume&gt;&lt;number&gt;6&lt;/number&gt;&lt;dates&gt;&lt;year&gt;2015&lt;/year&gt;&lt;pub-dates&gt;&lt;date&gt;2015/11/02/&lt;/date&gt;&lt;/pub-dates&gt;&lt;/dates&gt;&lt;isbn&gt;0969-9260, 1743-291X&lt;/isbn&gt;&lt;accession-num&gt;WOS:000218073000003&lt;/accession-num&gt;&lt;urls&gt;&lt;related-urls&gt;&lt;url&gt;http://www.tandfonline.com/doi/full/10.1179/1743291X15Y.0000000007&lt;/url&gt;&lt;/related-urls&gt;&lt;/urls&gt;&lt;electronic-resource-num&gt;10.1179/1743291X15Y.0000000007&lt;/electronic-resource-num&gt;&lt;remote-database-provider&gt;DOI.org (Crossref)&lt;/remote-database-provider&gt;&lt;language&gt;en&lt;/language&gt;&lt;access-date&gt;2026/05/06/09:57:45&lt;/access-date&gt;&lt;/record&gt;&lt;/Cite&gt;&lt;/EndNote&gt;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[78]</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11E813FD"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Italy</w:t>
            </w:r>
          </w:p>
        </w:tc>
        <w:tc>
          <w:tcPr>
            <w:tcW w:w="1333" w:type="dxa"/>
            <w:tcBorders>
              <w:top w:val="nil"/>
              <w:left w:val="nil"/>
              <w:bottom w:val="nil"/>
              <w:right w:val="nil"/>
            </w:tcBorders>
            <w:vAlign w:val="center"/>
            <w:hideMark/>
          </w:tcPr>
          <w:p w14:paraId="0F5391E0"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Qualitative study</w:t>
            </w:r>
          </w:p>
        </w:tc>
        <w:tc>
          <w:tcPr>
            <w:tcW w:w="1888" w:type="dxa"/>
            <w:tcBorders>
              <w:top w:val="nil"/>
              <w:left w:val="nil"/>
              <w:bottom w:val="nil"/>
              <w:right w:val="nil"/>
            </w:tcBorders>
            <w:vAlign w:val="center"/>
            <w:hideMark/>
          </w:tcPr>
          <w:p w14:paraId="1410045C"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Neurodegenerative disorders including amyotrophic lateral sclerosis (ALS), motor neurone disease (MND), multiple sclerosis (MS), Parkinson's disease (PD), or multiple systems atrophy (MSA)</w:t>
            </w:r>
          </w:p>
        </w:tc>
        <w:tc>
          <w:tcPr>
            <w:tcW w:w="1802" w:type="dxa"/>
            <w:tcBorders>
              <w:top w:val="nil"/>
              <w:left w:val="nil"/>
              <w:bottom w:val="nil"/>
              <w:right w:val="nil"/>
            </w:tcBorders>
            <w:vAlign w:val="center"/>
            <w:hideMark/>
          </w:tcPr>
          <w:p w14:paraId="458409EC"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family members, health and social care professionals (neurologists, rehabilitation medicine specialist, physiotherapist, speech and language therapist)</w:t>
            </w:r>
          </w:p>
        </w:tc>
        <w:tc>
          <w:tcPr>
            <w:tcW w:w="1843" w:type="dxa"/>
            <w:tcBorders>
              <w:top w:val="nil"/>
              <w:left w:val="nil"/>
              <w:bottom w:val="nil"/>
              <w:right w:val="nil"/>
            </w:tcBorders>
            <w:vAlign w:val="center"/>
            <w:hideMark/>
          </w:tcPr>
          <w:p w14:paraId="757D8E07"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family members, health and social care professionals</w:t>
            </w:r>
          </w:p>
        </w:tc>
        <w:tc>
          <w:tcPr>
            <w:tcW w:w="2693" w:type="dxa"/>
            <w:tcBorders>
              <w:top w:val="nil"/>
              <w:left w:val="nil"/>
              <w:bottom w:val="nil"/>
              <w:right w:val="nil"/>
            </w:tcBorders>
            <w:vAlign w:val="center"/>
            <w:hideMark/>
          </w:tcPr>
          <w:p w14:paraId="6CBEA6F0"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Interviews with adult patients and focus groups with professional carers on palliative care needs.</w:t>
            </w:r>
          </w:p>
        </w:tc>
        <w:tc>
          <w:tcPr>
            <w:tcW w:w="2460" w:type="dxa"/>
            <w:tcBorders>
              <w:top w:val="nil"/>
              <w:left w:val="nil"/>
              <w:bottom w:val="nil"/>
              <w:right w:val="nil"/>
            </w:tcBorders>
            <w:vAlign w:val="center"/>
            <w:hideMark/>
          </w:tcPr>
          <w:p w14:paraId="691743E4"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Prognosis of 6 months prior to death and advanced stage of disease</w:t>
            </w:r>
          </w:p>
        </w:tc>
      </w:tr>
      <w:tr w:rsidR="007121FC" w:rsidRPr="00A77932" w14:paraId="73140576" w14:textId="77777777" w:rsidTr="00851E52">
        <w:trPr>
          <w:trHeight w:val="3168"/>
        </w:trPr>
        <w:tc>
          <w:tcPr>
            <w:tcW w:w="813" w:type="dxa"/>
            <w:tcBorders>
              <w:top w:val="nil"/>
              <w:left w:val="nil"/>
              <w:bottom w:val="nil"/>
              <w:right w:val="nil"/>
            </w:tcBorders>
            <w:vAlign w:val="center"/>
            <w:hideMark/>
          </w:tcPr>
          <w:p w14:paraId="23737673"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29</w:t>
            </w:r>
          </w:p>
        </w:tc>
        <w:tc>
          <w:tcPr>
            <w:tcW w:w="1411" w:type="dxa"/>
            <w:tcBorders>
              <w:top w:val="nil"/>
              <w:left w:val="nil"/>
              <w:bottom w:val="nil"/>
              <w:right w:val="nil"/>
            </w:tcBorders>
            <w:vAlign w:val="center"/>
            <w:hideMark/>
          </w:tcPr>
          <w:p w14:paraId="1F93DC64"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Veronese et al. (2017)</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&lt;EndNote&gt;&lt;Cite&gt;&lt;Author&gt;Veronese&lt;/Author&gt;&lt;Year&gt;2017&lt;/Year&gt;&lt;RecNum&gt;35&lt;/RecNum&gt;&lt;DisplayText&gt;[77]&lt;/DisplayText&gt;&lt;record&gt;&lt;rec-number&gt;35&lt;/rec-number&gt;&lt;foreign-keys&gt;&lt;key app="EN" db-id="eszd9vve00p9rte5r9dpw20vf5zfvadfs2df" timestamp="1782286664" guid="53f23ca1-26cb-40ee-b6bc-9877f0e8c753"&gt;35&lt;/key&gt;&lt;/foreign-keys&gt;&lt;ref-type name="Journal Article"&gt;17&lt;/ref-type&gt;&lt;contributors&gt;&lt;authors&gt;&lt;author&gt;Veronese, Simone&lt;/author&gt;&lt;author&gt;Gallo, G.&lt;/author&gt;&lt;author&gt;Valle, A.&lt;/author&gt;&lt;author&gt;Cugno, C.&lt;/author&gt;&lt;author&gt;Chiò, A.&lt;/author&gt;&lt;author&gt;Calvo, A.&lt;/author&gt;&lt;author&gt;Cavalla, P.&lt;/author&gt;&lt;author&gt;Zibetti, M.&lt;/author&gt;&lt;author&gt;Rivoiro, C.&lt;/author&gt;&lt;author&gt;Oliver, D. J.&lt;/author&gt;&lt;/authors&gt;&lt;/contributors&gt;&lt;titles&gt;&lt;title&gt;Specialist palliative care improves the quality of life in advanced neurodegenerative disorders: NE-PAL, a pilot randomised controlled study&lt;/title&gt;&lt;secondary-title&gt;BMJ Supportive &amp;amp; Palliative Care&lt;/secondary-title&gt;&lt;alt-title&gt;BMJ Support Palliat Care&lt;/alt-title&gt;&lt;short-title&gt;Specialist palliative care improves the quality of life in advanced neurodegenerative disorders&lt;/short-title&gt;&lt;/titles&gt;&lt;periodical&gt;&lt;full-title&gt;BMJ Supportive &amp;amp; Palliative Care&lt;/full-title&gt;&lt;abbr-1&gt;BMJ Support Palliat Care&lt;/abbr-1&gt;&lt;/periodical&gt;&lt;alt-periodical&gt;&lt;full-title&gt;BMJ Supportive &amp;amp; Palliative Care&lt;/full-title&gt;&lt;abbr-1&gt;BMJ Support Palliat Care&lt;/abbr-1&gt;&lt;/alt-periodical&gt;&lt;pages&gt;164-172&lt;/pages&gt;&lt;volume&gt;7&lt;/volume&gt;&lt;number&gt;2&lt;/number&gt;&lt;dates&gt;&lt;year&gt;2017&lt;/year&gt;&lt;pub-dates&gt;&lt;date&gt;2017/06//&lt;/date&gt;&lt;/pub-dates&gt;&lt;/dates&gt;&lt;pub-location&gt;England&lt;/pub-location&gt;&lt;isbn&gt;2045-435X, 2045-4368&lt;/isbn&gt;&lt;urls&gt;&lt;related-urls&gt;&lt;url&gt;https://spcare.bmj.com/lookup/doi/10.1136/bmjspcare-2014-000788&lt;/url&gt;&lt;/related-urls&gt;&lt;/urls&gt;&lt;electronic-resource-num&gt;10.1136/bmjspcare-2014-000788&lt;/electronic-resource-num&gt;&lt;remote-database-provider&gt;DOI.org (Crossref)&lt;/remote-database-provider&gt;&lt;language&gt;en&lt;/language&gt;&lt;access-date&gt;2026/05/06/09:53:22&lt;/access-date&gt;&lt;/record&gt;&lt;/Cite&gt;&lt;/EndNote&gt;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[77]</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067AAE2A"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Italy</w:t>
            </w:r>
          </w:p>
        </w:tc>
        <w:tc>
          <w:tcPr>
            <w:tcW w:w="1333" w:type="dxa"/>
            <w:tcBorders>
              <w:top w:val="nil"/>
              <w:left w:val="nil"/>
              <w:bottom w:val="nil"/>
              <w:right w:val="nil"/>
            </w:tcBorders>
            <w:vAlign w:val="center"/>
            <w:hideMark/>
          </w:tcPr>
          <w:p w14:paraId="2B783FD3"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Pilot randomised controlled study</w:t>
            </w:r>
          </w:p>
        </w:tc>
        <w:tc>
          <w:tcPr>
            <w:tcW w:w="1888" w:type="dxa"/>
            <w:tcBorders>
              <w:top w:val="nil"/>
              <w:left w:val="nil"/>
              <w:bottom w:val="nil"/>
              <w:right w:val="nil"/>
            </w:tcBorders>
            <w:vAlign w:val="center"/>
            <w:hideMark/>
          </w:tcPr>
          <w:p w14:paraId="3F354ED4"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Neurodegenerative disorders (NDD) including amyotrophic lateral sclerosis (ALS), motor neurone disease (MND), multiple sclerosis (MS), Parkinson's disease (PD) and related disorders (multiple system atrophy progressive supranuclear palsy, MSA-PSP)</w:t>
            </w:r>
          </w:p>
        </w:tc>
        <w:tc>
          <w:tcPr>
            <w:tcW w:w="1802" w:type="dxa"/>
            <w:tcBorders>
              <w:top w:val="nil"/>
              <w:left w:val="nil"/>
              <w:bottom w:val="nil"/>
              <w:right w:val="nil"/>
            </w:tcBorders>
            <w:vAlign w:val="center"/>
            <w:hideMark/>
          </w:tcPr>
          <w:p w14:paraId="7B1DF84C"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family members</w:t>
            </w:r>
          </w:p>
        </w:tc>
        <w:tc>
          <w:tcPr>
            <w:tcW w:w="1843" w:type="dxa"/>
            <w:tcBorders>
              <w:top w:val="nil"/>
              <w:left w:val="nil"/>
              <w:bottom w:val="nil"/>
              <w:right w:val="nil"/>
            </w:tcBorders>
            <w:vAlign w:val="center"/>
            <w:hideMark/>
          </w:tcPr>
          <w:p w14:paraId="47CB8148"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family members</w:t>
            </w:r>
          </w:p>
        </w:tc>
        <w:tc>
          <w:tcPr>
            <w:tcW w:w="2693" w:type="dxa"/>
            <w:tcBorders>
              <w:top w:val="nil"/>
              <w:left w:val="nil"/>
              <w:bottom w:val="nil"/>
              <w:right w:val="nil"/>
            </w:tcBorders>
            <w:vAlign w:val="center"/>
            <w:hideMark/>
          </w:tcPr>
          <w:p w14:paraId="652B82CB"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Schedule for the Evaluation of Individual Quality of Life Direct Weight (SEIQoL-DW), Hospital Anxiety and Depression Scale (HADS), Numerical Rating Scales (NRS) related to psychological issues (anxiety, depression, feeling abandoned, coping with the disease), social issues (social isolation, service satisfaction), and spiritual issues (meaning of the experience, help from faith), Caregiver Burden Inventory (CBI).</w:t>
            </w:r>
          </w:p>
        </w:tc>
        <w:tc>
          <w:tcPr>
            <w:tcW w:w="2460" w:type="dxa"/>
            <w:tcBorders>
              <w:top w:val="nil"/>
              <w:left w:val="nil"/>
              <w:bottom w:val="nil"/>
              <w:right w:val="nil"/>
            </w:tcBorders>
            <w:vAlign w:val="center"/>
            <w:hideMark/>
          </w:tcPr>
          <w:p w14:paraId="51458534"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Prognosis by clinical assessment (MS Expanded Disability Status scale ≥ 8.5, Hoehn and Yahr ≥ 4)</w:t>
            </w:r>
          </w:p>
        </w:tc>
      </w:tr>
      <w:tr w:rsidR="007121FC" w:rsidRPr="00A77932" w14:paraId="4186E907" w14:textId="77777777" w:rsidTr="00851E52">
        <w:trPr>
          <w:trHeight w:val="1440"/>
        </w:trPr>
        <w:tc>
          <w:tcPr>
            <w:tcW w:w="813" w:type="dxa"/>
            <w:tcBorders>
              <w:top w:val="nil"/>
              <w:left w:val="nil"/>
              <w:bottom w:val="nil"/>
              <w:right w:val="nil"/>
            </w:tcBorders>
            <w:vAlign w:val="center"/>
            <w:hideMark/>
          </w:tcPr>
          <w:p w14:paraId="62227D72"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30</w:t>
            </w:r>
          </w:p>
        </w:tc>
        <w:tc>
          <w:tcPr>
            <w:tcW w:w="1411" w:type="dxa"/>
            <w:tcBorders>
              <w:top w:val="nil"/>
              <w:left w:val="nil"/>
              <w:bottom w:val="nil"/>
              <w:right w:val="nil"/>
            </w:tcBorders>
            <w:vAlign w:val="center"/>
            <w:hideMark/>
          </w:tcPr>
          <w:p w14:paraId="603368BC"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Walker et al. (2025)</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&lt;EndNote&gt;&lt;Cite&gt;&lt;Author&gt;Walker&lt;/Author&gt;&lt;Year&gt;2025&lt;/Year&gt;&lt;RecNum&gt;51&lt;/RecNum&gt;&lt;DisplayText&gt;[79]&lt;/DisplayText&gt;&lt;record&gt;&lt;rec-number&gt;51&lt;/rec-number&gt;&lt;foreign-keys&gt;&lt;key app="EN" db-id="eszd9vve00p9rte5r9dpw20vf5zfvadfs2df" timestamp="1782286665" guid="af620f0d-013e-4214-986f-369fb292d12f"&gt;51&lt;/key&gt;&lt;/foreign-keys&gt;&lt;ref-type name="Journal Article"&gt;17&lt;/ref-type&gt;&lt;contributors&gt;&lt;authors&gt;&lt;author&gt;Walker, Ruth&lt;/author&gt;&lt;author&gt;Belperio, Irene&lt;/author&gt;&lt;author&gt;Devery, Kim&lt;/author&gt;&lt;author&gt;Morgan, Deidre D.&lt;/author&gt;&lt;author&gt;Rawlings, Deb&lt;/author&gt;&lt;author&gt;Raghavendra, Parimala&lt;/author&gt;&lt;/authors&gt;&lt;/contributors&gt;&lt;titles&gt;&lt;title&gt;End-of-life care for adults with long-standing physical disability from the perspectives of bereaved family members: a qualitative exploratory study&lt;/title&gt;&lt;secondary-title&gt;Disability &amp;amp; Society&lt;/secondary-title&gt;&lt;alt-title&gt;Disability &amp;amp; Society&lt;/alt-title&gt;&lt;short-title&gt;End-of-life care for adults with long-standing physical disability from the perspectives of bereaved family members&lt;/short-title&gt;&lt;/titles&gt;&lt;periodical&gt;&lt;full-title&gt;Disability &amp;amp; Society&lt;/full-title&gt;&lt;abbr-1&gt;Disability &amp;amp; Society&lt;/abbr-1&gt;&lt;/periodical&gt;&lt;alt-periodical&gt;&lt;full-title&gt;Disability &amp;amp; Society&lt;/full-title&gt;&lt;abbr-1&gt;Disability &amp;amp; Society&lt;/abbr-1&gt;&lt;/alt-periodical&gt;&lt;pages&gt;173-190&lt;/pages&gt;&lt;volume&gt;40&lt;/volume&gt;&lt;number&gt;1&lt;/number&gt;&lt;dates&gt;&lt;year&gt;2025&lt;/year&gt;&lt;pub-dates&gt;&lt;date&gt;2025/01/02/&lt;/date&gt;&lt;/pub-dates&gt;&lt;/dates&gt;&lt;pub-location&gt;Philadelphia, Pennsylvania&lt;/pub-location&gt;&lt;publisher&gt;Taylor &amp;amp; Francis Ltd&lt;/publisher&gt;&lt;isbn&gt;0968-7599, 1360-0508&lt;/isbn&gt;&lt;accession-num&gt;182209376&lt;/accession-num&gt;&lt;urls&gt;&lt;related-urls&gt;&lt;url&gt;https://www.tandfonline.com/doi/full/10.1080/09687599.2023.2279480&lt;/url&gt;&lt;/related-urls&gt;&lt;/urls&gt;&lt;electronic-resource-num&gt;10.1080/09687599.2023.2279480&lt;/electronic-resource-num&gt;&lt;remote-database-provider&gt;DOI.org (Crossref)&lt;/remote-database-provider&gt;&lt;language&gt;en&lt;/language&gt;&lt;access-date&gt;2026/05/06/09:57:47&lt;/access-date&gt;&lt;/record&gt;&lt;/Cite&gt;&lt;/EndNote&gt;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[79]</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nil"/>
              <w:right w:val="nil"/>
            </w:tcBorders>
            <w:vAlign w:val="center"/>
            <w:hideMark/>
          </w:tcPr>
          <w:p w14:paraId="2F45EAD6"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Australia</w:t>
            </w:r>
          </w:p>
        </w:tc>
        <w:tc>
          <w:tcPr>
            <w:tcW w:w="1333" w:type="dxa"/>
            <w:tcBorders>
              <w:top w:val="nil"/>
              <w:left w:val="nil"/>
              <w:bottom w:val="nil"/>
              <w:right w:val="nil"/>
            </w:tcBorders>
            <w:vAlign w:val="center"/>
            <w:hideMark/>
          </w:tcPr>
          <w:p w14:paraId="284ED4DB"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Qualitative study</w:t>
            </w:r>
          </w:p>
        </w:tc>
        <w:tc>
          <w:tcPr>
            <w:tcW w:w="1888" w:type="dxa"/>
            <w:tcBorders>
              <w:top w:val="nil"/>
              <w:left w:val="nil"/>
              <w:bottom w:val="nil"/>
              <w:right w:val="nil"/>
            </w:tcBorders>
            <w:vAlign w:val="center"/>
            <w:hideMark/>
          </w:tcPr>
          <w:p w14:paraId="7348A97A"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Long-standing physical disability including leukodystrophy, cystic fibrosis, muscular dystrophy (MD)</w:t>
            </w:r>
          </w:p>
        </w:tc>
        <w:tc>
          <w:tcPr>
            <w:tcW w:w="1802" w:type="dxa"/>
            <w:tcBorders>
              <w:top w:val="nil"/>
              <w:left w:val="nil"/>
              <w:bottom w:val="nil"/>
              <w:right w:val="nil"/>
            </w:tcBorders>
            <w:vAlign w:val="center"/>
            <w:hideMark/>
          </w:tcPr>
          <w:p w14:paraId="459A97F1"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PwPDs, family members</w:t>
            </w:r>
          </w:p>
        </w:tc>
        <w:tc>
          <w:tcPr>
            <w:tcW w:w="1843" w:type="dxa"/>
            <w:tcBorders>
              <w:top w:val="nil"/>
              <w:left w:val="nil"/>
              <w:bottom w:val="nil"/>
              <w:right w:val="nil"/>
            </w:tcBorders>
            <w:vAlign w:val="center"/>
            <w:hideMark/>
          </w:tcPr>
          <w:p w14:paraId="56C3E4AC"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Family members</w:t>
            </w:r>
          </w:p>
        </w:tc>
        <w:tc>
          <w:tcPr>
            <w:tcW w:w="2693" w:type="dxa"/>
            <w:tcBorders>
              <w:top w:val="nil"/>
              <w:left w:val="nil"/>
              <w:bottom w:val="nil"/>
              <w:right w:val="nil"/>
            </w:tcBorders>
            <w:vAlign w:val="center"/>
            <w:hideMark/>
          </w:tcPr>
          <w:p w14:paraId="34287872"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Semi-structured interviews on challenges, positives and support needs at end-of life care.</w:t>
            </w:r>
          </w:p>
        </w:tc>
        <w:tc>
          <w:tcPr>
            <w:tcW w:w="2460" w:type="dxa"/>
            <w:tcBorders>
              <w:top w:val="nil"/>
              <w:left w:val="nil"/>
              <w:bottom w:val="nil"/>
              <w:right w:val="nil"/>
            </w:tcBorders>
            <w:vAlign w:val="center"/>
            <w:hideMark/>
          </w:tcPr>
          <w:p w14:paraId="0FA17EB7"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Retrospective account of the deceased's last year of life</w:t>
            </w:r>
          </w:p>
        </w:tc>
      </w:tr>
      <w:tr w:rsidR="007121FC" w:rsidRPr="00A77932" w14:paraId="530FC66C" w14:textId="77777777" w:rsidTr="00851E52">
        <w:trPr>
          <w:trHeight w:val="864"/>
        </w:trPr>
        <w:tc>
          <w:tcPr>
            <w:tcW w:w="813" w:type="dxa"/>
            <w:tcBorders>
              <w:top w:val="nil"/>
              <w:left w:val="nil"/>
              <w:bottom w:val="single" w:sz="4" w:space="0" w:color="auto"/>
              <w:right w:val="nil"/>
            </w:tcBorders>
            <w:vAlign w:val="center"/>
            <w:hideMark/>
          </w:tcPr>
          <w:p w14:paraId="6FA6945F"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lastRenderedPageBreak/>
              <w:t>31</w:t>
            </w:r>
          </w:p>
        </w:tc>
        <w:tc>
          <w:tcPr>
            <w:tcW w:w="1411" w:type="dxa"/>
            <w:tcBorders>
              <w:top w:val="nil"/>
              <w:left w:val="nil"/>
              <w:bottom w:val="single" w:sz="4" w:space="0" w:color="auto"/>
              <w:right w:val="nil"/>
            </w:tcBorders>
            <w:vAlign w:val="center"/>
            <w:hideMark/>
          </w:tcPr>
          <w:p w14:paraId="6496F0C1"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Wilson et al. (2003)</w:t>
            </w:r>
            <w:r>
              <w:rPr>
                <w:rFonts w:ascii="Aptos Narrow" w:eastAsia="Times New Roman" w:hAnsi="Aptos Narrow" w:cs="Times New Roman"/>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fldChar w:fldCharType="begin"/>
            </w:r>
            <w:r>
              <w:rPr>
                <w:rFonts w:ascii="Aptos Narrow" w:eastAsia="Times New Roman" w:hAnsi="Aptos Narrow" w:cs="Times New Roman"/>
                <w:color w:val="000000"/>
                <w:kern w:val="0"/>
                <w:sz w:val="20"/>
                <w:szCs w:val="20"/>
                <w14:ligatures w14:val="none"/>
              </w:rPr>
              <w:instrText xml:space="preserve"> ADDIN EN.CITE &lt;EndNote&gt;&lt;Cite&gt;&lt;Author&gt;Wilson&lt;/Author&gt;&lt;Year&gt;2003&lt;/Year&gt;&lt;RecNum&gt;73&lt;/RecNum&gt;&lt;DisplayText&gt;[80]&lt;/DisplayText&gt;&lt;record&gt;&lt;rec-number&gt;73&lt;/rec-number&gt;&lt;foreign-keys&gt;&lt;key app="EN" db-id="eszd9vve00p9rte5r9dpw20vf5zfvadfs2df" timestamp="1782293533" guid="db14b7fe-e206-41fa-9f7a-424bf6a6ffe1"&gt;73&lt;/key&gt;&lt;/foreign-keys&gt;&lt;ref-type name="Thesis"&gt;32&lt;/ref-type&gt;&lt;contributors&gt;&lt;authors&gt;&lt;author&gt;Wilson, Elizabeth Hayes&lt;/author&gt;&lt;/authors&gt;&lt;/contributors&gt;&lt;titles&gt;&lt;title&gt;Psychosocial impact of having a severely disabling neuromuscular disease: A single case study.&lt;/title&gt;&lt;/titles&gt;&lt;dates&gt;&lt;year&gt;2003&lt;/year&gt;&lt;/dates&gt;&lt;publisher&gt;Massachusetts School of Professional Psychology&lt;/publisher&gt;&lt;isbn&gt;0496359886&lt;/isbn&gt;&lt;urls&gt;&lt;/urls&gt;&lt;/record&gt;&lt;/Cite&gt;&lt;/EndNote&gt;</w:instrText>
            </w:r>
            <w:r>
              <w:rPr>
                <w:rFonts w:ascii="Aptos Narrow" w:eastAsia="Times New Roman" w:hAnsi="Aptos Narrow" w:cs="Times New Roman"/>
                <w:color w:val="000000"/>
                <w:kern w:val="0"/>
                <w:sz w:val="20"/>
                <w:szCs w:val="20"/>
                <w14:ligatures w14:val="none"/>
              </w:rPr>
              <w:fldChar w:fldCharType="separate"/>
            </w:r>
            <w:r>
              <w:rPr>
                <w:rFonts w:ascii="Aptos Narrow" w:eastAsia="Times New Roman" w:hAnsi="Aptos Narrow" w:cs="Times New Roman"/>
                <w:noProof/>
                <w:color w:val="000000"/>
                <w:kern w:val="0"/>
                <w:sz w:val="20"/>
                <w:szCs w:val="20"/>
                <w14:ligatures w14:val="none"/>
              </w:rPr>
              <w:t>[80]</w:t>
            </w:r>
            <w:r>
              <w:rPr>
                <w:rFonts w:ascii="Aptos Narrow" w:eastAsia="Times New Roman" w:hAnsi="Aptos Narrow" w:cs="Times New Roman"/>
                <w:color w:val="000000"/>
                <w:kern w:val="0"/>
                <w:sz w:val="20"/>
                <w:szCs w:val="20"/>
                <w14:ligatures w14:val="none"/>
              </w:rPr>
              <w:fldChar w:fldCharType="end"/>
            </w:r>
          </w:p>
        </w:tc>
        <w:tc>
          <w:tcPr>
            <w:tcW w:w="1401" w:type="dxa"/>
            <w:tcBorders>
              <w:top w:val="nil"/>
              <w:left w:val="nil"/>
              <w:bottom w:val="single" w:sz="4" w:space="0" w:color="auto"/>
              <w:right w:val="nil"/>
            </w:tcBorders>
            <w:vAlign w:val="center"/>
            <w:hideMark/>
          </w:tcPr>
          <w:p w14:paraId="0D9EF9DA"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United States of America</w:t>
            </w:r>
          </w:p>
        </w:tc>
        <w:tc>
          <w:tcPr>
            <w:tcW w:w="1333" w:type="dxa"/>
            <w:tcBorders>
              <w:top w:val="nil"/>
              <w:left w:val="nil"/>
              <w:bottom w:val="nil"/>
              <w:right w:val="nil"/>
            </w:tcBorders>
            <w:vAlign w:val="center"/>
            <w:hideMark/>
          </w:tcPr>
          <w:p w14:paraId="26E3DC97"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Single case study (Qualitative)</w:t>
            </w:r>
          </w:p>
        </w:tc>
        <w:tc>
          <w:tcPr>
            <w:tcW w:w="1888" w:type="dxa"/>
            <w:tcBorders>
              <w:top w:val="nil"/>
              <w:left w:val="nil"/>
              <w:bottom w:val="single" w:sz="4" w:space="0" w:color="auto"/>
              <w:right w:val="nil"/>
            </w:tcBorders>
            <w:vAlign w:val="center"/>
            <w:hideMark/>
          </w:tcPr>
          <w:p w14:paraId="0E924FC5"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Spinal Muscular Atrophy type II</w:t>
            </w:r>
          </w:p>
        </w:tc>
        <w:tc>
          <w:tcPr>
            <w:tcW w:w="1802" w:type="dxa"/>
            <w:tcBorders>
              <w:top w:val="nil"/>
              <w:left w:val="nil"/>
              <w:bottom w:val="single" w:sz="4" w:space="0" w:color="auto"/>
              <w:right w:val="nil"/>
            </w:tcBorders>
            <w:vAlign w:val="center"/>
            <w:hideMark/>
          </w:tcPr>
          <w:p w14:paraId="1E0AF3E9"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PwPD</w:t>
            </w:r>
          </w:p>
        </w:tc>
        <w:tc>
          <w:tcPr>
            <w:tcW w:w="1843" w:type="dxa"/>
            <w:tcBorders>
              <w:top w:val="nil"/>
              <w:left w:val="nil"/>
              <w:bottom w:val="single" w:sz="4" w:space="0" w:color="auto"/>
              <w:right w:val="nil"/>
            </w:tcBorders>
            <w:vAlign w:val="center"/>
            <w:hideMark/>
          </w:tcPr>
          <w:p w14:paraId="253C0617"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Researcher; doctoral candidate in psychology</w:t>
            </w:r>
          </w:p>
        </w:tc>
        <w:tc>
          <w:tcPr>
            <w:tcW w:w="2693" w:type="dxa"/>
            <w:tcBorders>
              <w:top w:val="nil"/>
              <w:left w:val="nil"/>
              <w:bottom w:val="nil"/>
              <w:right w:val="nil"/>
            </w:tcBorders>
            <w:vAlign w:val="center"/>
            <w:hideMark/>
          </w:tcPr>
          <w:p w14:paraId="0AC26F09"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Narrative account of a patient's life</w:t>
            </w:r>
            <w:r>
              <w:rPr>
                <w:rFonts w:ascii="Aptos Narrow" w:eastAsia="Times New Roman" w:hAnsi="Aptos Narrow" w:cs="Times New Roman"/>
                <w:color w:val="000000"/>
                <w:kern w:val="0"/>
                <w:sz w:val="20"/>
                <w:szCs w:val="20"/>
                <w14:ligatures w14:val="none"/>
              </w:rPr>
              <w:t>.</w:t>
            </w:r>
          </w:p>
        </w:tc>
        <w:tc>
          <w:tcPr>
            <w:tcW w:w="2460" w:type="dxa"/>
            <w:tcBorders>
              <w:top w:val="nil"/>
              <w:left w:val="nil"/>
              <w:bottom w:val="single" w:sz="4" w:space="0" w:color="auto"/>
              <w:right w:val="nil"/>
            </w:tcBorders>
            <w:vAlign w:val="center"/>
            <w:hideMark/>
          </w:tcPr>
          <w:p w14:paraId="602A551B" w14:textId="77777777" w:rsidR="007121FC" w:rsidRPr="00A77932"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A77932">
              <w:rPr>
                <w:rFonts w:ascii="Aptos Narrow" w:eastAsia="Times New Roman" w:hAnsi="Aptos Narrow" w:cs="Times New Roman"/>
                <w:color w:val="000000"/>
                <w:kern w:val="0"/>
                <w:sz w:val="20"/>
                <w:szCs w:val="20"/>
                <w14:ligatures w14:val="none"/>
              </w:rPr>
              <w:t>Retrospective account of the deceased's last 2 months of life</w:t>
            </w:r>
          </w:p>
        </w:tc>
      </w:tr>
      <w:tr w:rsidR="007121FC" w:rsidRPr="00A77932" w14:paraId="5BE6D589" w14:textId="77777777" w:rsidTr="00851E52">
        <w:trPr>
          <w:trHeight w:val="1239"/>
        </w:trPr>
        <w:tc>
          <w:tcPr>
            <w:tcW w:w="15644" w:type="dxa"/>
            <w:gridSpan w:val="9"/>
            <w:tcBorders>
              <w:top w:val="single" w:sz="4" w:space="0" w:color="auto"/>
              <w:left w:val="nil"/>
              <w:bottom w:val="nil"/>
              <w:right w:val="nil"/>
            </w:tcBorders>
            <w:hideMark/>
          </w:tcPr>
          <w:p w14:paraId="1F3C005E" w14:textId="77777777" w:rsidR="007121FC" w:rsidRPr="00A77932" w:rsidRDefault="007121FC" w:rsidP="00851E52">
            <w:pPr>
              <w:spacing w:after="0" w:line="240" w:lineRule="auto"/>
              <w:rPr>
                <w:rFonts w:ascii="Aptos Narrow" w:eastAsia="Times New Roman" w:hAnsi="Aptos Narrow" w:cs="Times New Roman"/>
                <w:color w:val="000000"/>
                <w:kern w:val="0"/>
                <w:sz w:val="20"/>
                <w:szCs w:val="20"/>
                <w14:ligatures w14:val="none"/>
              </w:rPr>
            </w:pPr>
            <w:r w:rsidRPr="000C1E5C">
              <w:rPr>
                <w:rFonts w:ascii="Aptos Narrow" w:eastAsia="Times New Roman" w:hAnsi="Aptos Narrow" w:cs="Times New Roman"/>
                <w:color w:val="000000"/>
                <w:kern w:val="0"/>
                <w:sz w:val="16"/>
                <w:szCs w:val="16"/>
                <w14:ligatures w14:val="none"/>
              </w:rPr>
              <w:t xml:space="preserve">Note: Study designs were classified based on the MMAT. Only measurement tools related to psychosocial-spiritual outcomes were presented in the table (e.g., other measurement tools used to assess predictors or other outcomes were not presented). Unless explicitly stated, no validated measurement tool was utilised in the assessment of psychosocial-spiritual outcomes. </w:t>
            </w:r>
            <w:r w:rsidRPr="000C1E5C">
              <w:rPr>
                <w:rFonts w:ascii="Aptos Narrow" w:eastAsia="Times New Roman" w:hAnsi="Aptos Narrow" w:cs="Times New Roman"/>
                <w:color w:val="000000"/>
                <w:kern w:val="0"/>
                <w:sz w:val="16"/>
                <w:szCs w:val="16"/>
                <w14:ligatures w14:val="none"/>
              </w:rPr>
              <w:br/>
              <w:t>*Albert et al. (2009) and Rabkin et al. (2006) uses the same prospective ALS cohort, with different study objectives. Albert et al. (2009) focused on differences in medical and supportive service use between patients who elected long</w:t>
            </w:r>
            <w:r w:rsidRPr="000C1E5C">
              <w:rPr>
                <w:rFonts w:ascii="Aptos Narrow" w:eastAsia="Times New Roman" w:hAnsi="Aptos Narrow" w:cs="Times New Roman"/>
                <w:color w:val="000000"/>
                <w:kern w:val="0"/>
                <w:sz w:val="16"/>
                <w:szCs w:val="16"/>
                <w14:ligatures w14:val="none"/>
              </w:rPr>
              <w:noBreakHyphen/>
              <w:t>term mechanical ventilation (LTMV) and those that opted out and Rabkin et al. (2006) examined psychosocial and clinical predictors of choosing LTMV.</w:t>
            </w:r>
          </w:p>
        </w:tc>
      </w:tr>
    </w:tbl>
    <w:p w14:paraId="62E84B38" w14:textId="77777777" w:rsidR="007121FC" w:rsidRDefault="007121FC" w:rsidP="007121FC">
      <w:pPr>
        <w:rPr>
          <w:u w:val="single"/>
        </w:rPr>
      </w:pPr>
    </w:p>
    <w:p w14:paraId="38595EE0" w14:textId="77777777" w:rsidR="007121FC" w:rsidRDefault="007121FC" w:rsidP="007121FC">
      <w:pPr>
        <w:rPr>
          <w:u w:val="single"/>
        </w:rPr>
      </w:pPr>
    </w:p>
    <w:p w14:paraId="56A8304D" w14:textId="049A8E7F" w:rsidR="007121FC" w:rsidRDefault="007121FC" w:rsidP="007121FC">
      <w:pPr>
        <w:rPr>
          <w:u w:val="single"/>
        </w:rPr>
      </w:pPr>
      <w:r w:rsidRPr="00023224">
        <w:rPr>
          <w:u w:val="single"/>
        </w:rPr>
        <w:t>Table 2. Joint display of integrated findings</w:t>
      </w:r>
    </w:p>
    <w:tbl>
      <w:tblPr>
        <w:tblW w:w="16161" w:type="dxa"/>
        <w:tblInd w:w="-993" w:type="dxa"/>
        <w:tblBorders>
          <w:top w:val="nil"/>
          <w:left w:val="nil"/>
          <w:bottom w:val="nil"/>
          <w:right w:val="nil"/>
          <w:insideH w:val="nil"/>
          <w:insideV w:val="nil"/>
        </w:tblBorders>
        <w:tblLook w:val="04A0" w:firstRow="1" w:lastRow="0" w:firstColumn="1" w:lastColumn="0" w:noHBand="0" w:noVBand="1"/>
      </w:tblPr>
      <w:tblGrid>
        <w:gridCol w:w="2553"/>
        <w:gridCol w:w="5386"/>
        <w:gridCol w:w="5812"/>
        <w:gridCol w:w="2410"/>
      </w:tblGrid>
      <w:tr w:rsidR="007121FC" w:rsidRPr="00D47CE6" w14:paraId="5F601DB6" w14:textId="77777777" w:rsidTr="00851E52">
        <w:trPr>
          <w:trHeight w:val="576"/>
        </w:trPr>
        <w:tc>
          <w:tcPr>
            <w:tcW w:w="2553" w:type="dxa"/>
            <w:tcBorders>
              <w:top w:val="single" w:sz="8" w:space="0" w:color="000000" w:themeColor="text1"/>
              <w:left w:val="nil"/>
              <w:bottom w:val="single" w:sz="8" w:space="0" w:color="000000" w:themeColor="text1"/>
              <w:right w:val="nil"/>
            </w:tcBorders>
            <w:vAlign w:val="center"/>
            <w:hideMark/>
          </w:tcPr>
          <w:p w14:paraId="0D51DC82" w14:textId="77777777" w:rsidR="007121FC" w:rsidRDefault="007121FC" w:rsidP="00851E52">
            <w:pPr>
              <w:spacing w:after="0" w:line="240" w:lineRule="auto"/>
              <w:rPr>
                <w:rFonts w:ascii="Aptos Narrow" w:eastAsia="Times New Roman" w:hAnsi="Aptos Narrow" w:cs="Times New Roman"/>
                <w:b/>
                <w:bCs/>
                <w:color w:val="000000"/>
                <w:kern w:val="0"/>
                <w:sz w:val="20"/>
                <w:szCs w:val="20"/>
                <w14:ligatures w14:val="none"/>
              </w:rPr>
            </w:pPr>
            <w:r w:rsidRPr="00D47CE6">
              <w:rPr>
                <w:rFonts w:ascii="Aptos Narrow" w:eastAsia="Times New Roman" w:hAnsi="Aptos Narrow" w:cs="Times New Roman"/>
                <w:b/>
                <w:bCs/>
                <w:color w:val="000000"/>
                <w:kern w:val="0"/>
                <w:sz w:val="20"/>
                <w:szCs w:val="20"/>
                <w14:ligatures w14:val="none"/>
              </w:rPr>
              <w:t>Themes</w:t>
            </w:r>
          </w:p>
          <w:p w14:paraId="1885153C" w14:textId="77777777" w:rsidR="007121FC" w:rsidRPr="00D47CE6" w:rsidRDefault="007121FC" w:rsidP="00851E52">
            <w:pPr>
              <w:spacing w:after="0" w:line="240" w:lineRule="auto"/>
              <w:ind w:left="318"/>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S</w:t>
            </w:r>
            <w:r w:rsidRPr="00D47CE6">
              <w:rPr>
                <w:rFonts w:ascii="Aptos Narrow" w:eastAsia="Times New Roman" w:hAnsi="Aptos Narrow" w:cs="Times New Roman"/>
                <w:b/>
                <w:bCs/>
                <w:color w:val="000000"/>
                <w:kern w:val="0"/>
                <w:sz w:val="20"/>
                <w:szCs w:val="20"/>
                <w14:ligatures w14:val="none"/>
              </w:rPr>
              <w:t>ubthemes (needs of stakeholder)</w:t>
            </w:r>
          </w:p>
        </w:tc>
        <w:tc>
          <w:tcPr>
            <w:tcW w:w="5386" w:type="dxa"/>
            <w:tcBorders>
              <w:top w:val="single" w:sz="8" w:space="0" w:color="000000" w:themeColor="text1"/>
              <w:left w:val="nil"/>
              <w:bottom w:val="single" w:sz="8" w:space="0" w:color="000000" w:themeColor="text1"/>
              <w:right w:val="nil"/>
            </w:tcBorders>
            <w:vAlign w:val="center"/>
            <w:hideMark/>
          </w:tcPr>
          <w:p w14:paraId="448C6681"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sidRPr="00D47CE6">
              <w:rPr>
                <w:rFonts w:ascii="Aptos Narrow" w:eastAsia="Times New Roman" w:hAnsi="Aptos Narrow" w:cs="Times New Roman"/>
                <w:color w:val="000000"/>
                <w:kern w:val="0"/>
                <w:sz w:val="20"/>
                <w:szCs w:val="20"/>
                <w14:ligatures w14:val="none"/>
              </w:rPr>
              <w:t>Number of studies with qualitative evidence, with representative quotes and perspective captured</w:t>
            </w:r>
          </w:p>
        </w:tc>
        <w:tc>
          <w:tcPr>
            <w:tcW w:w="5812" w:type="dxa"/>
            <w:tcBorders>
              <w:top w:val="single" w:sz="8" w:space="0" w:color="000000" w:themeColor="text1"/>
              <w:left w:val="nil"/>
              <w:bottom w:val="single" w:sz="8" w:space="0" w:color="000000" w:themeColor="text1"/>
              <w:right w:val="nil"/>
            </w:tcBorders>
            <w:vAlign w:val="center"/>
            <w:hideMark/>
          </w:tcPr>
          <w:p w14:paraId="5945362F"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sidRPr="00D47CE6">
              <w:rPr>
                <w:rFonts w:ascii="Aptos Narrow" w:eastAsia="Times New Roman" w:hAnsi="Aptos Narrow" w:cs="Times New Roman"/>
                <w:color w:val="000000"/>
                <w:kern w:val="0"/>
                <w:sz w:val="20"/>
                <w:szCs w:val="20"/>
                <w14:ligatures w14:val="none"/>
              </w:rPr>
              <w:t xml:space="preserve">Number of studies with quantitative evidence, presented with textual descriptions </w:t>
            </w:r>
          </w:p>
        </w:tc>
        <w:tc>
          <w:tcPr>
            <w:tcW w:w="2410" w:type="dxa"/>
            <w:tcBorders>
              <w:top w:val="single" w:sz="8" w:space="0" w:color="000000" w:themeColor="text1"/>
              <w:left w:val="nil"/>
              <w:bottom w:val="single" w:sz="8" w:space="0" w:color="000000" w:themeColor="text1"/>
              <w:right w:val="nil"/>
            </w:tcBorders>
            <w:vAlign w:val="center"/>
            <w:hideMark/>
          </w:tcPr>
          <w:p w14:paraId="4F3C8250"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sidRPr="00D47CE6">
              <w:rPr>
                <w:rFonts w:ascii="Aptos Narrow" w:eastAsia="Times New Roman" w:hAnsi="Aptos Narrow" w:cs="Times New Roman"/>
                <w:color w:val="000000"/>
                <w:kern w:val="0"/>
                <w:sz w:val="20"/>
                <w:szCs w:val="20"/>
                <w14:ligatures w14:val="none"/>
              </w:rPr>
              <w:t>Integration: Confirmation, Expansion or Discordance</w:t>
            </w:r>
          </w:p>
        </w:tc>
      </w:tr>
      <w:tr w:rsidR="007121FC" w:rsidRPr="00D47CE6" w14:paraId="3608CFBC" w14:textId="77777777" w:rsidTr="00851E52">
        <w:trPr>
          <w:trHeight w:val="288"/>
        </w:trPr>
        <w:tc>
          <w:tcPr>
            <w:tcW w:w="2553" w:type="dxa"/>
            <w:tcBorders>
              <w:top w:val="nil"/>
              <w:left w:val="nil"/>
              <w:bottom w:val="nil"/>
              <w:right w:val="nil"/>
            </w:tcBorders>
            <w:hideMark/>
          </w:tcPr>
          <w:p w14:paraId="0560C97B" w14:textId="77777777" w:rsidR="007121FC" w:rsidRPr="00D47CE6" w:rsidRDefault="007121FC" w:rsidP="00851E52">
            <w:pPr>
              <w:spacing w:after="0" w:line="240" w:lineRule="auto"/>
              <w:rPr>
                <w:rFonts w:ascii="Aptos Narrow" w:eastAsia="Times New Roman" w:hAnsi="Aptos Narrow" w:cs="Times New Roman"/>
                <w:b/>
                <w:bCs/>
                <w:color w:val="000000"/>
                <w:kern w:val="0"/>
                <w:sz w:val="20"/>
                <w:szCs w:val="20"/>
                <w14:ligatures w14:val="none"/>
              </w:rPr>
            </w:pPr>
            <w:r w:rsidRPr="00D47CE6">
              <w:rPr>
                <w:rFonts w:ascii="Aptos Narrow" w:eastAsia="Times New Roman" w:hAnsi="Aptos Narrow" w:cs="Times New Roman"/>
                <w:b/>
                <w:bCs/>
                <w:color w:val="000000"/>
                <w:kern w:val="0"/>
                <w:sz w:val="20"/>
                <w:szCs w:val="20"/>
                <w14:ligatures w14:val="none"/>
              </w:rPr>
              <w:t>Psychological Needs</w:t>
            </w:r>
          </w:p>
        </w:tc>
        <w:tc>
          <w:tcPr>
            <w:tcW w:w="5386" w:type="dxa"/>
            <w:tcBorders>
              <w:top w:val="nil"/>
              <w:left w:val="nil"/>
              <w:bottom w:val="nil"/>
              <w:right w:val="nil"/>
            </w:tcBorders>
            <w:noWrap/>
            <w:hideMark/>
          </w:tcPr>
          <w:p w14:paraId="6D1E188C" w14:textId="77777777" w:rsidR="007121FC" w:rsidRPr="00D47CE6" w:rsidRDefault="007121FC" w:rsidP="00851E52">
            <w:pPr>
              <w:spacing w:after="0" w:line="240" w:lineRule="auto"/>
              <w:rPr>
                <w:rFonts w:ascii="Aptos Narrow" w:eastAsia="Times New Roman" w:hAnsi="Aptos Narrow" w:cs="Times New Roman"/>
                <w:b/>
                <w:bCs/>
                <w:color w:val="000000"/>
                <w:kern w:val="0"/>
                <w:sz w:val="20"/>
                <w:szCs w:val="20"/>
                <w14:ligatures w14:val="none"/>
              </w:rPr>
            </w:pPr>
          </w:p>
        </w:tc>
        <w:tc>
          <w:tcPr>
            <w:tcW w:w="5812" w:type="dxa"/>
            <w:tcBorders>
              <w:top w:val="nil"/>
              <w:left w:val="nil"/>
              <w:bottom w:val="nil"/>
              <w:right w:val="nil"/>
            </w:tcBorders>
            <w:hideMark/>
          </w:tcPr>
          <w:p w14:paraId="36A09AC9" w14:textId="77777777" w:rsidR="007121FC" w:rsidRPr="00D47CE6" w:rsidRDefault="007121FC" w:rsidP="00851E52">
            <w:pPr>
              <w:spacing w:after="0" w:line="240" w:lineRule="auto"/>
              <w:rPr>
                <w:rFonts w:ascii="Times New Roman" w:eastAsia="Times New Roman" w:hAnsi="Times New Roman" w:cs="Times New Roman"/>
                <w:kern w:val="0"/>
                <w:sz w:val="20"/>
                <w:szCs w:val="20"/>
                <w14:ligatures w14:val="none"/>
              </w:rPr>
            </w:pPr>
          </w:p>
        </w:tc>
        <w:tc>
          <w:tcPr>
            <w:tcW w:w="2410" w:type="dxa"/>
            <w:tcBorders>
              <w:top w:val="nil"/>
              <w:left w:val="nil"/>
              <w:bottom w:val="nil"/>
              <w:right w:val="nil"/>
            </w:tcBorders>
            <w:noWrap/>
            <w:hideMark/>
          </w:tcPr>
          <w:p w14:paraId="4A5EE876" w14:textId="77777777" w:rsidR="007121FC" w:rsidRPr="00D47CE6" w:rsidRDefault="007121FC" w:rsidP="00851E52">
            <w:pPr>
              <w:spacing w:after="0" w:line="240" w:lineRule="auto"/>
              <w:rPr>
                <w:rFonts w:ascii="Times New Roman" w:eastAsia="Times New Roman" w:hAnsi="Times New Roman" w:cs="Times New Roman"/>
                <w:kern w:val="0"/>
                <w:sz w:val="20"/>
                <w:szCs w:val="20"/>
                <w14:ligatures w14:val="none"/>
              </w:rPr>
            </w:pPr>
          </w:p>
        </w:tc>
      </w:tr>
      <w:tr w:rsidR="007121FC" w:rsidRPr="00D47CE6" w14:paraId="7FA192A8" w14:textId="77777777" w:rsidTr="00851E52">
        <w:trPr>
          <w:trHeight w:val="3744"/>
        </w:trPr>
        <w:tc>
          <w:tcPr>
            <w:tcW w:w="2553" w:type="dxa"/>
            <w:tcBorders>
              <w:top w:val="nil"/>
              <w:left w:val="nil"/>
              <w:bottom w:val="nil"/>
              <w:right w:val="nil"/>
            </w:tcBorders>
            <w:hideMark/>
          </w:tcPr>
          <w:p w14:paraId="0B16231C" w14:textId="77777777" w:rsidR="007121FC" w:rsidRPr="00D47CE6" w:rsidRDefault="007121FC" w:rsidP="00851E52">
            <w:pPr>
              <w:spacing w:after="0" w:line="240" w:lineRule="auto"/>
              <w:ind w:left="318"/>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Loss of autonomy (PwPD)</w:t>
            </w:r>
            <w:r>
              <w:rPr>
                <w:rFonts w:ascii="Aptos Narrow" w:eastAsia="Times New Roman" w:hAnsi="Aptos Narrow" w:cs="Times New Roman"/>
                <w:b/>
                <w:bCs/>
                <w:color w:val="000000"/>
                <w:kern w:val="0"/>
                <w:sz w:val="20"/>
                <w:szCs w:val="20"/>
                <w14:ligatures w14:val="none"/>
              </w:rPr>
              <w:br/>
            </w:r>
            <w:r>
              <w:rPr>
                <w:rFonts w:ascii="Aptos Narrow" w:eastAsia="Times New Roman" w:hAnsi="Aptos Narrow" w:cs="Times New Roman"/>
                <w:color w:val="000000"/>
                <w:kern w:val="0"/>
                <w:sz w:val="20"/>
                <w:szCs w:val="20"/>
                <w14:ligatures w14:val="none"/>
              </w:rPr>
              <w:t>(K = 14; [57, 58, 60, 61, 64, 66-68, 70, 72, 74, 76, 78, 80])</w:t>
            </w:r>
          </w:p>
        </w:tc>
        <w:tc>
          <w:tcPr>
            <w:tcW w:w="5386" w:type="dxa"/>
            <w:tcBorders>
              <w:top w:val="nil"/>
              <w:left w:val="nil"/>
              <w:bottom w:val="nil"/>
              <w:right w:val="nil"/>
            </w:tcBorders>
            <w:hideMark/>
          </w:tcPr>
          <w:p w14:paraId="6B4DAB68"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K = 9 [57, 61, 66, 68, 70, 72, 74, 78, 80]</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•Besides securing the help, the patients talked about the problem to accept their own dependence on others’ help: ‘‘I eat in such a way that they cut everything in pieces for me, I get a bib .. . I can’t wash myself, I can’t use the restroom. I was given nappies for peeing and when I need to take poop they had to take me there ... These are so intimate things (cry), it’s humiliating .. . ’’</w:t>
            </w:r>
            <w:r>
              <w:rPr>
                <w:rFonts w:ascii="Aptos Narrow" w:eastAsia="Times New Roman" w:hAnsi="Aptos Narrow" w:cs="Times New Roman"/>
                <w:color w:val="000000"/>
                <w:kern w:val="0"/>
                <w:sz w:val="20"/>
                <w:szCs w:val="20"/>
                <w14:ligatures w14:val="none"/>
              </w:rPr>
              <w:t xml:space="preserve"> [57]</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 xml:space="preserve">•"We can’t leave him alone. Today is a good day for him, but often he has sudden worsening and requires constant attendance. For instance he can’t swallow saliva, so frequently he chokes and we have to aspirate his mouth" </w:t>
            </w:r>
            <w:r>
              <w:rPr>
                <w:rFonts w:ascii="Aptos Narrow" w:eastAsia="Times New Roman" w:hAnsi="Aptos Narrow" w:cs="Times New Roman"/>
                <w:color w:val="000000"/>
                <w:kern w:val="0"/>
                <w:sz w:val="20"/>
                <w:szCs w:val="20"/>
                <w14:ligatures w14:val="none"/>
              </w:rPr>
              <w:t xml:space="preserve">(Caregiver) [78]. </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 xml:space="preserve">•For patients with life-limiting neurologic disease, the primary source of existential distress may not be death, but the progressive and irreversible loss of function and autonomy: “I ﬁnd some of the progressive neurological diseases that unfold, over years or decades, those are the one that I see in the patients, more of a struggle with loss of control.” </w:t>
            </w:r>
            <w:r>
              <w:rPr>
                <w:rFonts w:ascii="Aptos Narrow" w:eastAsia="Times New Roman" w:hAnsi="Aptos Narrow" w:cs="Times New Roman"/>
                <w:color w:val="000000"/>
                <w:kern w:val="0"/>
                <w:sz w:val="20"/>
                <w:szCs w:val="20"/>
                <w14:ligatures w14:val="none"/>
              </w:rPr>
              <w:t>(HCP) [66].</w:t>
            </w:r>
          </w:p>
        </w:tc>
        <w:tc>
          <w:tcPr>
            <w:tcW w:w="5812" w:type="dxa"/>
            <w:tcBorders>
              <w:top w:val="nil"/>
              <w:left w:val="nil"/>
              <w:bottom w:val="nil"/>
              <w:right w:val="nil"/>
            </w:tcBorders>
            <w:hideMark/>
          </w:tcPr>
          <w:p w14:paraId="1DB5A480"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K = 5 [58, 60, 64, 67, 76]</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kern w:val="0"/>
                <w:sz w:val="20"/>
                <w:szCs w:val="20"/>
                <w14:ligatures w14:val="none"/>
              </w:rPr>
              <w:t xml:space="preserve">•Global QoL (PNDQoL) was predicted by lower functional state (EDSS) in MS patients [58]. </w:t>
            </w:r>
            <w:r>
              <w:rPr>
                <w:rFonts w:ascii="Aptos Narrow" w:eastAsia="Times New Roman" w:hAnsi="Aptos Narrow" w:cs="Times New Roman"/>
                <w:color w:val="000000"/>
                <w:kern w:val="0"/>
                <w:sz w:val="20"/>
                <w:szCs w:val="20"/>
                <w14:ligatures w14:val="none"/>
              </w:rPr>
              <w:br/>
              <w:t xml:space="preserve">•All MSA patients reported that they had difficulties in moving such as problems with balance, coordination, tremor, slowness or stiffness, 97 % had experienced autonomic problems with the bladder or bowel, temperature control, sexual dysfunction or blood pressure, and 96 % reported difficulty with breathing, speech or swallowing. 9% reported ventilatory support, 5% were PEG-fed and 1 % had a tracheostomy. [60]. </w:t>
            </w:r>
            <w:r>
              <w:rPr>
                <w:rFonts w:ascii="Aptos Narrow" w:eastAsia="Times New Roman" w:hAnsi="Aptos Narrow" w:cs="Times New Roman"/>
                <w:color w:val="000000"/>
                <w:kern w:val="0"/>
                <w:sz w:val="20"/>
                <w:szCs w:val="20"/>
                <w14:ligatures w14:val="none"/>
              </w:rPr>
              <w:br/>
              <w:t xml:space="preserve">• </w:t>
            </w:r>
            <w:r w:rsidRPr="00DE146E">
              <w:rPr>
                <w:rFonts w:ascii="Aptos Narrow" w:eastAsia="Times New Roman" w:hAnsi="Aptos Narrow" w:cs="Times New Roman"/>
                <w:color w:val="000000"/>
                <w:kern w:val="0"/>
                <w:sz w:val="20"/>
                <w:szCs w:val="20"/>
                <w14:ligatures w14:val="none"/>
              </w:rPr>
              <w:t xml:space="preserve">73.3% of stroke patients retained the ability to self-determine until the last days of life; 20.6% did not retain this ability and 6.1% had unknown self-determination status. Retention of self-determination was comparable between stroke (73.3%) and cancer patients (74.3%) (OR = 0.93, 95% CI 0.78-1.11; </w:t>
            </w:r>
            <w:r w:rsidRPr="007B2281">
              <w:rPr>
                <w:rFonts w:ascii="Aptos Narrow" w:eastAsia="Times New Roman" w:hAnsi="Aptos Narrow" w:cs="Times New Roman"/>
                <w:i/>
                <w:iCs/>
                <w:color w:val="000000"/>
                <w:kern w:val="0"/>
                <w:sz w:val="20"/>
                <w:szCs w:val="20"/>
                <w14:ligatures w14:val="none"/>
              </w:rPr>
              <w:t>p=</w:t>
            </w:r>
            <w:r w:rsidRPr="00DE146E">
              <w:rPr>
                <w:rFonts w:ascii="Aptos Narrow" w:eastAsia="Times New Roman" w:hAnsi="Aptos Narrow" w:cs="Times New Roman"/>
                <w:color w:val="000000"/>
                <w:kern w:val="0"/>
                <w:sz w:val="20"/>
                <w:szCs w:val="20"/>
                <w14:ligatures w14:val="none"/>
              </w:rPr>
              <w:t xml:space="preserve">0.453) </w:t>
            </w:r>
            <w:r>
              <w:rPr>
                <w:rFonts w:ascii="Aptos Narrow" w:eastAsia="Times New Roman" w:hAnsi="Aptos Narrow" w:cs="Times New Roman"/>
                <w:color w:val="000000"/>
                <w:kern w:val="0"/>
                <w:sz w:val="20"/>
                <w:szCs w:val="20"/>
                <w14:ligatures w14:val="none"/>
              </w:rPr>
              <w:t xml:space="preserve">[64]. </w:t>
            </w:r>
            <w:r>
              <w:rPr>
                <w:rFonts w:ascii="Aptos Narrow" w:eastAsia="Times New Roman" w:hAnsi="Aptos Narrow" w:cs="Times New Roman"/>
                <w:color w:val="000000"/>
                <w:kern w:val="0"/>
                <w:sz w:val="20"/>
                <w:szCs w:val="20"/>
                <w14:ligatures w14:val="none"/>
              </w:rPr>
              <w:br/>
              <w:t xml:space="preserve">•HRQOL (PDQ-39) correlated most strongly with reduced activities of daily living (Barthel Index: r=–0.69; MDS-UPDRS II: r=0.66), and was also significantly associated with motor impairment (MDS-UPDRS III: r=0.46) in those with PD [67]. </w:t>
            </w:r>
            <w:r>
              <w:rPr>
                <w:rFonts w:ascii="Aptos Narrow" w:eastAsia="Times New Roman" w:hAnsi="Aptos Narrow" w:cs="Times New Roman"/>
                <w:color w:val="000000"/>
                <w:kern w:val="0"/>
                <w:sz w:val="20"/>
                <w:szCs w:val="20"/>
                <w14:ligatures w14:val="none"/>
              </w:rPr>
              <w:br/>
              <w:t>•Severe/overwhelming anxiety was more commonly reported for MND patients with severe functional impairment than those experiencing mild or moderate functional impairments (</w:t>
            </w:r>
            <w:r w:rsidRPr="007B2281">
              <w:rPr>
                <w:rFonts w:ascii="Aptos Narrow" w:eastAsia="Times New Roman" w:hAnsi="Aptos Narrow" w:cs="Times New Roman"/>
                <w:i/>
                <w:iCs/>
                <w:color w:val="000000"/>
                <w:kern w:val="0"/>
                <w:sz w:val="20"/>
                <w:szCs w:val="20"/>
                <w14:ligatures w14:val="none"/>
              </w:rPr>
              <w:t>p=</w:t>
            </w:r>
            <w:r>
              <w:rPr>
                <w:rFonts w:ascii="Aptos Narrow" w:eastAsia="Times New Roman" w:hAnsi="Aptos Narrow" w:cs="Times New Roman"/>
                <w:color w:val="000000"/>
                <w:kern w:val="0"/>
                <w:sz w:val="20"/>
                <w:szCs w:val="20"/>
                <w14:ligatures w14:val="none"/>
              </w:rPr>
              <w:t>0.036) [76].</w:t>
            </w:r>
          </w:p>
        </w:tc>
        <w:tc>
          <w:tcPr>
            <w:tcW w:w="2410" w:type="dxa"/>
            <w:tcBorders>
              <w:top w:val="nil"/>
              <w:left w:val="nil"/>
              <w:bottom w:val="nil"/>
              <w:right w:val="nil"/>
            </w:tcBorders>
            <w:hideMark/>
          </w:tcPr>
          <w:p w14:paraId="5C7495BE"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sidRPr="00D47CE6">
              <w:rPr>
                <w:rFonts w:ascii="Aptos Narrow" w:eastAsia="Times New Roman" w:hAnsi="Aptos Narrow" w:cs="Times New Roman"/>
                <w:color w:val="000000"/>
                <w:kern w:val="0"/>
                <w:sz w:val="20"/>
                <w:szCs w:val="20"/>
                <w14:ligatures w14:val="none"/>
              </w:rPr>
              <w:t xml:space="preserve">Confirmation. </w:t>
            </w:r>
            <w:r w:rsidRPr="00D47CE6">
              <w:rPr>
                <w:rFonts w:ascii="Aptos Narrow" w:eastAsia="Times New Roman" w:hAnsi="Aptos Narrow" w:cs="Times New Roman"/>
                <w:color w:val="000000"/>
                <w:kern w:val="0"/>
                <w:sz w:val="20"/>
                <w:szCs w:val="20"/>
                <w14:ligatures w14:val="none"/>
              </w:rPr>
              <w:br/>
              <w:t>Qualitative experiences of loss of autonomy were corroborated by quantitative evidence whereby functional impairmen</w:t>
            </w:r>
            <w:r>
              <w:rPr>
                <w:rFonts w:ascii="Aptos Narrow" w:eastAsia="Times New Roman" w:hAnsi="Aptos Narrow" w:cs="Times New Roman"/>
                <w:color w:val="000000"/>
                <w:kern w:val="0"/>
                <w:sz w:val="20"/>
                <w:szCs w:val="20"/>
                <w14:ligatures w14:val="none"/>
              </w:rPr>
              <w:t>t</w:t>
            </w:r>
            <w:r w:rsidRPr="00D47CE6">
              <w:rPr>
                <w:rFonts w:ascii="Aptos Narrow" w:eastAsia="Times New Roman" w:hAnsi="Aptos Narrow" w:cs="Times New Roman"/>
                <w:color w:val="000000"/>
                <w:kern w:val="0"/>
                <w:sz w:val="20"/>
                <w:szCs w:val="20"/>
                <w14:ligatures w14:val="none"/>
              </w:rPr>
              <w:t xml:space="preserve"> was associated with reduced quality of life or greater psychological distress.</w:t>
            </w:r>
          </w:p>
        </w:tc>
      </w:tr>
      <w:tr w:rsidR="007121FC" w:rsidRPr="00D47CE6" w14:paraId="42C98FF5" w14:textId="77777777" w:rsidTr="00851E52">
        <w:trPr>
          <w:trHeight w:val="8192"/>
        </w:trPr>
        <w:tc>
          <w:tcPr>
            <w:tcW w:w="2553" w:type="dxa"/>
            <w:tcBorders>
              <w:top w:val="nil"/>
              <w:left w:val="nil"/>
              <w:bottom w:val="nil"/>
              <w:right w:val="nil"/>
            </w:tcBorders>
            <w:hideMark/>
          </w:tcPr>
          <w:p w14:paraId="748421CD" w14:textId="77777777" w:rsidR="007121FC" w:rsidRPr="00D47CE6" w:rsidRDefault="007121FC" w:rsidP="00851E52">
            <w:pPr>
              <w:spacing w:after="0" w:line="240" w:lineRule="auto"/>
              <w:ind w:left="318"/>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b/>
                <w:bCs/>
                <w:color w:val="000000"/>
                <w:kern w:val="0"/>
                <w:sz w:val="20"/>
                <w:szCs w:val="20"/>
                <w14:ligatures w14:val="none"/>
              </w:rPr>
              <w:lastRenderedPageBreak/>
              <w:t>Psychological distress (PwPD, caregiver, HCP)</w:t>
            </w:r>
            <w:r>
              <w:rPr>
                <w:rFonts w:ascii="Aptos Narrow" w:eastAsia="Times New Roman" w:hAnsi="Aptos Narrow" w:cs="Times New Roman"/>
                <w:b/>
                <w:bCs/>
                <w:color w:val="000000"/>
                <w:kern w:val="0"/>
                <w:sz w:val="20"/>
                <w:szCs w:val="20"/>
                <w14:ligatures w14:val="none"/>
              </w:rPr>
              <w:br/>
            </w:r>
            <w:r>
              <w:rPr>
                <w:rFonts w:ascii="Aptos Narrow" w:eastAsia="Times New Roman" w:hAnsi="Aptos Narrow" w:cs="Times New Roman"/>
                <w:color w:val="000000"/>
                <w:kern w:val="0"/>
                <w:sz w:val="20"/>
                <w:szCs w:val="20"/>
                <w14:ligatures w14:val="none"/>
              </w:rPr>
              <w:t>(K = 25; [27, 39, 52, 53, 55, 57, 58, 60, 62-76, 78, 80])</w:t>
            </w:r>
          </w:p>
        </w:tc>
        <w:tc>
          <w:tcPr>
            <w:tcW w:w="5386" w:type="dxa"/>
            <w:tcBorders>
              <w:top w:val="nil"/>
              <w:left w:val="nil"/>
              <w:bottom w:val="nil"/>
              <w:right w:val="nil"/>
            </w:tcBorders>
            <w:hideMark/>
          </w:tcPr>
          <w:p w14:paraId="0C11AF89"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K = 14 [27, 52, 57, 62, 63, 66, 68, 70-74, 78, 80]</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•Experiencing negative emotions was often linked to the emotions of the family: ‘‘I could see that they were not happy (the family) and therefore I was also unhappy."</w:t>
            </w:r>
            <w:r>
              <w:rPr>
                <w:rFonts w:ascii="Aptos Narrow" w:eastAsia="Times New Roman" w:hAnsi="Aptos Narrow" w:cs="Times New Roman"/>
                <w:color w:val="000000"/>
                <w:kern w:val="0"/>
                <w:sz w:val="20"/>
                <w:szCs w:val="20"/>
                <w14:ligatures w14:val="none"/>
              </w:rPr>
              <w:t xml:space="preserve"> (PwPD) [57].</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•Many expressed fear of future symptoms, especially when they were dependent on life sustaining interventions, such as a ventilator: "I’m really worried about the future. I think about tomorrow, how will it finish?"</w:t>
            </w:r>
            <w:r>
              <w:rPr>
                <w:rFonts w:ascii="Aptos Narrow" w:eastAsia="Times New Roman" w:hAnsi="Aptos Narrow" w:cs="Times New Roman"/>
                <w:color w:val="000000"/>
                <w:kern w:val="0"/>
                <w:sz w:val="20"/>
                <w:szCs w:val="20"/>
                <w14:ligatures w14:val="none"/>
              </w:rPr>
              <w:t xml:space="preserve"> (PwPD) [78].</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•"All night you would have heard her (PwPD) moaning because she didn’t want to go to sleep..... I think it was more fear than pain".</w:t>
            </w:r>
            <w:r>
              <w:rPr>
                <w:rFonts w:ascii="Aptos Narrow" w:eastAsia="Times New Roman" w:hAnsi="Aptos Narrow" w:cs="Times New Roman"/>
                <w:color w:val="000000"/>
                <w:kern w:val="0"/>
                <w:sz w:val="20"/>
                <w:szCs w:val="20"/>
                <w14:ligatures w14:val="none"/>
              </w:rPr>
              <w:t xml:space="preserve"> (Caregiver) [70]. </w:t>
            </w:r>
            <w:r>
              <w:rPr>
                <w:rFonts w:ascii="Aptos Narrow" w:eastAsia="Times New Roman" w:hAnsi="Aptos Narrow" w:cs="Times New Roman"/>
                <w:color w:val="000000"/>
                <w:kern w:val="0"/>
                <w:sz w:val="20"/>
                <w:szCs w:val="20"/>
                <w14:ligatures w14:val="none"/>
              </w:rPr>
              <w:br/>
              <w:t>•"</w:t>
            </w:r>
            <w:r>
              <w:rPr>
                <w:rFonts w:ascii="Aptos Narrow" w:eastAsia="Times New Roman" w:hAnsi="Aptos Narrow" w:cs="Times New Roman"/>
                <w:i/>
                <w:iCs/>
                <w:color w:val="000000"/>
                <w:kern w:val="0"/>
                <w:sz w:val="20"/>
                <w:szCs w:val="20"/>
                <w14:ligatures w14:val="none"/>
              </w:rPr>
              <w:t>You don't just want someone (therapist) who's going to be a passive listener, you want them to have some kind of insight into what you're talking about... they're not giving anything back because they have no idea about Duchenne</w:t>
            </w:r>
            <w:r>
              <w:rPr>
                <w:rFonts w:ascii="Aptos Narrow" w:eastAsia="Times New Roman" w:hAnsi="Aptos Narrow" w:cs="Times New Roman"/>
                <w:color w:val="000000"/>
                <w:kern w:val="0"/>
                <w:sz w:val="20"/>
                <w:szCs w:val="20"/>
                <w14:ligatures w14:val="none"/>
              </w:rPr>
              <w:t>" (PwPD) [52].</w:t>
            </w:r>
            <w:r>
              <w:rPr>
                <w:rFonts w:ascii="Aptos Narrow" w:eastAsia="Times New Roman" w:hAnsi="Aptos Narrow" w:cs="Times New Roman"/>
                <w:color w:val="000000"/>
                <w:kern w:val="0"/>
                <w:sz w:val="20"/>
                <w:szCs w:val="20"/>
                <w14:ligatures w14:val="none"/>
              </w:rPr>
              <w:br/>
              <w:t>•</w:t>
            </w:r>
            <w:r>
              <w:rPr>
                <w:rFonts w:ascii="Aptos Narrow" w:eastAsia="Times New Roman" w:hAnsi="Aptos Narrow" w:cs="Times New Roman"/>
                <w:i/>
                <w:iCs/>
                <w:color w:val="000000"/>
                <w:kern w:val="0"/>
                <w:sz w:val="20"/>
                <w:szCs w:val="20"/>
                <w14:ligatures w14:val="none"/>
              </w:rPr>
              <w:t>“The biggest burden is watching her leave, and slowly but surely inch by inch, and having to deal with the psychological effects of that."</w:t>
            </w:r>
            <w:r>
              <w:rPr>
                <w:rFonts w:ascii="Aptos Narrow" w:eastAsia="Times New Roman" w:hAnsi="Aptos Narrow" w:cs="Times New Roman"/>
                <w:color w:val="000000"/>
                <w:kern w:val="0"/>
                <w:sz w:val="20"/>
                <w:szCs w:val="20"/>
                <w14:ligatures w14:val="none"/>
              </w:rPr>
              <w:t xml:space="preserve"> (Caregiver) [66].</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•His wife was frequently overwhelmed with her husband’s deteriorating cognitive and motor abilities. She wanted as much emotional support as did the patient.</w:t>
            </w:r>
            <w:r>
              <w:rPr>
                <w:rFonts w:ascii="Aptos Narrow" w:eastAsia="Times New Roman" w:hAnsi="Aptos Narrow" w:cs="Times New Roman"/>
                <w:color w:val="000000"/>
                <w:kern w:val="0"/>
                <w:sz w:val="20"/>
                <w:szCs w:val="20"/>
                <w14:ligatures w14:val="none"/>
              </w:rPr>
              <w:t xml:space="preserve"> (Researcher) [74].</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 xml:space="preserve">•Disability support workers without adequate training or preparation may withdraw emotionally and psychologically from a client that they have cared for following a terminal diagnosis..."people become very anxious when they don’t know what to expect or they don’t understand how they need to respond or even have the emotional support to respond adequately" </w:t>
            </w:r>
            <w:r>
              <w:rPr>
                <w:rFonts w:ascii="Aptos Narrow" w:eastAsia="Times New Roman" w:hAnsi="Aptos Narrow" w:cs="Times New Roman"/>
                <w:color w:val="000000"/>
                <w:kern w:val="0"/>
                <w:sz w:val="20"/>
                <w:szCs w:val="20"/>
                <w14:ligatures w14:val="none"/>
              </w:rPr>
              <w:t>(HCP) [27].</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 xml:space="preserve">•“I think in the scenarios where you have patients, where you've been following them for quite some time with advanced neurological disease, the emotional piece kind of comes through in bits and pieces.” </w:t>
            </w:r>
            <w:r>
              <w:rPr>
                <w:rFonts w:ascii="Aptos Narrow" w:eastAsia="Times New Roman" w:hAnsi="Aptos Narrow" w:cs="Times New Roman"/>
                <w:color w:val="000000"/>
                <w:kern w:val="0"/>
                <w:sz w:val="20"/>
                <w:szCs w:val="20"/>
                <w14:ligatures w14:val="none"/>
              </w:rPr>
              <w:t>(HCP) [66].</w:t>
            </w:r>
          </w:p>
        </w:tc>
        <w:tc>
          <w:tcPr>
            <w:tcW w:w="5812" w:type="dxa"/>
            <w:tcBorders>
              <w:top w:val="nil"/>
              <w:left w:val="nil"/>
              <w:bottom w:val="nil"/>
              <w:right w:val="nil"/>
            </w:tcBorders>
            <w:vAlign w:val="center"/>
            <w:hideMark/>
          </w:tcPr>
          <w:p w14:paraId="1D87CA34" w14:textId="77777777" w:rsidR="007121FC" w:rsidRPr="00E516D7" w:rsidRDefault="007121FC" w:rsidP="00851E52">
            <w:pPr>
              <w:spacing w:after="0" w:line="240" w:lineRule="auto"/>
              <w:rPr>
                <w:rFonts w:ascii="Aptos Narrow" w:eastAsia="Times New Roman" w:hAnsi="Aptos Narrow" w:cs="Times New Roman"/>
                <w:color w:val="000000" w:themeColor="text1"/>
                <w:sz w:val="20"/>
                <w:szCs w:val="20"/>
              </w:rPr>
            </w:pPr>
            <w:r w:rsidRPr="07065E80">
              <w:rPr>
                <w:rFonts w:ascii="Aptos Narrow" w:eastAsia="Times New Roman" w:hAnsi="Aptos Narrow" w:cs="Times New Roman"/>
                <w:color w:val="000000" w:themeColor="text1"/>
                <w:sz w:val="20"/>
                <w:szCs w:val="20"/>
              </w:rPr>
              <w:t>K = 13 [39, 53, 55, 58, 60, 63-65, 67-69, 75, 76]</w:t>
            </w:r>
            <w:r>
              <w:br/>
            </w:r>
            <w:r w:rsidRPr="07065E80">
              <w:rPr>
                <w:rFonts w:ascii="Aptos Narrow" w:eastAsia="Times New Roman" w:hAnsi="Aptos Narrow" w:cs="Times New Roman"/>
                <w:color w:val="000000" w:themeColor="text1"/>
                <w:sz w:val="20"/>
                <w:szCs w:val="20"/>
              </w:rPr>
              <w:t xml:space="preserve">•Low mood was prevalent in stroke patients at EoL (33%) [39]. </w:t>
            </w:r>
            <w:r>
              <w:br/>
            </w:r>
            <w:r w:rsidRPr="07065E80">
              <w:rPr>
                <w:rFonts w:ascii="Aptos Narrow" w:eastAsia="Times New Roman" w:hAnsi="Aptos Narrow" w:cs="Times New Roman"/>
                <w:color w:val="000000" w:themeColor="text1"/>
                <w:sz w:val="20"/>
                <w:szCs w:val="20"/>
              </w:rPr>
              <w:t>•</w:t>
            </w:r>
            <w:r>
              <w:rPr>
                <w:rFonts w:ascii="Aptos Narrow" w:eastAsia="Times New Roman" w:hAnsi="Aptos Narrow" w:cs="Times New Roman"/>
                <w:color w:val="000000" w:themeColor="text1"/>
                <w:sz w:val="20"/>
                <w:szCs w:val="20"/>
              </w:rPr>
              <w:t>Anxiety was reported less frequently among stroke patients than cancer patients (</w:t>
            </w:r>
            <w:r w:rsidRPr="00E516D7">
              <w:rPr>
                <w:rFonts w:ascii="Aptos Narrow" w:eastAsia="Times New Roman" w:hAnsi="Aptos Narrow" w:cs="Times New Roman"/>
                <w:color w:val="000000" w:themeColor="text1"/>
                <w:sz w:val="20"/>
                <w:szCs w:val="20"/>
              </w:rPr>
              <w:t>18.9% vs. 42.3%; OR = 0.37</w:t>
            </w:r>
            <w:r w:rsidRPr="00E516D7">
              <w:rPr>
                <w:rFonts w:ascii="Aptos Narrow" w:eastAsia="Times New Roman" w:hAnsi="Aptos Narrow" w:cs="Times New Roman"/>
                <w:i/>
                <w:iCs/>
                <w:color w:val="000000" w:themeColor="text1"/>
                <w:sz w:val="20"/>
                <w:szCs w:val="20"/>
              </w:rPr>
              <w:t>, p&lt;</w:t>
            </w:r>
            <w:r>
              <w:rPr>
                <w:rFonts w:ascii="Aptos Narrow" w:eastAsia="Times New Roman" w:hAnsi="Aptos Narrow" w:cs="Times New Roman"/>
                <w:color w:val="000000" w:themeColor="text1"/>
                <w:sz w:val="20"/>
                <w:szCs w:val="20"/>
              </w:rPr>
              <w:t xml:space="preserve">0.001). Stroke patients were less likely to have prescribed drug injection on demand for anxiety relief than cancer patients (67.5% vs. 78.5%; OR=0.57, </w:t>
            </w:r>
            <w:r w:rsidRPr="00F151B8">
              <w:rPr>
                <w:rFonts w:ascii="Aptos Narrow" w:eastAsia="Times New Roman" w:hAnsi="Aptos Narrow" w:cs="Times New Roman"/>
                <w:i/>
                <w:iCs/>
                <w:color w:val="000000" w:themeColor="text1"/>
                <w:sz w:val="20"/>
                <w:szCs w:val="20"/>
              </w:rPr>
              <w:t>p&lt;</w:t>
            </w:r>
            <w:r>
              <w:rPr>
                <w:rFonts w:ascii="Aptos Narrow" w:eastAsia="Times New Roman" w:hAnsi="Aptos Narrow" w:cs="Times New Roman"/>
                <w:color w:val="000000" w:themeColor="text1"/>
                <w:sz w:val="20"/>
                <w:szCs w:val="20"/>
              </w:rPr>
              <w:t xml:space="preserve">0.001). Among those with anxiety, </w:t>
            </w:r>
            <w:r w:rsidRPr="00155923">
              <w:rPr>
                <w:rFonts w:ascii="Aptos Narrow" w:eastAsia="Times New Roman" w:hAnsi="Aptos Narrow" w:cs="Times New Roman"/>
                <w:color w:val="000000" w:themeColor="text1"/>
                <w:sz w:val="20"/>
                <w:szCs w:val="20"/>
              </w:rPr>
              <w:t>73.1% had anxiety that was fully relieved, compared with 57.6% of cancer patients</w:t>
            </w:r>
            <w:r>
              <w:rPr>
                <w:rFonts w:ascii="Aptos Narrow" w:eastAsia="Times New Roman" w:hAnsi="Aptos Narrow" w:cs="Times New Roman"/>
                <w:color w:val="000000" w:themeColor="text1"/>
                <w:sz w:val="20"/>
                <w:szCs w:val="20"/>
              </w:rPr>
              <w:t xml:space="preserve"> </w:t>
            </w:r>
            <w:r w:rsidRPr="00671777">
              <w:rPr>
                <w:rFonts w:ascii="Aptos Narrow" w:eastAsia="Times New Roman" w:hAnsi="Aptos Narrow" w:cs="Times New Roman"/>
                <w:color w:val="000000" w:themeColor="text1"/>
                <w:sz w:val="20"/>
                <w:szCs w:val="20"/>
              </w:rPr>
              <w:t xml:space="preserve">OR = 1.99, </w:t>
            </w:r>
            <w:r w:rsidRPr="00671777">
              <w:rPr>
                <w:rFonts w:ascii="Aptos Narrow" w:eastAsia="Times New Roman" w:hAnsi="Aptos Narrow" w:cs="Times New Roman"/>
                <w:i/>
                <w:iCs/>
                <w:color w:val="000000" w:themeColor="text1"/>
                <w:sz w:val="20"/>
                <w:szCs w:val="20"/>
              </w:rPr>
              <w:t>p&lt;</w:t>
            </w:r>
            <w:r w:rsidRPr="00671777">
              <w:rPr>
                <w:rFonts w:ascii="Aptos Narrow" w:eastAsia="Times New Roman" w:hAnsi="Aptos Narrow" w:cs="Times New Roman"/>
                <w:color w:val="000000" w:themeColor="text1"/>
                <w:sz w:val="20"/>
                <w:szCs w:val="20"/>
              </w:rPr>
              <w:t>0.001)</w:t>
            </w:r>
          </w:p>
          <w:p w14:paraId="7D64DF8A"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themeColor="text1"/>
                <w:sz w:val="20"/>
                <w:szCs w:val="20"/>
              </w:rPr>
              <w:t xml:space="preserve"> </w:t>
            </w:r>
            <w:r w:rsidRPr="07065E80">
              <w:rPr>
                <w:rFonts w:ascii="Aptos Narrow" w:eastAsia="Times New Roman" w:hAnsi="Aptos Narrow" w:cs="Times New Roman"/>
                <w:color w:val="000000" w:themeColor="text1"/>
                <w:sz w:val="20"/>
                <w:szCs w:val="20"/>
              </w:rPr>
              <w:t xml:space="preserve">[64].  </w:t>
            </w:r>
            <w:r>
              <w:br/>
            </w:r>
            <w:r w:rsidRPr="07065E80">
              <w:rPr>
                <w:rFonts w:ascii="Aptos Narrow" w:eastAsia="Times New Roman" w:hAnsi="Aptos Narrow" w:cs="Times New Roman"/>
                <w:color w:val="000000" w:themeColor="text1"/>
                <w:sz w:val="20"/>
                <w:szCs w:val="20"/>
              </w:rPr>
              <w:t xml:space="preserve">•Stroke patients had relatively low psychological symptoms (PCPSS; mean=0.42). Stroke patients with mild psychological problems were more likely to receive community palliative care versus inpatient palliative care when compared to those with no psychological distress (OR=0.62, </w:t>
            </w:r>
            <w:r w:rsidRPr="07065E80">
              <w:rPr>
                <w:rFonts w:ascii="Aptos Narrow" w:eastAsia="Times New Roman" w:hAnsi="Aptos Narrow" w:cs="Times New Roman"/>
                <w:i/>
                <w:color w:val="000000" w:themeColor="text1"/>
                <w:sz w:val="20"/>
                <w:szCs w:val="20"/>
              </w:rPr>
              <w:t>p=</w:t>
            </w:r>
            <w:r w:rsidRPr="07065E80">
              <w:rPr>
                <w:rFonts w:ascii="Aptos Narrow" w:eastAsia="Times New Roman" w:hAnsi="Aptos Narrow" w:cs="Times New Roman"/>
                <w:color w:val="000000" w:themeColor="text1"/>
                <w:sz w:val="20"/>
                <w:szCs w:val="20"/>
              </w:rPr>
              <w:t xml:space="preserve">0.021) [69]. </w:t>
            </w:r>
            <w:r>
              <w:br/>
            </w:r>
            <w:r w:rsidRPr="07065E80">
              <w:rPr>
                <w:rFonts w:ascii="Aptos Narrow" w:eastAsia="Times New Roman" w:hAnsi="Aptos Narrow" w:cs="Times New Roman"/>
                <w:color w:val="000000" w:themeColor="text1"/>
                <w:sz w:val="20"/>
                <w:szCs w:val="20"/>
              </w:rPr>
              <w:t xml:space="preserve">•ALS patients opting for LTMV had no depression compared to those that chose to opt out (0.0 % vs. 20.3% with major or minor depression) [53]. </w:t>
            </w:r>
            <w:r>
              <w:br/>
            </w:r>
            <w:r w:rsidRPr="07065E80">
              <w:rPr>
                <w:rFonts w:ascii="Aptos Narrow" w:eastAsia="Times New Roman" w:hAnsi="Aptos Narrow" w:cs="Times New Roman"/>
                <w:color w:val="000000" w:themeColor="text1"/>
                <w:sz w:val="20"/>
                <w:szCs w:val="20"/>
              </w:rPr>
              <w:t xml:space="preserve">•ALS patients who opted out of LTMV reported significantly higher depression scores (VAS: mean=3.8 vs 2.3 [10-point scale with higher scores indicating higher severity], </w:t>
            </w:r>
            <w:r w:rsidRPr="07065E80">
              <w:rPr>
                <w:rFonts w:ascii="Aptos Narrow" w:eastAsia="Times New Roman" w:hAnsi="Aptos Narrow" w:cs="Times New Roman"/>
                <w:i/>
                <w:color w:val="000000" w:themeColor="text1"/>
                <w:sz w:val="20"/>
                <w:szCs w:val="20"/>
              </w:rPr>
              <w:t>p&lt;</w:t>
            </w:r>
            <w:r w:rsidRPr="07065E80">
              <w:rPr>
                <w:rFonts w:ascii="Aptos Narrow" w:eastAsia="Times New Roman" w:hAnsi="Aptos Narrow" w:cs="Times New Roman"/>
                <w:color w:val="000000" w:themeColor="text1"/>
                <w:sz w:val="20"/>
                <w:szCs w:val="20"/>
              </w:rPr>
              <w:t xml:space="preserve">0.05; PHQ-9: mean=7.9 vs. 3.0, p&lt;0.01) and greater hopelessness (BHS; mean=7.8 vs 5.0) than future LTMV patients. In contrast, caregivers of future LTMV patients showed significantly greater depressive symptoms (BDI: mean=14.3 vs.9.6, </w:t>
            </w:r>
            <w:r w:rsidRPr="07065E80">
              <w:rPr>
                <w:rFonts w:ascii="Aptos Narrow" w:eastAsia="Times New Roman" w:hAnsi="Aptos Narrow" w:cs="Times New Roman"/>
                <w:i/>
                <w:color w:val="000000" w:themeColor="text1"/>
                <w:sz w:val="20"/>
                <w:szCs w:val="20"/>
              </w:rPr>
              <w:t>p&lt;</w:t>
            </w:r>
            <w:r w:rsidRPr="07065E80">
              <w:rPr>
                <w:rFonts w:ascii="Aptos Narrow" w:eastAsia="Times New Roman" w:hAnsi="Aptos Narrow" w:cs="Times New Roman"/>
                <w:color w:val="000000" w:themeColor="text1"/>
                <w:sz w:val="20"/>
                <w:szCs w:val="20"/>
              </w:rPr>
              <w:t xml:space="preserve">0.10) [75]. </w:t>
            </w:r>
            <w:r>
              <w:br/>
            </w:r>
            <w:r w:rsidRPr="07065E80">
              <w:rPr>
                <w:rFonts w:ascii="Aptos Narrow" w:eastAsia="Times New Roman" w:hAnsi="Aptos Narrow" w:cs="Times New Roman"/>
                <w:color w:val="000000" w:themeColor="text1"/>
                <w:sz w:val="20"/>
                <w:szCs w:val="20"/>
              </w:rPr>
              <w:t xml:space="preserve">•Lower global QoL (PNDQoL) was predicted by poorer emotional functioning for both MS patients and caregivers, and emotional functioning was poorer in women than men for both patients (mean=38.1 vs. 30.1, p=0.008) and their caregivers (mean=39.5 vs 19.8) [58]. </w:t>
            </w:r>
            <w:r>
              <w:br/>
            </w:r>
            <w:r w:rsidRPr="07065E80">
              <w:rPr>
                <w:rFonts w:ascii="Aptos Narrow" w:eastAsia="Times New Roman" w:hAnsi="Aptos Narrow" w:cs="Times New Roman"/>
                <w:color w:val="000000" w:themeColor="text1"/>
                <w:sz w:val="20"/>
                <w:szCs w:val="20"/>
              </w:rPr>
              <w:t xml:space="preserve">•MSA patients commonly reported low mood/depression (80%), anxiety (70%), and stress (75%). Anxiety and depression was more frequent in women than men (Anxiety: 75.5% vs 62.9%, </w:t>
            </w:r>
            <w:r w:rsidRPr="07065E80">
              <w:rPr>
                <w:rFonts w:ascii="Aptos Narrow" w:eastAsia="Times New Roman" w:hAnsi="Aptos Narrow" w:cs="Times New Roman"/>
                <w:i/>
                <w:color w:val="000000" w:themeColor="text1"/>
                <w:sz w:val="20"/>
                <w:szCs w:val="20"/>
              </w:rPr>
              <w:t>p=</w:t>
            </w:r>
            <w:r w:rsidRPr="07065E80">
              <w:rPr>
                <w:rFonts w:ascii="Aptos Narrow" w:eastAsia="Times New Roman" w:hAnsi="Aptos Narrow" w:cs="Times New Roman"/>
                <w:color w:val="000000" w:themeColor="text1"/>
                <w:sz w:val="20"/>
                <w:szCs w:val="20"/>
              </w:rPr>
              <w:t>0.048; Depression: 85.3%</w:t>
            </w:r>
            <w:r>
              <w:rPr>
                <w:rFonts w:ascii="Aptos Narrow" w:eastAsia="Times New Roman" w:hAnsi="Aptos Narrow" w:cs="Times New Roman"/>
                <w:color w:val="000000" w:themeColor="text1"/>
                <w:sz w:val="20"/>
                <w:szCs w:val="20"/>
              </w:rPr>
              <w:t xml:space="preserve"> vs.</w:t>
            </w:r>
            <w:r w:rsidRPr="07065E80">
              <w:rPr>
                <w:rFonts w:ascii="Aptos Narrow" w:eastAsia="Times New Roman" w:hAnsi="Aptos Narrow" w:cs="Times New Roman"/>
                <w:color w:val="000000" w:themeColor="text1"/>
                <w:sz w:val="20"/>
                <w:szCs w:val="20"/>
              </w:rPr>
              <w:t xml:space="preserve">74.8%, </w:t>
            </w:r>
            <w:r w:rsidRPr="07065E80">
              <w:rPr>
                <w:rFonts w:ascii="Aptos Narrow" w:eastAsia="Times New Roman" w:hAnsi="Aptos Narrow" w:cs="Times New Roman"/>
                <w:i/>
                <w:color w:val="000000" w:themeColor="text1"/>
                <w:sz w:val="20"/>
                <w:szCs w:val="20"/>
              </w:rPr>
              <w:t>p=</w:t>
            </w:r>
            <w:r w:rsidRPr="07065E80">
              <w:rPr>
                <w:rFonts w:ascii="Aptos Narrow" w:eastAsia="Times New Roman" w:hAnsi="Aptos Narrow" w:cs="Times New Roman"/>
                <w:color w:val="000000" w:themeColor="text1"/>
                <w:sz w:val="20"/>
                <w:szCs w:val="20"/>
              </w:rPr>
              <w:t xml:space="preserve">0.054). [60]. </w:t>
            </w:r>
            <w:r>
              <w:br/>
            </w:r>
            <w:r w:rsidRPr="07065E80">
              <w:rPr>
                <w:rFonts w:ascii="Aptos Narrow" w:eastAsia="Times New Roman" w:hAnsi="Aptos Narrow" w:cs="Times New Roman"/>
                <w:color w:val="000000" w:themeColor="text1"/>
                <w:sz w:val="20"/>
                <w:szCs w:val="20"/>
              </w:rPr>
              <w:t xml:space="preserve">•Depressive mood was present in 52.6% (MDS-UPDRS I) of those with PD, despite formal depression diagnoses (10.5%) and antidepressant prescription (15.8%) remaining low; poorer HRQOL (PDQ-39) was associated with depressed mood (r=0.4862, </w:t>
            </w:r>
            <w:r w:rsidRPr="07065E80">
              <w:rPr>
                <w:rFonts w:ascii="Aptos Narrow" w:eastAsia="Times New Roman" w:hAnsi="Aptos Narrow" w:cs="Times New Roman"/>
                <w:i/>
                <w:color w:val="000000" w:themeColor="text1"/>
                <w:sz w:val="20"/>
                <w:szCs w:val="20"/>
              </w:rPr>
              <w:t>p</w:t>
            </w:r>
            <w:r w:rsidRPr="07065E80">
              <w:rPr>
                <w:rFonts w:ascii="Aptos Narrow" w:eastAsia="Times New Roman" w:hAnsi="Aptos Narrow" w:cs="Times New Roman"/>
                <w:color w:val="000000" w:themeColor="text1"/>
                <w:sz w:val="20"/>
                <w:szCs w:val="20"/>
              </w:rPr>
              <w:t xml:space="preserve">&lt;0.0001) and anxious mood (r= 0.2689, </w:t>
            </w:r>
            <w:r w:rsidRPr="07065E80">
              <w:rPr>
                <w:rFonts w:ascii="Aptos Narrow" w:eastAsia="Times New Roman" w:hAnsi="Aptos Narrow" w:cs="Times New Roman"/>
                <w:i/>
                <w:color w:val="000000" w:themeColor="text1"/>
                <w:sz w:val="20"/>
                <w:szCs w:val="20"/>
              </w:rPr>
              <w:t>p</w:t>
            </w:r>
            <w:r w:rsidRPr="07065E80">
              <w:rPr>
                <w:rFonts w:ascii="Aptos Narrow" w:eastAsia="Times New Roman" w:hAnsi="Aptos Narrow" w:cs="Times New Roman"/>
                <w:color w:val="000000" w:themeColor="text1"/>
                <w:sz w:val="20"/>
                <w:szCs w:val="20"/>
              </w:rPr>
              <w:t>=0.0431) [67].</w:t>
            </w:r>
            <w:r>
              <w:br/>
            </w:r>
            <w:r w:rsidRPr="07065E80">
              <w:rPr>
                <w:rFonts w:ascii="Aptos Narrow" w:eastAsia="Times New Roman" w:hAnsi="Aptos Narrow" w:cs="Times New Roman"/>
                <w:color w:val="000000" w:themeColor="text1"/>
                <w:sz w:val="20"/>
                <w:szCs w:val="20"/>
              </w:rPr>
              <w:t xml:space="preserve">•Moderate emotional wellbeing (FACT-G; mean=15) was reported for those with PD, with low scores for depression, thought disorder, and motivation (UPDRS; median=1) [68]. </w:t>
            </w:r>
            <w:r>
              <w:br/>
            </w:r>
            <w:r w:rsidRPr="07065E80">
              <w:rPr>
                <w:rFonts w:ascii="Aptos Narrow" w:eastAsia="Times New Roman" w:hAnsi="Aptos Narrow" w:cs="Times New Roman"/>
                <w:color w:val="000000" w:themeColor="text1"/>
                <w:sz w:val="20"/>
                <w:szCs w:val="20"/>
              </w:rPr>
              <w:t>•Anxiety and depression were highly ranked IPOS symptoms by RII: anxiety ranked 3rd in MND (66.0%) and 5th in PD (58.6%); depression ranked 6th in both MND (59.4%) and PD (54.5%) [65].</w:t>
            </w:r>
            <w:r>
              <w:br/>
            </w:r>
            <w:r w:rsidRPr="07065E80">
              <w:rPr>
                <w:rFonts w:ascii="Aptos Narrow" w:eastAsia="Times New Roman" w:hAnsi="Aptos Narrow" w:cs="Times New Roman"/>
                <w:color w:val="000000" w:themeColor="text1"/>
                <w:sz w:val="20"/>
                <w:szCs w:val="20"/>
              </w:rPr>
              <w:t>•Most MND patients reported treatment-related anxiety (71.7%) and depressive symptoms (59.6%), with those in the final 3 months more likely to experience severe anxiety (p=0.042) and depression (</w:t>
            </w:r>
            <w:r w:rsidRPr="07065E80">
              <w:rPr>
                <w:rFonts w:ascii="Aptos Narrow" w:eastAsia="Times New Roman" w:hAnsi="Aptos Narrow" w:cs="Times New Roman"/>
                <w:i/>
                <w:color w:val="000000" w:themeColor="text1"/>
                <w:sz w:val="20"/>
                <w:szCs w:val="20"/>
              </w:rPr>
              <w:t>p</w:t>
            </w:r>
            <w:r w:rsidRPr="07065E80">
              <w:rPr>
                <w:rFonts w:ascii="Aptos Narrow" w:eastAsia="Times New Roman" w:hAnsi="Aptos Narrow" w:cs="Times New Roman"/>
                <w:color w:val="000000" w:themeColor="text1"/>
                <w:sz w:val="20"/>
                <w:szCs w:val="20"/>
              </w:rPr>
              <w:t xml:space="preserve">=0.032) than those who were not, and 89.9% of patients reported their family or friends were anxious or worried about them [76]. </w:t>
            </w:r>
            <w:r>
              <w:br/>
            </w:r>
            <w:r w:rsidRPr="07065E80">
              <w:rPr>
                <w:rFonts w:ascii="Aptos Narrow" w:eastAsia="Times New Roman" w:hAnsi="Aptos Narrow" w:cs="Times New Roman"/>
                <w:color w:val="000000" w:themeColor="text1"/>
                <w:sz w:val="20"/>
                <w:szCs w:val="20"/>
              </w:rPr>
              <w:t xml:space="preserve">•36% of NDD caregivers reported lacking additional emotional, spiritual, or bereavement support, which was significantly higher than caregivers of those with other diagnoses (23.6%, </w:t>
            </w:r>
            <w:r w:rsidRPr="07065E80">
              <w:rPr>
                <w:rFonts w:ascii="Aptos Narrow" w:eastAsia="Times New Roman" w:hAnsi="Aptos Narrow" w:cs="Times New Roman"/>
                <w:i/>
                <w:color w:val="000000" w:themeColor="text1"/>
                <w:sz w:val="20"/>
                <w:szCs w:val="20"/>
              </w:rPr>
              <w:t>p</w:t>
            </w:r>
            <w:r w:rsidRPr="07065E80">
              <w:rPr>
                <w:rFonts w:ascii="Aptos Narrow" w:eastAsia="Times New Roman" w:hAnsi="Aptos Narrow" w:cs="Times New Roman"/>
                <w:color w:val="000000" w:themeColor="text1"/>
                <w:sz w:val="20"/>
                <w:szCs w:val="20"/>
              </w:rPr>
              <w:t>=0.043) [55].</w:t>
            </w:r>
            <w:r>
              <w:br/>
            </w:r>
            <w:r w:rsidRPr="07065E80">
              <w:rPr>
                <w:rFonts w:ascii="Aptos Narrow" w:eastAsia="Times New Roman" w:hAnsi="Aptos Narrow" w:cs="Times New Roman"/>
                <w:color w:val="000000" w:themeColor="text1"/>
                <w:sz w:val="20"/>
                <w:szCs w:val="20"/>
              </w:rPr>
              <w:t xml:space="preserve">•Neurogenetic disease patients had slightly higher depression scores (HADS-D; mean=6.9 vs 5.8, p=0.043) and lower psychological health (WHOQOL-BREF mean=19.5 vs. 21.4; </w:t>
            </w:r>
            <w:r w:rsidRPr="07065E80">
              <w:rPr>
                <w:rFonts w:ascii="Aptos Narrow" w:eastAsia="Times New Roman" w:hAnsi="Aptos Narrow" w:cs="Times New Roman"/>
                <w:i/>
                <w:color w:val="000000" w:themeColor="text1"/>
                <w:sz w:val="20"/>
                <w:szCs w:val="20"/>
              </w:rPr>
              <w:t>p</w:t>
            </w:r>
            <w:r w:rsidRPr="07065E80">
              <w:rPr>
                <w:rFonts w:ascii="Aptos Narrow" w:eastAsia="Times New Roman" w:hAnsi="Aptos Narrow" w:cs="Times New Roman"/>
                <w:color w:val="000000" w:themeColor="text1"/>
                <w:sz w:val="20"/>
                <w:szCs w:val="20"/>
              </w:rPr>
              <w:t xml:space="preserve">=0.049) than caregivers [63]. </w:t>
            </w:r>
          </w:p>
        </w:tc>
        <w:tc>
          <w:tcPr>
            <w:tcW w:w="2410" w:type="dxa"/>
            <w:tcBorders>
              <w:top w:val="nil"/>
              <w:left w:val="nil"/>
              <w:bottom w:val="nil"/>
              <w:right w:val="nil"/>
            </w:tcBorders>
            <w:hideMark/>
          </w:tcPr>
          <w:p w14:paraId="21E0A93F"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sidRPr="00D47CE6">
              <w:rPr>
                <w:rFonts w:ascii="Aptos Narrow" w:eastAsia="Times New Roman" w:hAnsi="Aptos Narrow" w:cs="Times New Roman"/>
                <w:color w:val="000000"/>
                <w:kern w:val="0"/>
                <w:sz w:val="20"/>
                <w:szCs w:val="20"/>
                <w14:ligatures w14:val="none"/>
              </w:rPr>
              <w:t>Confirmation.</w:t>
            </w:r>
            <w:r w:rsidRPr="00D47CE6">
              <w:rPr>
                <w:rFonts w:ascii="Aptos Narrow" w:eastAsia="Times New Roman" w:hAnsi="Aptos Narrow" w:cs="Times New Roman"/>
                <w:color w:val="000000"/>
                <w:kern w:val="0"/>
                <w:sz w:val="20"/>
                <w:szCs w:val="20"/>
                <w14:ligatures w14:val="none"/>
              </w:rPr>
              <w:br/>
              <w:t>Majority of quantitative findings report psychological distress of patients rather than caregivers. Qualitative findings show how HCPs may face emotional challenges from the nature of EoL care.</w:t>
            </w:r>
          </w:p>
        </w:tc>
      </w:tr>
      <w:tr w:rsidR="007121FC" w:rsidRPr="00D47CE6" w14:paraId="102D6BDF" w14:textId="77777777" w:rsidTr="00851E52">
        <w:trPr>
          <w:trHeight w:val="5184"/>
        </w:trPr>
        <w:tc>
          <w:tcPr>
            <w:tcW w:w="2553" w:type="dxa"/>
            <w:tcBorders>
              <w:top w:val="nil"/>
              <w:left w:val="nil"/>
              <w:bottom w:val="nil"/>
              <w:right w:val="nil"/>
            </w:tcBorders>
            <w:hideMark/>
          </w:tcPr>
          <w:p w14:paraId="49A47B13" w14:textId="77777777" w:rsidR="007121FC" w:rsidRPr="00D47CE6" w:rsidRDefault="007121FC" w:rsidP="00851E52">
            <w:pPr>
              <w:spacing w:after="0" w:line="240" w:lineRule="auto"/>
              <w:ind w:left="318"/>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b/>
                <w:bCs/>
                <w:color w:val="000000"/>
                <w:kern w:val="0"/>
                <w:sz w:val="20"/>
                <w:szCs w:val="20"/>
                <w14:ligatures w14:val="none"/>
              </w:rPr>
              <w:lastRenderedPageBreak/>
              <w:t>Burden and impact of caregiving (caregiver)</w:t>
            </w:r>
            <w:r>
              <w:rPr>
                <w:rFonts w:ascii="Aptos Narrow" w:eastAsia="Times New Roman" w:hAnsi="Aptos Narrow" w:cs="Times New Roman"/>
                <w:b/>
                <w:bCs/>
                <w:color w:val="000000"/>
                <w:kern w:val="0"/>
                <w:sz w:val="20"/>
                <w:szCs w:val="20"/>
                <w14:ligatures w14:val="none"/>
              </w:rPr>
              <w:br/>
            </w:r>
            <w:r>
              <w:rPr>
                <w:rFonts w:ascii="Aptos Narrow" w:eastAsia="Times New Roman" w:hAnsi="Aptos Narrow" w:cs="Times New Roman"/>
                <w:color w:val="000000"/>
                <w:kern w:val="0"/>
                <w:sz w:val="20"/>
                <w:szCs w:val="20"/>
                <w14:ligatures w14:val="none"/>
              </w:rPr>
              <w:t>(K = 14; [55, 58, 60-63, 68, 71-73, 75, 77, 78, 80])</w:t>
            </w:r>
          </w:p>
        </w:tc>
        <w:tc>
          <w:tcPr>
            <w:tcW w:w="5386" w:type="dxa"/>
            <w:tcBorders>
              <w:top w:val="nil"/>
              <w:left w:val="nil"/>
              <w:bottom w:val="nil"/>
              <w:right w:val="nil"/>
            </w:tcBorders>
            <w:hideMark/>
          </w:tcPr>
          <w:p w14:paraId="46127646"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K = 8 [61, 62, 68, 71-73, 78, 80]</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 xml:space="preserve">•"I have to lift her out of the bed to the toilet. [ ... ] Sometimes she made it, sometimes she didn’t make it. Or she was in the toilet, and then she didn’t have to go anymore and then back again. Putting her back to bed. How often did this happen pernight? Sometimes up to 12 times..." </w:t>
            </w:r>
            <w:r>
              <w:rPr>
                <w:rFonts w:ascii="Aptos Narrow" w:eastAsia="Times New Roman" w:hAnsi="Aptos Narrow" w:cs="Times New Roman"/>
                <w:color w:val="000000"/>
                <w:kern w:val="0"/>
                <w:sz w:val="20"/>
                <w:szCs w:val="20"/>
                <w14:ligatures w14:val="none"/>
              </w:rPr>
              <w:t>(Caregiver) [68]</w:t>
            </w:r>
            <w:r>
              <w:rPr>
                <w:rFonts w:ascii="Aptos Narrow" w:eastAsia="Times New Roman" w:hAnsi="Aptos Narrow" w:cs="Times New Roman"/>
                <w:i/>
                <w:iCs/>
                <w:color w:val="000000"/>
                <w:kern w:val="0"/>
                <w:sz w:val="20"/>
                <w:szCs w:val="20"/>
                <w14:ligatures w14:val="none"/>
              </w:rPr>
              <w:t>.</w:t>
            </w:r>
            <w:r>
              <w:rPr>
                <w:rFonts w:ascii="Aptos Narrow" w:eastAsia="Times New Roman" w:hAnsi="Aptos Narrow" w:cs="Times New Roman"/>
                <w:i/>
                <w:iCs/>
                <w:color w:val="000000"/>
                <w:kern w:val="0"/>
                <w:sz w:val="20"/>
                <w:szCs w:val="20"/>
                <w14:ligatures w14:val="none"/>
              </w:rPr>
              <w:br/>
              <w:t xml:space="preserve">“When I get up in the morning, I like to get myself all set before I come downstairs. If I come downstairs and take care of him and take care of the house and I don’t take care of myself first, I get lost and I’ll be in my pajamas until 1 o’clock in the afternoon and that’s not me.” </w:t>
            </w:r>
            <w:r>
              <w:rPr>
                <w:rFonts w:ascii="Aptos Narrow" w:eastAsia="Times New Roman" w:hAnsi="Aptos Narrow" w:cs="Times New Roman"/>
                <w:color w:val="000000"/>
                <w:kern w:val="0"/>
                <w:sz w:val="20"/>
                <w:szCs w:val="20"/>
                <w14:ligatures w14:val="none"/>
              </w:rPr>
              <w:t>(Caregiver)</w:t>
            </w:r>
            <w:r>
              <w:rPr>
                <w:rFonts w:ascii="Aptos Narrow" w:eastAsia="Times New Roman" w:hAnsi="Aptos Narrow" w:cs="Times New Roman"/>
                <w:i/>
                <w:iCs/>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t>[71]</w:t>
            </w:r>
            <w:r>
              <w:rPr>
                <w:rFonts w:ascii="Aptos Narrow" w:eastAsia="Times New Roman" w:hAnsi="Aptos Narrow" w:cs="Times New Roman"/>
                <w:i/>
                <w:iCs/>
                <w:color w:val="000000"/>
                <w:kern w:val="0"/>
                <w:sz w:val="20"/>
                <w:szCs w:val="20"/>
                <w14:ligatures w14:val="none"/>
              </w:rPr>
              <w:br/>
              <w:t xml:space="preserve">•“You prepare yourself for doing the best you can for your partner and set yourself aside because PALS/CIs has a short lifespan. So, I set my own needs aside, all the things that I can do without, to please PALS/CIs, but I can’t keep doing that forever. I have a life too. I sometimes think: dammit, how many years is this going to take, you know!” </w:t>
            </w:r>
            <w:r>
              <w:rPr>
                <w:rFonts w:ascii="Aptos Narrow" w:eastAsia="Times New Roman" w:hAnsi="Aptos Narrow" w:cs="Times New Roman"/>
                <w:color w:val="000000"/>
                <w:kern w:val="0"/>
                <w:sz w:val="20"/>
                <w:szCs w:val="20"/>
                <w14:ligatures w14:val="none"/>
              </w:rPr>
              <w:t>(Caregiver)</w:t>
            </w:r>
            <w:r>
              <w:rPr>
                <w:rFonts w:ascii="Aptos Narrow" w:eastAsia="Times New Roman" w:hAnsi="Aptos Narrow" w:cs="Times New Roman"/>
                <w:i/>
                <w:iCs/>
                <w:color w:val="000000"/>
                <w:kern w:val="0"/>
                <w:sz w:val="20"/>
                <w:szCs w:val="20"/>
                <w14:ligatures w14:val="none"/>
              </w:rPr>
              <w:t xml:space="preserve"> [73]</w:t>
            </w:r>
          </w:p>
        </w:tc>
        <w:tc>
          <w:tcPr>
            <w:tcW w:w="5812" w:type="dxa"/>
            <w:tcBorders>
              <w:top w:val="nil"/>
              <w:left w:val="nil"/>
              <w:bottom w:val="nil"/>
              <w:right w:val="nil"/>
            </w:tcBorders>
            <w:hideMark/>
          </w:tcPr>
          <w:p w14:paraId="4D502442"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K = 8 [55, 58, 60, 61, 63, 68, 75, 77]</w:t>
            </w:r>
            <w:r>
              <w:rPr>
                <w:rFonts w:ascii="Aptos Narrow" w:eastAsia="Times New Roman" w:hAnsi="Aptos Narrow" w:cs="Times New Roman"/>
                <w:color w:val="000000"/>
                <w:kern w:val="0"/>
                <w:sz w:val="20"/>
                <w:szCs w:val="20"/>
                <w14:ligatures w14:val="none"/>
              </w:rPr>
              <w:br/>
              <w:t>•69.1% of NDD caregivers provided day-to-day or intermittent hands-on care and 51.2% sustained this role for more than two years; 70.6% indicated willingness to assume caregiving again and 95.6% felt able to move on with their lives [55].</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kern w:val="0"/>
                <w:sz w:val="20"/>
                <w:szCs w:val="20"/>
                <w14:ligatures w14:val="none"/>
              </w:rPr>
              <w:t xml:space="preserve">•The global QoL (PNDQoL) of MS caregivers was predicted by the patient's QoL and the caregivers' feelings of care. Greater strain (lower QoL in domains of activites of daily living, emotional functioning and spiritual non-religion functioning) was reported by women [58]. </w:t>
            </w:r>
            <w:r>
              <w:rPr>
                <w:rFonts w:ascii="Aptos Narrow" w:eastAsia="Times New Roman" w:hAnsi="Aptos Narrow" w:cs="Times New Roman"/>
                <w:color w:val="000000"/>
                <w:kern w:val="0"/>
                <w:sz w:val="20"/>
                <w:szCs w:val="20"/>
                <w14:ligatures w14:val="none"/>
              </w:rPr>
              <w:br/>
              <w:t>•MSA caregivers experienced financial stress, with 43% reported unmet financial needs and 28% long-term financial impact [60].</w:t>
            </w:r>
            <w:r>
              <w:rPr>
                <w:rFonts w:ascii="Aptos Narrow" w:eastAsia="Times New Roman" w:hAnsi="Aptos Narrow" w:cs="Times New Roman"/>
                <w:color w:val="000000"/>
                <w:kern w:val="0"/>
                <w:sz w:val="20"/>
                <w:szCs w:val="20"/>
                <w14:ligatures w14:val="none"/>
              </w:rPr>
              <w:br/>
              <w:t>•Caregivers rated quality of life (mean=4.24; range of 1-5, higher scores indicating higher agreement) and burden on family (mean=3.95) as the strongest influences on EoL care preferences for themselves [61].</w:t>
            </w:r>
            <w:r>
              <w:rPr>
                <w:rFonts w:ascii="Aptos Narrow" w:eastAsia="Times New Roman" w:hAnsi="Aptos Narrow" w:cs="Times New Roman"/>
                <w:color w:val="000000"/>
                <w:kern w:val="0"/>
                <w:sz w:val="20"/>
                <w:szCs w:val="20"/>
                <w14:ligatures w14:val="none"/>
              </w:rPr>
              <w:br/>
              <w:t xml:space="preserve">•Neurogenetic disease caregivers reported mild-to-moderate burden (ZBI; mean=33.2; range=0-88) [63]. </w:t>
            </w:r>
            <w:r>
              <w:rPr>
                <w:rFonts w:ascii="Aptos Narrow" w:eastAsia="Times New Roman" w:hAnsi="Aptos Narrow" w:cs="Times New Roman"/>
                <w:color w:val="000000"/>
                <w:kern w:val="0"/>
                <w:sz w:val="20"/>
                <w:szCs w:val="20"/>
                <w14:ligatures w14:val="none"/>
              </w:rPr>
              <w:br/>
              <w:t xml:space="preserve">•Caregivers experienced mild-to-moderate burden (ZBI; mean=30.0) and moderate pre-death grief (MM-CGI-SF; mean=49.0), but a high level of positive experiences from family caregiving (PES; mean=20.9; range=0-24) [68]. </w:t>
            </w:r>
            <w:r>
              <w:rPr>
                <w:rFonts w:ascii="Aptos Narrow" w:eastAsia="Times New Roman" w:hAnsi="Aptos Narrow" w:cs="Times New Roman"/>
                <w:color w:val="000000"/>
                <w:kern w:val="0"/>
                <w:sz w:val="20"/>
                <w:szCs w:val="20"/>
                <w14:ligatures w14:val="none"/>
              </w:rPr>
              <w:br/>
              <w:t>•Caregivers of future LTMV patients showed relatively higher caregiver burden compared to those that opted out (Zarit caregiver burden: mean=11.4 vs. 8.5), but differences were NS [75].</w:t>
            </w:r>
            <w:r>
              <w:rPr>
                <w:rFonts w:ascii="Aptos Narrow" w:eastAsia="Times New Roman" w:hAnsi="Aptos Narrow" w:cs="Times New Roman"/>
                <w:color w:val="000000"/>
                <w:kern w:val="0"/>
                <w:sz w:val="20"/>
                <w:szCs w:val="20"/>
                <w14:ligatures w14:val="none"/>
              </w:rPr>
              <w:br/>
              <w:t>•Caregivers similarly experienced moderate social isolation (NRS: mean=5.76; range of 0-10 with higher scores indicating lower isolation) and caregiver burden (mean=41.90) as measured by the Caregiver Burden Inventory (range 0-96) [77].</w:t>
            </w:r>
          </w:p>
        </w:tc>
        <w:tc>
          <w:tcPr>
            <w:tcW w:w="2410" w:type="dxa"/>
            <w:tcBorders>
              <w:top w:val="nil"/>
              <w:left w:val="nil"/>
              <w:bottom w:val="nil"/>
              <w:right w:val="nil"/>
            </w:tcBorders>
            <w:hideMark/>
          </w:tcPr>
          <w:p w14:paraId="168BE719"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sidRPr="00D47CE6">
              <w:rPr>
                <w:rFonts w:ascii="Aptos Narrow" w:eastAsia="Times New Roman" w:hAnsi="Aptos Narrow" w:cs="Times New Roman"/>
                <w:color w:val="000000"/>
                <w:kern w:val="0"/>
                <w:sz w:val="20"/>
                <w:szCs w:val="20"/>
                <w14:ligatures w14:val="none"/>
              </w:rPr>
              <w:t>Expansion.</w:t>
            </w:r>
            <w:r w:rsidRPr="00D47CE6">
              <w:rPr>
                <w:rFonts w:ascii="Aptos Narrow" w:eastAsia="Times New Roman" w:hAnsi="Aptos Narrow" w:cs="Times New Roman"/>
                <w:color w:val="000000"/>
                <w:kern w:val="0"/>
                <w:sz w:val="20"/>
                <w:szCs w:val="20"/>
                <w14:ligatures w14:val="none"/>
              </w:rPr>
              <w:br/>
              <w:t>While both evidence streams demonstrate psychological, physical, practical and financial burdens, quantitative findings further highlighted that caregiving also involves positive aspects of caregiving and the capacity to sustain caregiving despite burden.</w:t>
            </w:r>
          </w:p>
        </w:tc>
      </w:tr>
      <w:tr w:rsidR="007121FC" w:rsidRPr="00D47CE6" w14:paraId="128E8186" w14:textId="77777777" w:rsidTr="00851E52">
        <w:trPr>
          <w:trHeight w:val="288"/>
        </w:trPr>
        <w:tc>
          <w:tcPr>
            <w:tcW w:w="2553" w:type="dxa"/>
            <w:tcBorders>
              <w:top w:val="nil"/>
              <w:left w:val="nil"/>
              <w:bottom w:val="nil"/>
              <w:right w:val="nil"/>
            </w:tcBorders>
            <w:hideMark/>
          </w:tcPr>
          <w:p w14:paraId="39900FEC" w14:textId="77777777" w:rsidR="007121FC" w:rsidRPr="00D47CE6" w:rsidRDefault="007121FC" w:rsidP="00851E52">
            <w:pPr>
              <w:spacing w:after="0" w:line="240" w:lineRule="auto"/>
              <w:rPr>
                <w:rFonts w:ascii="Aptos Narrow" w:eastAsia="Times New Roman" w:hAnsi="Aptos Narrow" w:cs="Times New Roman"/>
                <w:b/>
                <w:bCs/>
                <w:color w:val="000000"/>
                <w:kern w:val="0"/>
                <w:sz w:val="20"/>
                <w:szCs w:val="20"/>
                <w14:ligatures w14:val="none"/>
              </w:rPr>
            </w:pPr>
            <w:r w:rsidRPr="00D47CE6">
              <w:rPr>
                <w:rFonts w:ascii="Aptos Narrow" w:eastAsia="Times New Roman" w:hAnsi="Aptos Narrow" w:cs="Times New Roman"/>
                <w:b/>
                <w:bCs/>
                <w:color w:val="000000"/>
                <w:kern w:val="0"/>
                <w:sz w:val="20"/>
                <w:szCs w:val="20"/>
                <w14:ligatures w14:val="none"/>
              </w:rPr>
              <w:t>Spiritual Needs</w:t>
            </w:r>
          </w:p>
        </w:tc>
        <w:tc>
          <w:tcPr>
            <w:tcW w:w="5386" w:type="dxa"/>
            <w:tcBorders>
              <w:top w:val="nil"/>
              <w:left w:val="nil"/>
              <w:bottom w:val="nil"/>
              <w:right w:val="nil"/>
            </w:tcBorders>
            <w:hideMark/>
          </w:tcPr>
          <w:p w14:paraId="66BF9644" w14:textId="77777777" w:rsidR="007121FC" w:rsidRPr="00D47CE6" w:rsidRDefault="007121FC" w:rsidP="00851E52">
            <w:pPr>
              <w:spacing w:after="0" w:line="240" w:lineRule="auto"/>
              <w:rPr>
                <w:rFonts w:ascii="Aptos Narrow" w:eastAsia="Times New Roman" w:hAnsi="Aptos Narrow" w:cs="Times New Roman"/>
                <w:b/>
                <w:bCs/>
                <w:color w:val="000000"/>
                <w:kern w:val="0"/>
                <w:sz w:val="20"/>
                <w:szCs w:val="20"/>
                <w14:ligatures w14:val="none"/>
              </w:rPr>
            </w:pPr>
          </w:p>
        </w:tc>
        <w:tc>
          <w:tcPr>
            <w:tcW w:w="5812" w:type="dxa"/>
            <w:tcBorders>
              <w:top w:val="nil"/>
              <w:left w:val="nil"/>
              <w:bottom w:val="nil"/>
              <w:right w:val="nil"/>
            </w:tcBorders>
            <w:hideMark/>
          </w:tcPr>
          <w:p w14:paraId="5EF49E1F" w14:textId="77777777" w:rsidR="007121FC" w:rsidRPr="00D47CE6" w:rsidRDefault="007121FC" w:rsidP="00851E52">
            <w:pPr>
              <w:spacing w:after="0" w:line="240" w:lineRule="auto"/>
              <w:rPr>
                <w:rFonts w:ascii="Times New Roman" w:eastAsia="Times New Roman" w:hAnsi="Times New Roman" w:cs="Times New Roman"/>
                <w:kern w:val="0"/>
                <w:sz w:val="20"/>
                <w:szCs w:val="20"/>
                <w14:ligatures w14:val="none"/>
              </w:rPr>
            </w:pPr>
          </w:p>
        </w:tc>
        <w:tc>
          <w:tcPr>
            <w:tcW w:w="2410" w:type="dxa"/>
            <w:tcBorders>
              <w:top w:val="nil"/>
              <w:left w:val="nil"/>
              <w:bottom w:val="nil"/>
              <w:right w:val="nil"/>
            </w:tcBorders>
            <w:hideMark/>
          </w:tcPr>
          <w:p w14:paraId="6962E8EB" w14:textId="77777777" w:rsidR="007121FC" w:rsidRPr="00D47CE6" w:rsidRDefault="007121FC" w:rsidP="00851E52">
            <w:pPr>
              <w:spacing w:after="0" w:line="240" w:lineRule="auto"/>
              <w:rPr>
                <w:rFonts w:ascii="Times New Roman" w:eastAsia="Times New Roman" w:hAnsi="Times New Roman" w:cs="Times New Roman"/>
                <w:kern w:val="0"/>
                <w:sz w:val="20"/>
                <w:szCs w:val="20"/>
                <w14:ligatures w14:val="none"/>
              </w:rPr>
            </w:pPr>
          </w:p>
        </w:tc>
      </w:tr>
      <w:tr w:rsidR="007121FC" w:rsidRPr="00D47CE6" w14:paraId="164FF821" w14:textId="77777777" w:rsidTr="00851E52">
        <w:trPr>
          <w:trHeight w:val="5760"/>
        </w:trPr>
        <w:tc>
          <w:tcPr>
            <w:tcW w:w="2553" w:type="dxa"/>
            <w:tcBorders>
              <w:top w:val="nil"/>
              <w:left w:val="nil"/>
              <w:bottom w:val="nil"/>
              <w:right w:val="nil"/>
            </w:tcBorders>
            <w:hideMark/>
          </w:tcPr>
          <w:p w14:paraId="000BB8B7" w14:textId="77777777" w:rsidR="007121FC" w:rsidRPr="00D47CE6" w:rsidRDefault="007121FC" w:rsidP="00851E52">
            <w:pPr>
              <w:spacing w:after="0" w:line="240" w:lineRule="auto"/>
              <w:ind w:left="318"/>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Existential questioning (PwPD and caregiver)</w:t>
            </w:r>
            <w:r>
              <w:rPr>
                <w:rFonts w:ascii="Aptos Narrow" w:eastAsia="Times New Roman" w:hAnsi="Aptos Narrow" w:cs="Times New Roman"/>
                <w:b/>
                <w:bCs/>
                <w:color w:val="000000"/>
                <w:kern w:val="0"/>
                <w:sz w:val="20"/>
                <w:szCs w:val="20"/>
                <w14:ligatures w14:val="none"/>
              </w:rPr>
              <w:br/>
            </w:r>
            <w:r>
              <w:rPr>
                <w:rFonts w:ascii="Aptos Narrow" w:eastAsia="Times New Roman" w:hAnsi="Aptos Narrow" w:cs="Times New Roman"/>
                <w:color w:val="000000"/>
                <w:kern w:val="0"/>
                <w:sz w:val="20"/>
                <w:szCs w:val="20"/>
                <w14:ligatures w14:val="none"/>
              </w:rPr>
              <w:t>(K = 17; [52, 55-58, 61, 62, 65, 68, 71, 73-75, 77-80])</w:t>
            </w:r>
          </w:p>
        </w:tc>
        <w:tc>
          <w:tcPr>
            <w:tcW w:w="5386" w:type="dxa"/>
            <w:tcBorders>
              <w:top w:val="nil"/>
              <w:left w:val="nil"/>
              <w:bottom w:val="nil"/>
              <w:right w:val="nil"/>
            </w:tcBorders>
            <w:hideMark/>
          </w:tcPr>
          <w:p w14:paraId="5CB9FF73" w14:textId="77777777" w:rsidR="007121FC" w:rsidRPr="00D47CE6" w:rsidRDefault="007121FC" w:rsidP="00851E52">
            <w:pPr>
              <w:spacing w:after="0" w:line="240" w:lineRule="auto"/>
              <w:rPr>
                <w:rFonts w:ascii="Aptos Narrow" w:eastAsia="Times New Roman" w:hAnsi="Aptos Narrow" w:cs="Times New Roman"/>
                <w:i/>
                <w:iCs/>
                <w:color w:val="000000"/>
                <w:kern w:val="0"/>
                <w:sz w:val="20"/>
                <w:szCs w:val="20"/>
                <w14:ligatures w14:val="none"/>
              </w:rPr>
            </w:pPr>
            <w:r>
              <w:rPr>
                <w:rFonts w:ascii="Aptos Narrow" w:eastAsia="Times New Roman" w:hAnsi="Aptos Narrow" w:cs="Times New Roman"/>
                <w:color w:val="000000"/>
                <w:kern w:val="0"/>
                <w:sz w:val="20"/>
                <w:szCs w:val="20"/>
                <w14:ligatures w14:val="none"/>
              </w:rPr>
              <w:t>K = 11 [52, 57, 61, 62, 68, 71, 73, 74, 78-80]</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 xml:space="preserve">•“All you really want to know is, like, is it painless, or you’re asleep or something? Or would you suffer?”   </w:t>
            </w:r>
            <w:r>
              <w:rPr>
                <w:rFonts w:ascii="Aptos Narrow" w:eastAsia="Times New Roman" w:hAnsi="Aptos Narrow" w:cs="Times New Roman"/>
                <w:color w:val="000000"/>
                <w:kern w:val="0"/>
                <w:sz w:val="20"/>
                <w:szCs w:val="20"/>
                <w14:ligatures w14:val="none"/>
              </w:rPr>
              <w:t>(PwPD) [52]</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 ‘‘Daddy had a cardio stimulator at the end of his life and my mum prayed that he would die because the cardio stimulator was working hard in the final stage.’’</w:t>
            </w:r>
            <w:r>
              <w:rPr>
                <w:rFonts w:ascii="Aptos Narrow" w:eastAsia="Times New Roman" w:hAnsi="Aptos Narrow" w:cs="Times New Roman"/>
                <w:color w:val="000000"/>
                <w:kern w:val="0"/>
                <w:sz w:val="20"/>
                <w:szCs w:val="20"/>
                <w14:ligatures w14:val="none"/>
              </w:rPr>
              <w:t xml:space="preserve"> (Caregiver)</w:t>
            </w:r>
            <w:r>
              <w:rPr>
                <w:rFonts w:ascii="Aptos Narrow" w:eastAsia="Times New Roman" w:hAnsi="Aptos Narrow" w:cs="Times New Roman"/>
                <w:i/>
                <w:iCs/>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t>[57]</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 xml:space="preserve">•“It looks like I’m the only crucified here! I’ve always been correct with the other people, polite with everyone. This is the way I’m paid back.”  </w:t>
            </w:r>
            <w:r>
              <w:rPr>
                <w:rFonts w:ascii="Aptos Narrow" w:eastAsia="Times New Roman" w:hAnsi="Aptos Narrow" w:cs="Times New Roman"/>
                <w:color w:val="000000"/>
                <w:kern w:val="0"/>
                <w:sz w:val="20"/>
                <w:szCs w:val="20"/>
                <w14:ligatures w14:val="none"/>
              </w:rPr>
              <w:t>(PwPD) [78]</w:t>
            </w:r>
            <w:r>
              <w:rPr>
                <w:rFonts w:ascii="Aptos Narrow" w:eastAsia="Times New Roman" w:hAnsi="Aptos Narrow" w:cs="Times New Roman"/>
                <w:color w:val="000000"/>
                <w:kern w:val="0"/>
                <w:sz w:val="20"/>
                <w:szCs w:val="20"/>
                <w14:ligatures w14:val="none"/>
              </w:rPr>
              <w:br/>
              <w:t>•"</w:t>
            </w:r>
            <w:r>
              <w:rPr>
                <w:rFonts w:ascii="Aptos Narrow" w:eastAsia="Times New Roman" w:hAnsi="Aptos Narrow" w:cs="Times New Roman"/>
                <w:i/>
                <w:iCs/>
                <w:color w:val="000000"/>
                <w:kern w:val="0"/>
                <w:sz w:val="20"/>
                <w:szCs w:val="20"/>
                <w14:ligatures w14:val="none"/>
              </w:rPr>
              <w:t xml:space="preserve">I'm also getting some thoughts that I'm not sure if I can say out loud. That is, when someone is this ill [referring to T's PALS/CIs], I become really envious of the other members of this group whose partners will die before mine because their disease is not dragging on forever like I feel is the case with my partner. I think waiting is agony." </w:t>
            </w:r>
            <w:r>
              <w:rPr>
                <w:rFonts w:ascii="Aptos Narrow" w:eastAsia="Times New Roman" w:hAnsi="Aptos Narrow" w:cs="Times New Roman"/>
                <w:color w:val="000000"/>
                <w:kern w:val="0"/>
                <w:sz w:val="20"/>
                <w:szCs w:val="20"/>
                <w14:ligatures w14:val="none"/>
              </w:rPr>
              <w:t>(Caregiver)</w:t>
            </w:r>
            <w:r>
              <w:rPr>
                <w:rFonts w:ascii="Aptos Narrow" w:eastAsia="Times New Roman" w:hAnsi="Aptos Narrow" w:cs="Times New Roman"/>
                <w:i/>
                <w:iCs/>
                <w:color w:val="000000"/>
                <w:kern w:val="0"/>
                <w:sz w:val="20"/>
                <w:szCs w:val="20"/>
                <w14:ligatures w14:val="none"/>
              </w:rPr>
              <w:t xml:space="preserve"> [73].</w:t>
            </w:r>
          </w:p>
        </w:tc>
        <w:tc>
          <w:tcPr>
            <w:tcW w:w="5812" w:type="dxa"/>
            <w:tcBorders>
              <w:top w:val="nil"/>
              <w:left w:val="nil"/>
              <w:bottom w:val="nil"/>
              <w:right w:val="nil"/>
            </w:tcBorders>
            <w:hideMark/>
          </w:tcPr>
          <w:p w14:paraId="6689B6BE"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K = 7 [55, 56, 58, 61, 65, 75, 77]</w:t>
            </w:r>
            <w:r>
              <w:rPr>
                <w:rFonts w:ascii="Aptos Narrow" w:eastAsia="Times New Roman" w:hAnsi="Aptos Narrow" w:cs="Times New Roman"/>
                <w:color w:val="000000"/>
                <w:kern w:val="0"/>
                <w:sz w:val="20"/>
                <w:szCs w:val="20"/>
                <w14:ligatures w14:val="none"/>
              </w:rPr>
              <w:br/>
              <w:t>•36% of NDD caregivers reported lacking additional emotional, spiritual, or bereavement support, which was significantly higher than caregivers of those with other diagnoses (23.6%, p=0.043) [55].</w:t>
            </w:r>
            <w:r>
              <w:rPr>
                <w:rFonts w:ascii="Aptos Narrow" w:eastAsia="Times New Roman" w:hAnsi="Aptos Narrow" w:cs="Times New Roman"/>
                <w:color w:val="000000"/>
                <w:kern w:val="0"/>
                <w:sz w:val="20"/>
                <w:szCs w:val="20"/>
                <w14:ligatures w14:val="none"/>
              </w:rPr>
              <w:br/>
              <w:t>•Spiritual concerns (19.1%) were amongst the least discussed topics between family caregivers and ALS patients [56].</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kern w:val="0"/>
                <w:sz w:val="20"/>
                <w:szCs w:val="20"/>
                <w14:ligatures w14:val="none"/>
              </w:rPr>
              <w:t xml:space="preserve">•Lower patient and caregiver global QoL and global health (PNDQoL) was predicted by lower spiritual non-religion functioning [58]. </w:t>
            </w:r>
            <w:r>
              <w:rPr>
                <w:rFonts w:ascii="Aptos Narrow" w:eastAsia="Times New Roman" w:hAnsi="Aptos Narrow" w:cs="Times New Roman"/>
                <w:color w:val="000000"/>
                <w:kern w:val="0"/>
                <w:sz w:val="20"/>
                <w:szCs w:val="20"/>
                <w14:ligatures w14:val="none"/>
              </w:rPr>
              <w:br/>
              <w:t>•Caregivers rated religion had the lowest impact (mean=1.38/5) on EoL care preferences, however, caregivers preferring care rather than death reported higher religiosity (</w:t>
            </w:r>
            <w:r>
              <w:rPr>
                <w:rFonts w:ascii="Aptos Narrow" w:eastAsia="Times New Roman" w:hAnsi="Aptos Narrow" w:cs="Times New Roman"/>
                <w:i/>
                <w:iCs/>
                <w:color w:val="000000"/>
                <w:kern w:val="0"/>
                <w:sz w:val="20"/>
                <w:szCs w:val="20"/>
                <w14:ligatures w14:val="none"/>
              </w:rPr>
              <w:t>p</w:t>
            </w:r>
            <w:r>
              <w:rPr>
                <w:rFonts w:ascii="Aptos Narrow" w:eastAsia="Times New Roman" w:hAnsi="Aptos Narrow" w:cs="Times New Roman"/>
                <w:color w:val="000000"/>
                <w:kern w:val="0"/>
                <w:sz w:val="20"/>
                <w:szCs w:val="20"/>
                <w14:ligatures w14:val="none"/>
              </w:rPr>
              <w:t>=0.001), greater willingness to be dependent on others (</w:t>
            </w:r>
            <w:r>
              <w:rPr>
                <w:rFonts w:ascii="Aptos Narrow" w:eastAsia="Times New Roman" w:hAnsi="Aptos Narrow" w:cs="Times New Roman"/>
                <w:i/>
                <w:iCs/>
                <w:color w:val="000000"/>
                <w:kern w:val="0"/>
                <w:sz w:val="20"/>
                <w:szCs w:val="20"/>
                <w14:ligatures w14:val="none"/>
              </w:rPr>
              <w:t>p</w:t>
            </w:r>
            <w:r>
              <w:rPr>
                <w:rFonts w:ascii="Aptos Narrow" w:eastAsia="Times New Roman" w:hAnsi="Aptos Narrow" w:cs="Times New Roman"/>
                <w:color w:val="000000"/>
                <w:kern w:val="0"/>
                <w:sz w:val="20"/>
                <w:szCs w:val="20"/>
                <w14:ligatures w14:val="none"/>
              </w:rPr>
              <w:t>=0.007), greater will to live (</w:t>
            </w:r>
            <w:r>
              <w:rPr>
                <w:rFonts w:ascii="Aptos Narrow" w:eastAsia="Times New Roman" w:hAnsi="Aptos Narrow" w:cs="Times New Roman"/>
                <w:i/>
                <w:iCs/>
                <w:color w:val="000000"/>
                <w:kern w:val="0"/>
                <w:sz w:val="20"/>
                <w:szCs w:val="20"/>
                <w14:ligatures w14:val="none"/>
              </w:rPr>
              <w:t>p</w:t>
            </w:r>
            <w:r>
              <w:rPr>
                <w:rFonts w:ascii="Aptos Narrow" w:eastAsia="Times New Roman" w:hAnsi="Aptos Narrow" w:cs="Times New Roman"/>
                <w:color w:val="000000"/>
                <w:kern w:val="0"/>
                <w:sz w:val="20"/>
                <w:szCs w:val="20"/>
                <w14:ligatures w14:val="none"/>
              </w:rPr>
              <w:t>=0.02), and were more likely to value life extension over quality of life (</w:t>
            </w:r>
            <w:r>
              <w:rPr>
                <w:rFonts w:ascii="Aptos Narrow" w:eastAsia="Times New Roman" w:hAnsi="Aptos Narrow" w:cs="Times New Roman"/>
                <w:i/>
                <w:iCs/>
                <w:color w:val="000000"/>
                <w:kern w:val="0"/>
                <w:sz w:val="20"/>
                <w:szCs w:val="20"/>
                <w14:ligatures w14:val="none"/>
              </w:rPr>
              <w:t>p</w:t>
            </w:r>
            <w:r>
              <w:rPr>
                <w:rFonts w:ascii="Aptos Narrow" w:eastAsia="Times New Roman" w:hAnsi="Aptos Narrow" w:cs="Times New Roman"/>
                <w:color w:val="000000"/>
                <w:kern w:val="0"/>
                <w:sz w:val="20"/>
                <w:szCs w:val="20"/>
                <w14:ligatures w14:val="none"/>
              </w:rPr>
              <w:t>=0.01) [61].</w:t>
            </w:r>
            <w:r>
              <w:rPr>
                <w:rFonts w:ascii="Aptos Narrow" w:eastAsia="Times New Roman" w:hAnsi="Aptos Narrow" w:cs="Times New Roman"/>
                <w:color w:val="000000"/>
                <w:kern w:val="0"/>
                <w:sz w:val="20"/>
                <w:szCs w:val="20"/>
                <w14:ligatures w14:val="none"/>
              </w:rPr>
              <w:br/>
              <w:t xml:space="preserve">•RII showed prominent loss of inner peace in MND patients (58.8% [7th]), with a similar pattern in PD (59.1% [4th]) [65]. </w:t>
            </w:r>
            <w:r>
              <w:rPr>
                <w:rFonts w:ascii="Aptos Narrow" w:eastAsia="Times New Roman" w:hAnsi="Aptos Narrow" w:cs="Times New Roman"/>
                <w:color w:val="000000"/>
                <w:kern w:val="0"/>
                <w:sz w:val="20"/>
                <w:szCs w:val="20"/>
                <w14:ligatures w14:val="none"/>
              </w:rPr>
              <w:br/>
              <w:t>•Patients who opted out of LTMV showed slightly higher comfort in religion (VAS mean=6.0 vs 4.9; 10 point scale with higher scores indicating higher amount), comfort in spirituality (VAS mean=6.7 vs. 5.6; 10 point scale), with comparable levels of religious beliefs (Holland</w:t>
            </w:r>
            <w:r>
              <w:rPr>
                <w:rFonts w:ascii="AdvP8585" w:hAnsi="AdvP8585"/>
                <w:color w:val="000000"/>
                <w:sz w:val="20"/>
                <w:szCs w:val="20"/>
              </w:rPr>
              <w:t xml:space="preserve"> </w:t>
            </w:r>
            <w:r>
              <w:rPr>
                <w:rFonts w:ascii="Aptos Narrow" w:eastAsia="Times New Roman" w:hAnsi="Aptos Narrow" w:cs="Times New Roman"/>
                <w:color w:val="000000"/>
                <w:kern w:val="0"/>
                <w:sz w:val="20"/>
                <w:szCs w:val="20"/>
                <w14:ligatures w14:val="none"/>
              </w:rPr>
              <w:t>Inventory of Religious Beliefs mean=42.6 vs 42.0), but differences were NS and religious affiliation was not associated with LTMV decision [75].</w:t>
            </w:r>
            <w:r>
              <w:rPr>
                <w:rFonts w:ascii="Aptos Narrow" w:eastAsia="Times New Roman" w:hAnsi="Aptos Narrow" w:cs="Times New Roman"/>
                <w:color w:val="000000"/>
                <w:kern w:val="0"/>
                <w:sz w:val="20"/>
                <w:szCs w:val="20"/>
                <w14:ligatures w14:val="none"/>
              </w:rPr>
              <w:br/>
              <w:t xml:space="preserve">•Meaning-related and spiritual resources were variably endorsed in NDD patients, with relatively low perceived meaning (NRS; mean=3.76; range of 0-10 with higher scores indicating higher meaning) but moderate perceived help from faith (NRS; mean=5.08; higher scores indicating better support) [77]. </w:t>
            </w:r>
          </w:p>
        </w:tc>
        <w:tc>
          <w:tcPr>
            <w:tcW w:w="2410" w:type="dxa"/>
            <w:tcBorders>
              <w:top w:val="nil"/>
              <w:left w:val="nil"/>
              <w:bottom w:val="nil"/>
              <w:right w:val="nil"/>
            </w:tcBorders>
            <w:hideMark/>
          </w:tcPr>
          <w:p w14:paraId="4C3487F1"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sidRPr="00D47CE6">
              <w:rPr>
                <w:rFonts w:ascii="Aptos Narrow" w:eastAsia="Times New Roman" w:hAnsi="Aptos Narrow" w:cs="Times New Roman"/>
                <w:color w:val="000000"/>
                <w:kern w:val="0"/>
                <w:sz w:val="20"/>
                <w:szCs w:val="20"/>
                <w14:ligatures w14:val="none"/>
              </w:rPr>
              <w:t>Expansion.</w:t>
            </w:r>
            <w:r w:rsidRPr="00D47CE6">
              <w:rPr>
                <w:rFonts w:ascii="Aptos Narrow" w:eastAsia="Times New Roman" w:hAnsi="Aptos Narrow" w:cs="Times New Roman"/>
                <w:color w:val="000000"/>
                <w:kern w:val="0"/>
                <w:sz w:val="20"/>
                <w:szCs w:val="20"/>
                <w14:ligatures w14:val="none"/>
              </w:rPr>
              <w:br/>
              <w:t>Qualitative findings revealed concerns about suffering and the tension between quality and prolongation of life, whereas quantitative evidence suggested that religion and spirituality had limited or inconsistent influence on decision</w:t>
            </w:r>
            <w:r w:rsidRPr="00D47CE6">
              <w:rPr>
                <w:rFonts w:ascii="Aptos Narrow" w:eastAsia="Times New Roman" w:hAnsi="Aptos Narrow" w:cs="Times New Roman"/>
                <w:color w:val="000000"/>
                <w:kern w:val="0"/>
                <w:sz w:val="20"/>
                <w:szCs w:val="20"/>
                <w14:ligatures w14:val="none"/>
              </w:rPr>
              <w:noBreakHyphen/>
              <w:t>making and quality</w:t>
            </w:r>
            <w:r w:rsidRPr="00D47CE6">
              <w:rPr>
                <w:rFonts w:ascii="Aptos Narrow" w:eastAsia="Times New Roman" w:hAnsi="Aptos Narrow" w:cs="Times New Roman"/>
                <w:color w:val="000000"/>
                <w:kern w:val="0"/>
                <w:sz w:val="20"/>
                <w:szCs w:val="20"/>
                <w14:ligatures w14:val="none"/>
              </w:rPr>
              <w:noBreakHyphen/>
              <w:t>of</w:t>
            </w:r>
            <w:r w:rsidRPr="00D47CE6">
              <w:rPr>
                <w:rFonts w:ascii="Aptos Narrow" w:eastAsia="Times New Roman" w:hAnsi="Aptos Narrow" w:cs="Times New Roman"/>
                <w:color w:val="000000"/>
                <w:kern w:val="0"/>
                <w:sz w:val="20"/>
                <w:szCs w:val="20"/>
                <w14:ligatures w14:val="none"/>
              </w:rPr>
              <w:noBreakHyphen/>
              <w:t xml:space="preserve">life outcomes. </w:t>
            </w:r>
          </w:p>
        </w:tc>
      </w:tr>
      <w:tr w:rsidR="007121FC" w:rsidRPr="00D47CE6" w14:paraId="0C6DCD67" w14:textId="77777777" w:rsidTr="00851E52">
        <w:trPr>
          <w:trHeight w:val="2880"/>
        </w:trPr>
        <w:tc>
          <w:tcPr>
            <w:tcW w:w="2553" w:type="dxa"/>
            <w:tcBorders>
              <w:top w:val="nil"/>
              <w:left w:val="nil"/>
              <w:bottom w:val="nil"/>
              <w:right w:val="nil"/>
            </w:tcBorders>
            <w:hideMark/>
          </w:tcPr>
          <w:p w14:paraId="14EEB9B8" w14:textId="77777777" w:rsidR="007121FC" w:rsidRPr="00D47CE6" w:rsidRDefault="007121FC" w:rsidP="00851E52">
            <w:pPr>
              <w:spacing w:after="0" w:line="240" w:lineRule="auto"/>
              <w:ind w:left="318"/>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b/>
                <w:bCs/>
                <w:color w:val="000000"/>
                <w:kern w:val="0"/>
                <w:sz w:val="20"/>
                <w:szCs w:val="20"/>
                <w14:ligatures w14:val="none"/>
              </w:rPr>
              <w:lastRenderedPageBreak/>
              <w:t>Worry of burdening family members (PwPD)</w:t>
            </w:r>
            <w:r>
              <w:rPr>
                <w:rFonts w:ascii="Aptos Narrow" w:eastAsia="Times New Roman" w:hAnsi="Aptos Narrow" w:cs="Times New Roman"/>
                <w:color w:val="000000"/>
                <w:kern w:val="0"/>
                <w:sz w:val="20"/>
                <w:szCs w:val="20"/>
                <w14:ligatures w14:val="none"/>
              </w:rPr>
              <w:br/>
              <w:t>(K = 8; [52, 54, 62, 65, 72, 74, 78, 80])</w:t>
            </w:r>
          </w:p>
        </w:tc>
        <w:tc>
          <w:tcPr>
            <w:tcW w:w="5386" w:type="dxa"/>
            <w:tcBorders>
              <w:top w:val="nil"/>
              <w:left w:val="nil"/>
              <w:bottom w:val="nil"/>
              <w:right w:val="nil"/>
            </w:tcBorders>
            <w:hideMark/>
          </w:tcPr>
          <w:p w14:paraId="2557965F"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K = 7 [52, 54, 62, 72, 74, 78, 80]</w:t>
            </w:r>
            <w:r>
              <w:rPr>
                <w:rFonts w:ascii="Aptos Narrow" w:eastAsia="Times New Roman" w:hAnsi="Aptos Narrow" w:cs="Times New Roman"/>
                <w:i/>
                <w:iCs/>
                <w:color w:val="000000"/>
                <w:kern w:val="0"/>
                <w:sz w:val="20"/>
                <w:szCs w:val="20"/>
                <w14:ligatures w14:val="none"/>
              </w:rPr>
              <w:br/>
              <w:t xml:space="preserve">•"Obviously, that puts a bigger strain on my husband, who is doing massive [amounts] so that worries me slightly. I know I’ve got to live with it [ALS], but she’s [wife] got to do everything. She never seems to have any time off." </w:t>
            </w:r>
            <w:r>
              <w:rPr>
                <w:rFonts w:ascii="Aptos Narrow" w:eastAsia="Times New Roman" w:hAnsi="Aptos Narrow" w:cs="Times New Roman"/>
                <w:color w:val="000000"/>
                <w:kern w:val="0"/>
                <w:sz w:val="20"/>
                <w:szCs w:val="20"/>
                <w14:ligatures w14:val="none"/>
              </w:rPr>
              <w:t>(PwPD)</w:t>
            </w:r>
            <w:r>
              <w:rPr>
                <w:rFonts w:ascii="Aptos Narrow" w:eastAsia="Times New Roman" w:hAnsi="Aptos Narrow" w:cs="Times New Roman"/>
                <w:i/>
                <w:iCs/>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t>[54].</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 xml:space="preserve">"...he wanted to know when he should plan on taking his life before he was totally incapacitated and a severe burden for his wife". </w:t>
            </w:r>
            <w:r>
              <w:rPr>
                <w:rFonts w:ascii="Aptos Narrow" w:eastAsia="Times New Roman" w:hAnsi="Aptos Narrow" w:cs="Times New Roman"/>
                <w:color w:val="000000"/>
                <w:kern w:val="0"/>
                <w:sz w:val="20"/>
                <w:szCs w:val="20"/>
                <w14:ligatures w14:val="none"/>
              </w:rPr>
              <w:t>[74].</w:t>
            </w:r>
            <w:r>
              <w:rPr>
                <w:rFonts w:ascii="Aptos Narrow" w:eastAsia="Times New Roman" w:hAnsi="Aptos Narrow" w:cs="Times New Roman"/>
                <w:i/>
                <w:iCs/>
                <w:color w:val="000000"/>
                <w:kern w:val="0"/>
                <w:sz w:val="20"/>
                <w:szCs w:val="20"/>
                <w14:ligatures w14:val="none"/>
              </w:rPr>
              <w:br/>
              <w:t xml:space="preserve">•"After so many years you start feeling like a burden for the others. A deathly burden. Because I have a devastating condition and alter other people’s choices. You always need to ask. I don’t like it." </w:t>
            </w:r>
            <w:r>
              <w:rPr>
                <w:rFonts w:ascii="Aptos Narrow" w:eastAsia="Times New Roman" w:hAnsi="Aptos Narrow" w:cs="Times New Roman"/>
                <w:color w:val="000000"/>
                <w:kern w:val="0"/>
                <w:sz w:val="20"/>
                <w:szCs w:val="20"/>
                <w14:ligatures w14:val="none"/>
              </w:rPr>
              <w:t>(PwPD) [78].</w:t>
            </w:r>
          </w:p>
        </w:tc>
        <w:tc>
          <w:tcPr>
            <w:tcW w:w="5812" w:type="dxa"/>
            <w:tcBorders>
              <w:top w:val="nil"/>
              <w:left w:val="nil"/>
              <w:bottom w:val="nil"/>
              <w:right w:val="nil"/>
            </w:tcBorders>
            <w:hideMark/>
          </w:tcPr>
          <w:p w14:paraId="2C307BC7"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K = 1 [65]</w:t>
            </w:r>
            <w:r>
              <w:rPr>
                <w:rFonts w:ascii="Aptos Narrow" w:eastAsia="Times New Roman" w:hAnsi="Aptos Narrow" w:cs="Times New Roman"/>
                <w:color w:val="000000"/>
                <w:kern w:val="0"/>
                <w:sz w:val="20"/>
                <w:szCs w:val="20"/>
                <w14:ligatures w14:val="none"/>
              </w:rPr>
              <w:br/>
              <w:t>•Using RII, perceived family anxiety and inability to share feelings (IPOS) were established as one of the most prominent symptoms, family anxiety ranked 2nd in MND (75.6%) and 3rd in PD (60.9%); inability to share feelings ranked 5th in MND (61.6%) and 2nd in PD (65.9%) [65].</w:t>
            </w:r>
          </w:p>
        </w:tc>
        <w:tc>
          <w:tcPr>
            <w:tcW w:w="2410" w:type="dxa"/>
            <w:tcBorders>
              <w:top w:val="nil"/>
              <w:left w:val="nil"/>
              <w:bottom w:val="nil"/>
              <w:right w:val="nil"/>
            </w:tcBorders>
            <w:hideMark/>
          </w:tcPr>
          <w:p w14:paraId="5B093CC9"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sidRPr="00D47CE6">
              <w:rPr>
                <w:rFonts w:ascii="Aptos Narrow" w:eastAsia="Times New Roman" w:hAnsi="Aptos Narrow" w:cs="Times New Roman"/>
                <w:color w:val="000000"/>
                <w:kern w:val="0"/>
                <w:sz w:val="20"/>
                <w:szCs w:val="20"/>
                <w14:ligatures w14:val="none"/>
              </w:rPr>
              <w:t>Expansion.</w:t>
            </w:r>
            <w:r w:rsidRPr="00D47CE6">
              <w:rPr>
                <w:rFonts w:ascii="Aptos Narrow" w:eastAsia="Times New Roman" w:hAnsi="Aptos Narrow" w:cs="Times New Roman"/>
                <w:color w:val="000000"/>
                <w:kern w:val="0"/>
                <w:sz w:val="20"/>
                <w:szCs w:val="20"/>
                <w14:ligatures w14:val="none"/>
              </w:rPr>
              <w:br/>
              <w:t xml:space="preserve">Quantitative studies did not directly assess perceived burdening, however, quantitative findings (family anxiety, sharing feelings) support and extend qualitative reports of perceived burden on family. </w:t>
            </w:r>
          </w:p>
        </w:tc>
      </w:tr>
      <w:tr w:rsidR="007121FC" w:rsidRPr="00D47CE6" w14:paraId="50E4F9E7" w14:textId="77777777" w:rsidTr="00851E52">
        <w:trPr>
          <w:trHeight w:val="288"/>
        </w:trPr>
        <w:tc>
          <w:tcPr>
            <w:tcW w:w="2553" w:type="dxa"/>
            <w:tcBorders>
              <w:top w:val="nil"/>
              <w:left w:val="nil"/>
              <w:bottom w:val="nil"/>
              <w:right w:val="nil"/>
            </w:tcBorders>
            <w:hideMark/>
          </w:tcPr>
          <w:p w14:paraId="6B6DAED9" w14:textId="77777777" w:rsidR="007121FC" w:rsidRPr="00D47CE6" w:rsidRDefault="007121FC" w:rsidP="00851E52">
            <w:pPr>
              <w:spacing w:after="0" w:line="240" w:lineRule="auto"/>
              <w:rPr>
                <w:rFonts w:ascii="Aptos Narrow" w:eastAsia="Times New Roman" w:hAnsi="Aptos Narrow" w:cs="Times New Roman"/>
                <w:b/>
                <w:bCs/>
                <w:color w:val="000000"/>
                <w:kern w:val="0"/>
                <w:sz w:val="20"/>
                <w:szCs w:val="20"/>
                <w14:ligatures w14:val="none"/>
              </w:rPr>
            </w:pPr>
            <w:r w:rsidRPr="00D47CE6">
              <w:rPr>
                <w:rFonts w:ascii="Aptos Narrow" w:eastAsia="Times New Roman" w:hAnsi="Aptos Narrow" w:cs="Times New Roman"/>
                <w:b/>
                <w:bCs/>
                <w:color w:val="000000"/>
                <w:kern w:val="0"/>
                <w:sz w:val="20"/>
                <w:szCs w:val="20"/>
                <w14:ligatures w14:val="none"/>
              </w:rPr>
              <w:t>Social Needs</w:t>
            </w:r>
          </w:p>
        </w:tc>
        <w:tc>
          <w:tcPr>
            <w:tcW w:w="5386" w:type="dxa"/>
            <w:tcBorders>
              <w:top w:val="nil"/>
              <w:left w:val="nil"/>
              <w:bottom w:val="nil"/>
              <w:right w:val="nil"/>
            </w:tcBorders>
            <w:hideMark/>
          </w:tcPr>
          <w:p w14:paraId="69D9B124" w14:textId="77777777" w:rsidR="007121FC" w:rsidRPr="00D47CE6" w:rsidRDefault="007121FC" w:rsidP="00851E52">
            <w:pPr>
              <w:spacing w:after="0" w:line="240" w:lineRule="auto"/>
              <w:rPr>
                <w:rFonts w:ascii="Aptos Narrow" w:eastAsia="Times New Roman" w:hAnsi="Aptos Narrow" w:cs="Times New Roman"/>
                <w:b/>
                <w:bCs/>
                <w:color w:val="000000"/>
                <w:kern w:val="0"/>
                <w:sz w:val="20"/>
                <w:szCs w:val="20"/>
                <w14:ligatures w14:val="none"/>
              </w:rPr>
            </w:pPr>
          </w:p>
        </w:tc>
        <w:tc>
          <w:tcPr>
            <w:tcW w:w="5812" w:type="dxa"/>
            <w:tcBorders>
              <w:top w:val="nil"/>
              <w:left w:val="nil"/>
              <w:bottom w:val="nil"/>
              <w:right w:val="nil"/>
            </w:tcBorders>
            <w:hideMark/>
          </w:tcPr>
          <w:p w14:paraId="5F6DAB16" w14:textId="77777777" w:rsidR="007121FC" w:rsidRPr="00D47CE6" w:rsidRDefault="007121FC" w:rsidP="00851E52">
            <w:pPr>
              <w:spacing w:after="0" w:line="240" w:lineRule="auto"/>
              <w:rPr>
                <w:rFonts w:ascii="Times New Roman" w:eastAsia="Times New Roman" w:hAnsi="Times New Roman" w:cs="Times New Roman"/>
                <w:kern w:val="0"/>
                <w:sz w:val="20"/>
                <w:szCs w:val="20"/>
                <w14:ligatures w14:val="none"/>
              </w:rPr>
            </w:pPr>
          </w:p>
        </w:tc>
        <w:tc>
          <w:tcPr>
            <w:tcW w:w="2410" w:type="dxa"/>
            <w:tcBorders>
              <w:top w:val="nil"/>
              <w:left w:val="nil"/>
              <w:bottom w:val="nil"/>
              <w:right w:val="nil"/>
            </w:tcBorders>
            <w:hideMark/>
          </w:tcPr>
          <w:p w14:paraId="0D49523F" w14:textId="77777777" w:rsidR="007121FC" w:rsidRPr="00D47CE6" w:rsidRDefault="007121FC" w:rsidP="00851E52">
            <w:pPr>
              <w:spacing w:after="0" w:line="240" w:lineRule="auto"/>
              <w:rPr>
                <w:rFonts w:ascii="Times New Roman" w:eastAsia="Times New Roman" w:hAnsi="Times New Roman" w:cs="Times New Roman"/>
                <w:kern w:val="0"/>
                <w:sz w:val="20"/>
                <w:szCs w:val="20"/>
                <w14:ligatures w14:val="none"/>
              </w:rPr>
            </w:pPr>
          </w:p>
        </w:tc>
      </w:tr>
      <w:tr w:rsidR="007121FC" w:rsidRPr="00D47CE6" w14:paraId="7C599695" w14:textId="77777777" w:rsidTr="00851E52">
        <w:trPr>
          <w:trHeight w:val="3456"/>
        </w:trPr>
        <w:tc>
          <w:tcPr>
            <w:tcW w:w="2553" w:type="dxa"/>
            <w:tcBorders>
              <w:top w:val="nil"/>
              <w:left w:val="nil"/>
              <w:bottom w:val="nil"/>
              <w:right w:val="nil"/>
            </w:tcBorders>
            <w:hideMark/>
          </w:tcPr>
          <w:p w14:paraId="7B53E38A" w14:textId="77777777" w:rsidR="007121FC" w:rsidRPr="00D47CE6" w:rsidRDefault="007121FC" w:rsidP="00851E52">
            <w:pPr>
              <w:spacing w:after="0" w:line="240" w:lineRule="auto"/>
              <w:ind w:left="318"/>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Social isolation and stigma (PwPD)</w:t>
            </w:r>
            <w:r>
              <w:rPr>
                <w:rFonts w:ascii="Aptos Narrow" w:eastAsia="Times New Roman" w:hAnsi="Aptos Narrow" w:cs="Times New Roman"/>
                <w:color w:val="000000"/>
                <w:kern w:val="0"/>
                <w:sz w:val="20"/>
                <w:szCs w:val="20"/>
                <w14:ligatures w14:val="none"/>
              </w:rPr>
              <w:br/>
              <w:t>(K = 10; [52, 57, 58, 60, 68, 74, 75, 77, 78, 80])</w:t>
            </w:r>
          </w:p>
        </w:tc>
        <w:tc>
          <w:tcPr>
            <w:tcW w:w="5386" w:type="dxa"/>
            <w:tcBorders>
              <w:top w:val="nil"/>
              <w:left w:val="nil"/>
              <w:bottom w:val="nil"/>
              <w:right w:val="nil"/>
            </w:tcBorders>
            <w:hideMark/>
          </w:tcPr>
          <w:p w14:paraId="5C4D100E"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K = 6 [52, 57, 68, 74, 78, 80]</w:t>
            </w:r>
            <w:r>
              <w:rPr>
                <w:rFonts w:ascii="Aptos Narrow" w:eastAsia="Times New Roman" w:hAnsi="Aptos Narrow" w:cs="Times New Roman"/>
                <w:i/>
                <w:iCs/>
                <w:color w:val="000000"/>
                <w:kern w:val="0"/>
                <w:sz w:val="20"/>
                <w:szCs w:val="20"/>
                <w14:ligatures w14:val="none"/>
              </w:rPr>
              <w:br/>
              <w:t xml:space="preserve">•When the partner cannot accept the patient’s disease, the relationship may break up or they may get divorced: ‘‘We have known each other for 21 years, but he couldn’t stand the disease. So, we got divorced." </w:t>
            </w:r>
            <w:r>
              <w:rPr>
                <w:rFonts w:ascii="Aptos Narrow" w:eastAsia="Times New Roman" w:hAnsi="Aptos Narrow" w:cs="Times New Roman"/>
                <w:color w:val="000000"/>
                <w:kern w:val="0"/>
                <w:sz w:val="20"/>
                <w:szCs w:val="20"/>
                <w14:ligatures w14:val="none"/>
              </w:rPr>
              <w:t>(PwPD)</w:t>
            </w:r>
            <w:r>
              <w:rPr>
                <w:rFonts w:ascii="Aptos Narrow" w:eastAsia="Times New Roman" w:hAnsi="Aptos Narrow" w:cs="Times New Roman"/>
                <w:i/>
                <w:iCs/>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t>[57].</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 xml:space="preserve">•"First of all, when she </w:t>
            </w:r>
            <w:r>
              <w:rPr>
                <w:rFonts w:ascii="Aptos Narrow" w:eastAsia="Times New Roman" w:hAnsi="Aptos Narrow" w:cs="Times New Roman"/>
                <w:color w:val="000000"/>
                <w:kern w:val="0"/>
                <w:sz w:val="20"/>
                <w:szCs w:val="20"/>
                <w14:ligatures w14:val="none"/>
              </w:rPr>
              <w:t>(PwPD)</w:t>
            </w:r>
            <w:r>
              <w:rPr>
                <w:rFonts w:ascii="Aptos Narrow" w:eastAsia="Times New Roman" w:hAnsi="Aptos Narrow" w:cs="Times New Roman"/>
                <w:i/>
                <w:iCs/>
                <w:color w:val="000000"/>
                <w:kern w:val="0"/>
                <w:sz w:val="20"/>
                <w:szCs w:val="20"/>
                <w14:ligatures w14:val="none"/>
              </w:rPr>
              <w:t xml:space="preserve"> talks with difﬁculty, the ﬁrst reaction (Visitor) is, hey? What are you saying? Can’t you speak any clearer? And if you then fall asleep, they’re like, I’m never coming here again." </w:t>
            </w:r>
            <w:r>
              <w:rPr>
                <w:rFonts w:ascii="Aptos Narrow" w:eastAsia="Times New Roman" w:hAnsi="Aptos Narrow" w:cs="Times New Roman"/>
                <w:color w:val="000000"/>
                <w:kern w:val="0"/>
                <w:sz w:val="20"/>
                <w:szCs w:val="20"/>
                <w14:ligatures w14:val="none"/>
              </w:rPr>
              <w:t>(Caregiver)</w:t>
            </w:r>
            <w:r>
              <w:rPr>
                <w:rFonts w:ascii="Aptos Narrow" w:eastAsia="Times New Roman" w:hAnsi="Aptos Narrow" w:cs="Times New Roman"/>
                <w:i/>
                <w:iCs/>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t>[68].</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 xml:space="preserve">•Sometimes people stared at him; sometimes they turned away and refused to look at him...Jerry </w:t>
            </w:r>
            <w:r>
              <w:rPr>
                <w:rFonts w:ascii="Aptos Narrow" w:eastAsia="Times New Roman" w:hAnsi="Aptos Narrow" w:cs="Times New Roman"/>
                <w:color w:val="000000"/>
                <w:kern w:val="0"/>
                <w:sz w:val="20"/>
                <w:szCs w:val="20"/>
                <w14:ligatures w14:val="none"/>
              </w:rPr>
              <w:t>(PwPD)</w:t>
            </w:r>
            <w:r>
              <w:rPr>
                <w:rFonts w:ascii="Aptos Narrow" w:eastAsia="Times New Roman" w:hAnsi="Aptos Narrow" w:cs="Times New Roman"/>
                <w:i/>
                <w:iCs/>
                <w:color w:val="000000"/>
                <w:kern w:val="0"/>
                <w:sz w:val="20"/>
                <w:szCs w:val="20"/>
                <w14:ligatures w14:val="none"/>
              </w:rPr>
              <w:t xml:space="preserve"> would become very angry and upset when people looked at him as though he were some kind of oddity.</w:t>
            </w:r>
            <w:r>
              <w:rPr>
                <w:rFonts w:ascii="Aptos Narrow" w:eastAsia="Times New Roman" w:hAnsi="Aptos Narrow" w:cs="Times New Roman"/>
                <w:color w:val="000000"/>
                <w:kern w:val="0"/>
                <w:sz w:val="20"/>
                <w:szCs w:val="20"/>
                <w14:ligatures w14:val="none"/>
              </w:rPr>
              <w:t xml:space="preserve"> (Researcher) [80]</w:t>
            </w:r>
          </w:p>
        </w:tc>
        <w:tc>
          <w:tcPr>
            <w:tcW w:w="5812" w:type="dxa"/>
            <w:tcBorders>
              <w:top w:val="nil"/>
              <w:left w:val="nil"/>
              <w:bottom w:val="nil"/>
              <w:right w:val="nil"/>
            </w:tcBorders>
            <w:hideMark/>
          </w:tcPr>
          <w:p w14:paraId="136DCAB8"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K = 4 [58, 60, 75, 77]</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kern w:val="0"/>
                <w:sz w:val="20"/>
                <w:szCs w:val="20"/>
                <w14:ligatures w14:val="none"/>
              </w:rPr>
              <w:t xml:space="preserve">•Better emotional functioning (PNDQoL) was achieved by single and married MS patients in comparison to widowers and divorced people, and better social functioning was found among married people compared to single, widowed and divorced patients [58]. </w:t>
            </w:r>
            <w:r>
              <w:rPr>
                <w:rFonts w:ascii="Aptos Narrow" w:eastAsia="Times New Roman" w:hAnsi="Aptos Narrow" w:cs="Times New Roman"/>
                <w:color w:val="000000"/>
                <w:kern w:val="0"/>
                <w:sz w:val="20"/>
                <w:szCs w:val="20"/>
                <w14:ligatures w14:val="none"/>
              </w:rPr>
              <w:br/>
              <w:t xml:space="preserve">•People with MSA reported social isolation (82%), with deterioration reported in friendships (46%), partner relationships (31%), and family relationships (24%), and a minority (13-18%) perceiving that their relationship with their friends, partner and family had improved. 86% reporting adverse effects on sexual life, yet 93% received no related support and most who did perceived it as ineffective [60]. </w:t>
            </w:r>
            <w:r>
              <w:rPr>
                <w:rFonts w:ascii="Aptos Narrow" w:eastAsia="Times New Roman" w:hAnsi="Aptos Narrow" w:cs="Times New Roman"/>
                <w:color w:val="000000"/>
                <w:kern w:val="0"/>
                <w:sz w:val="20"/>
                <w:szCs w:val="20"/>
                <w14:ligatures w14:val="none"/>
              </w:rPr>
              <w:br/>
              <w:t>•Those with NDD reported moderate levels of social isolation (NRS: mean=5.27; range of 0-10 with</w:t>
            </w:r>
            <w:r>
              <w:rPr>
                <w:rFonts w:ascii="Aptos Narrow" w:eastAsia="Times New Roman" w:hAnsi="Aptos Narrow" w:cs="Times New Roman"/>
                <w:kern w:val="0"/>
                <w:sz w:val="20"/>
                <w:szCs w:val="20"/>
                <w14:ligatures w14:val="none"/>
              </w:rPr>
              <w:t xml:space="preserve"> higher</w:t>
            </w:r>
            <w:r>
              <w:rPr>
                <w:rFonts w:ascii="Aptos Narrow" w:eastAsia="Times New Roman" w:hAnsi="Aptos Narrow" w:cs="Times New Roman"/>
                <w:color w:val="000000"/>
                <w:kern w:val="0"/>
                <w:sz w:val="20"/>
                <w:szCs w:val="20"/>
                <w14:ligatures w14:val="none"/>
              </w:rPr>
              <w:t xml:space="preserve"> scores indicate lower levels of symptoms) and feelings of abandonment (NRS: mean=7.45) [77]. </w:t>
            </w:r>
            <w:r>
              <w:rPr>
                <w:rFonts w:ascii="Aptos Narrow" w:eastAsia="Times New Roman" w:hAnsi="Aptos Narrow" w:cs="Times New Roman"/>
                <w:color w:val="000000"/>
                <w:kern w:val="0"/>
                <w:sz w:val="20"/>
                <w:szCs w:val="20"/>
                <w14:ligatures w14:val="none"/>
              </w:rPr>
              <w:br/>
              <w:t xml:space="preserve">•Social connectedness was higher among ALS patients that chose LTMV than those who opted out (8 vs 4.5 weekly visitors), although differences were NS [75]. </w:t>
            </w:r>
          </w:p>
        </w:tc>
        <w:tc>
          <w:tcPr>
            <w:tcW w:w="2410" w:type="dxa"/>
            <w:tcBorders>
              <w:top w:val="nil"/>
              <w:left w:val="nil"/>
              <w:bottom w:val="nil"/>
              <w:right w:val="nil"/>
            </w:tcBorders>
            <w:hideMark/>
          </w:tcPr>
          <w:p w14:paraId="7606C251"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sidRPr="00D47CE6">
              <w:rPr>
                <w:rFonts w:ascii="Aptos Narrow" w:eastAsia="Times New Roman" w:hAnsi="Aptos Narrow" w:cs="Times New Roman"/>
                <w:color w:val="000000"/>
                <w:kern w:val="0"/>
                <w:sz w:val="20"/>
                <w:szCs w:val="20"/>
                <w14:ligatures w14:val="none"/>
              </w:rPr>
              <w:t>Confirmation.</w:t>
            </w:r>
            <w:r w:rsidRPr="00D47CE6">
              <w:rPr>
                <w:rFonts w:ascii="Aptos Narrow" w:eastAsia="Times New Roman" w:hAnsi="Aptos Narrow" w:cs="Times New Roman"/>
                <w:color w:val="000000"/>
                <w:kern w:val="0"/>
                <w:sz w:val="20"/>
                <w:szCs w:val="20"/>
                <w14:ligatures w14:val="none"/>
              </w:rPr>
              <w:br/>
              <w:t>Both evidence streams consistently indicate that physical disabilities, particularly progressive neurological illness substantially constrains social life and contributes to social isolation and relational disruption among PwPD.</w:t>
            </w:r>
          </w:p>
        </w:tc>
      </w:tr>
      <w:tr w:rsidR="007121FC" w:rsidRPr="00D47CE6" w14:paraId="44E3B57F" w14:textId="77777777" w:rsidTr="00851E52">
        <w:trPr>
          <w:trHeight w:val="4896"/>
        </w:trPr>
        <w:tc>
          <w:tcPr>
            <w:tcW w:w="2553" w:type="dxa"/>
            <w:tcBorders>
              <w:top w:val="nil"/>
              <w:left w:val="nil"/>
              <w:bottom w:val="nil"/>
              <w:right w:val="nil"/>
            </w:tcBorders>
            <w:hideMark/>
          </w:tcPr>
          <w:p w14:paraId="13F2C765" w14:textId="77777777" w:rsidR="007121FC" w:rsidRPr="00D47CE6" w:rsidRDefault="007121FC" w:rsidP="00851E52">
            <w:pPr>
              <w:spacing w:after="0" w:line="240" w:lineRule="auto"/>
              <w:ind w:left="318"/>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Care delivery gaps (PwPD, caregiver, HCP)</w:t>
            </w:r>
            <w:r>
              <w:rPr>
                <w:rFonts w:ascii="Aptos Narrow" w:eastAsia="Times New Roman" w:hAnsi="Aptos Narrow" w:cs="Times New Roman"/>
                <w:color w:val="000000"/>
                <w:kern w:val="0"/>
                <w:sz w:val="20"/>
                <w:szCs w:val="20"/>
                <w14:ligatures w14:val="none"/>
              </w:rPr>
              <w:br/>
              <w:t>(K = 15; [27, 39, 52, 55, 57, 59, 61, 62, 68, 70, 72, 77-80])</w:t>
            </w:r>
          </w:p>
        </w:tc>
        <w:tc>
          <w:tcPr>
            <w:tcW w:w="5386" w:type="dxa"/>
            <w:tcBorders>
              <w:top w:val="nil"/>
              <w:left w:val="nil"/>
              <w:bottom w:val="nil"/>
              <w:right w:val="nil"/>
            </w:tcBorders>
            <w:hideMark/>
          </w:tcPr>
          <w:p w14:paraId="63D82B81"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K = 12 [27, 52, 57, 59, 61, 62, 68, 70, 72, 78-80]</w:t>
            </w:r>
            <w:r>
              <w:rPr>
                <w:rFonts w:ascii="Aptos Narrow" w:eastAsia="Times New Roman" w:hAnsi="Aptos Narrow" w:cs="Times New Roman"/>
                <w:i/>
                <w:iCs/>
                <w:color w:val="000000"/>
                <w:kern w:val="0"/>
                <w:sz w:val="20"/>
                <w:szCs w:val="20"/>
                <w14:ligatures w14:val="none"/>
              </w:rPr>
              <w:br/>
              <w:t>•"You feel that he (doctor) is actually listening. Whereas other doctors I see, you feel that they’re not emotionally invested in you. He asks about my life and that's the difference"</w:t>
            </w:r>
            <w:r>
              <w:rPr>
                <w:rFonts w:ascii="Aptos Narrow" w:eastAsia="Times New Roman" w:hAnsi="Aptos Narrow" w:cs="Times New Roman"/>
                <w:color w:val="000000"/>
                <w:kern w:val="0"/>
                <w:sz w:val="20"/>
                <w:szCs w:val="20"/>
                <w14:ligatures w14:val="none"/>
              </w:rPr>
              <w:t xml:space="preserve"> (PwPD) [52].</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•In some cases, the rehabilitation services should be provided by a nurse from the home care agency who however did not have sufficient skills: ‘‘ ... she didn’t know how to do it and what exercises ... ’’</w:t>
            </w:r>
            <w:r>
              <w:rPr>
                <w:rFonts w:ascii="Aptos Narrow" w:eastAsia="Times New Roman" w:hAnsi="Aptos Narrow" w:cs="Times New Roman"/>
                <w:color w:val="000000"/>
                <w:kern w:val="0"/>
                <w:sz w:val="20"/>
                <w:szCs w:val="20"/>
                <w14:ligatures w14:val="none"/>
              </w:rPr>
              <w:t xml:space="preserve"> (Caregiver) [57].</w:t>
            </w:r>
            <w:r>
              <w:rPr>
                <w:rFonts w:ascii="Aptos Narrow" w:eastAsia="Times New Roman" w:hAnsi="Aptos Narrow" w:cs="Times New Roman"/>
                <w:color w:val="000000"/>
                <w:kern w:val="0"/>
                <w:sz w:val="20"/>
                <w:szCs w:val="20"/>
                <w14:ligatures w14:val="none"/>
              </w:rPr>
              <w:br/>
              <w:t>•"</w:t>
            </w:r>
            <w:r>
              <w:rPr>
                <w:rFonts w:ascii="Aptos Narrow" w:eastAsia="Times New Roman" w:hAnsi="Aptos Narrow" w:cs="Times New Roman"/>
                <w:i/>
                <w:iCs/>
                <w:color w:val="000000"/>
                <w:kern w:val="0"/>
                <w:sz w:val="20"/>
                <w:szCs w:val="20"/>
                <w14:ligatures w14:val="none"/>
              </w:rPr>
              <w:t>I’m really angry with the neurologist that has always cared for him…he should come to see how he is going on…If you need help there is no-one available</w:t>
            </w:r>
            <w:r>
              <w:rPr>
                <w:rFonts w:ascii="Aptos Narrow" w:eastAsia="Times New Roman" w:hAnsi="Aptos Narrow" w:cs="Times New Roman"/>
                <w:color w:val="000000"/>
                <w:kern w:val="0"/>
                <w:sz w:val="20"/>
                <w:szCs w:val="20"/>
                <w14:ligatures w14:val="none"/>
              </w:rPr>
              <w:t>" (Caregiver) [78].</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 xml:space="preserve">•"Even when providing the nursing services, human dignity may be lost: ‘‘When the person gets his or her first nappy and nobody explains the whole thing. And then the nurse comes and says ‘now we will give you that nappy’ ... ‘I will lift up your leg.’ And this person who had a position, some respect, self-esteem ’’ </w:t>
            </w:r>
            <w:r>
              <w:rPr>
                <w:rFonts w:ascii="Aptos Narrow" w:eastAsia="Times New Roman" w:hAnsi="Aptos Narrow" w:cs="Times New Roman"/>
                <w:color w:val="000000"/>
                <w:kern w:val="0"/>
                <w:sz w:val="20"/>
                <w:szCs w:val="20"/>
                <w14:ligatures w14:val="none"/>
              </w:rPr>
              <w:t>(HCP)</w:t>
            </w:r>
            <w:r>
              <w:rPr>
                <w:rFonts w:ascii="Aptos Narrow" w:eastAsia="Times New Roman" w:hAnsi="Aptos Narrow" w:cs="Times New Roman"/>
                <w:i/>
                <w:iCs/>
                <w:color w:val="000000"/>
                <w:kern w:val="0"/>
                <w:sz w:val="20"/>
                <w:szCs w:val="20"/>
                <w14:ligatures w14:val="none"/>
              </w:rPr>
              <w:t xml:space="preserve"> [57].</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•"I hear a lot of them saying, “We have never looked after somebody who’s dying before. I don’t know if I would be able to do it.” I think there’s a lot of worry that something – that they might be asked to do things that are not within their expertise or something"</w:t>
            </w:r>
            <w:r>
              <w:rPr>
                <w:rFonts w:ascii="Aptos Narrow" w:eastAsia="Times New Roman" w:hAnsi="Aptos Narrow" w:cs="Times New Roman"/>
                <w:color w:val="000000"/>
                <w:kern w:val="0"/>
                <w:sz w:val="20"/>
                <w:szCs w:val="20"/>
                <w14:ligatures w14:val="none"/>
              </w:rPr>
              <w:t xml:space="preserve"> (HCP) [27].</w:t>
            </w:r>
          </w:p>
        </w:tc>
        <w:tc>
          <w:tcPr>
            <w:tcW w:w="5812" w:type="dxa"/>
            <w:tcBorders>
              <w:top w:val="nil"/>
              <w:left w:val="nil"/>
              <w:bottom w:val="nil"/>
              <w:right w:val="nil"/>
            </w:tcBorders>
            <w:hideMark/>
          </w:tcPr>
          <w:p w14:paraId="7709EE71"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K = 3 [39, 55, 77]</w:t>
            </w:r>
            <w:r>
              <w:rPr>
                <w:rFonts w:ascii="Aptos Narrow" w:eastAsia="Times New Roman" w:hAnsi="Aptos Narrow" w:cs="Times New Roman"/>
                <w:color w:val="000000"/>
                <w:kern w:val="0"/>
                <w:sz w:val="20"/>
                <w:szCs w:val="20"/>
                <w14:ligatures w14:val="none"/>
              </w:rPr>
              <w:br/>
              <w:t xml:space="preserve">•Fewer than one-third of family caregivers of stroke patients (29%) rated doctors’ care as excellent compared with nearly half (46%) for nurses, while over one-third (37%) perceived doctors as rushed, and nearly one-fifth described encounters marked by indifference or hostility (17%) [39]. </w:t>
            </w:r>
            <w:r>
              <w:rPr>
                <w:rFonts w:ascii="Aptos Narrow" w:eastAsia="Times New Roman" w:hAnsi="Aptos Narrow" w:cs="Times New Roman"/>
                <w:color w:val="000000"/>
                <w:kern w:val="0"/>
                <w:sz w:val="20"/>
                <w:szCs w:val="20"/>
                <w14:ligatures w14:val="none"/>
              </w:rPr>
              <w:br/>
              <w:t xml:space="preserve">•Only 33.3% of NDD caregivers perceived to have had enough support, and 51% had any positive answer to additional support needs; this was comparable to other diagnoses [55]. </w:t>
            </w:r>
            <w:r>
              <w:rPr>
                <w:rFonts w:ascii="Aptos Narrow" w:eastAsia="Times New Roman" w:hAnsi="Aptos Narrow" w:cs="Times New Roman"/>
                <w:color w:val="000000"/>
                <w:kern w:val="0"/>
                <w:sz w:val="20"/>
                <w:szCs w:val="20"/>
                <w14:ligatures w14:val="none"/>
              </w:rPr>
              <w:br/>
              <w:t>•NDD patients and caregivers reported moderate satisfaction with specialist palliative care services (Patient NRS: mean=6.83; Caregiver NRS: mean=6.41; range of 0-10 with higher scores indicate higher satisfaction) [77].</w:t>
            </w:r>
          </w:p>
        </w:tc>
        <w:tc>
          <w:tcPr>
            <w:tcW w:w="2410" w:type="dxa"/>
            <w:tcBorders>
              <w:top w:val="nil"/>
              <w:left w:val="nil"/>
              <w:bottom w:val="nil"/>
              <w:right w:val="nil"/>
            </w:tcBorders>
            <w:hideMark/>
          </w:tcPr>
          <w:p w14:paraId="530D6B8C"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sidRPr="00D47CE6">
              <w:rPr>
                <w:rFonts w:ascii="Aptos Narrow" w:eastAsia="Times New Roman" w:hAnsi="Aptos Narrow" w:cs="Times New Roman"/>
                <w:color w:val="000000"/>
                <w:kern w:val="0"/>
                <w:sz w:val="20"/>
                <w:szCs w:val="20"/>
                <w14:ligatures w14:val="none"/>
              </w:rPr>
              <w:t>Confirmation.</w:t>
            </w:r>
            <w:r w:rsidRPr="00D47CE6">
              <w:rPr>
                <w:rFonts w:ascii="Aptos Narrow" w:eastAsia="Times New Roman" w:hAnsi="Aptos Narrow" w:cs="Times New Roman"/>
                <w:color w:val="000000"/>
                <w:kern w:val="0"/>
                <w:sz w:val="20"/>
                <w:szCs w:val="20"/>
                <w14:ligatures w14:val="none"/>
              </w:rPr>
              <w:br/>
              <w:t>Qualitative accounts from PwPD, caregivers, and healthcare professionals describing inconsistent care quality, limited competence, and insufficient support were directly corroborated by quantitative evidence demonstrating low ratings of care satisfaction or unmet support needs. Qualitative evidence further illustrated how perceived gaps in expertise and confidence from HCPs contribute to challenges in care delivery.</w:t>
            </w:r>
          </w:p>
        </w:tc>
      </w:tr>
      <w:tr w:rsidR="007121FC" w:rsidRPr="00D47CE6" w14:paraId="2AAA553D" w14:textId="77777777" w:rsidTr="00851E52">
        <w:trPr>
          <w:trHeight w:val="2880"/>
        </w:trPr>
        <w:tc>
          <w:tcPr>
            <w:tcW w:w="2553" w:type="dxa"/>
            <w:tcBorders>
              <w:top w:val="nil"/>
              <w:left w:val="nil"/>
              <w:bottom w:val="nil"/>
              <w:right w:val="nil"/>
            </w:tcBorders>
            <w:hideMark/>
          </w:tcPr>
          <w:p w14:paraId="6EB6A898" w14:textId="77777777" w:rsidR="007121FC" w:rsidRPr="00D47CE6" w:rsidRDefault="007121FC" w:rsidP="00851E52">
            <w:pPr>
              <w:spacing w:after="0" w:line="240" w:lineRule="auto"/>
              <w:ind w:left="318"/>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b/>
                <w:bCs/>
                <w:color w:val="000000"/>
                <w:kern w:val="0"/>
                <w:sz w:val="20"/>
                <w:szCs w:val="20"/>
                <w14:ligatures w14:val="none"/>
              </w:rPr>
              <w:lastRenderedPageBreak/>
              <w:t>Communication challenges (PwPD, caregiver, HCP)</w:t>
            </w:r>
            <w:r>
              <w:rPr>
                <w:rFonts w:ascii="Aptos Narrow" w:eastAsia="Times New Roman" w:hAnsi="Aptos Narrow" w:cs="Times New Roman"/>
                <w:color w:val="000000"/>
                <w:kern w:val="0"/>
                <w:sz w:val="20"/>
                <w:szCs w:val="20"/>
                <w14:ligatures w14:val="none"/>
              </w:rPr>
              <w:br/>
              <w:t>(K = 10; [56, 57, 59, 60, 64, 66, 68, 74, 78, 80])</w:t>
            </w:r>
          </w:p>
        </w:tc>
        <w:tc>
          <w:tcPr>
            <w:tcW w:w="5386" w:type="dxa"/>
            <w:tcBorders>
              <w:top w:val="nil"/>
              <w:left w:val="nil"/>
              <w:bottom w:val="nil"/>
              <w:right w:val="nil"/>
            </w:tcBorders>
            <w:hideMark/>
          </w:tcPr>
          <w:p w14:paraId="706EB8CA"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K = 7 [57, 59, 66, 68, 74, 78, 80]</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 xml:space="preserve">•Clinicians often required the signers to learn in English (spoken, dense medical terminology, brochures), rather than in ASL through an interpreter..."When I get an interpreter…I would talk more and ask more questions because I have the interpreter. It is much easier for me to understand." </w:t>
            </w:r>
            <w:r>
              <w:rPr>
                <w:rFonts w:ascii="Aptos Narrow" w:eastAsia="Times New Roman" w:hAnsi="Aptos Narrow" w:cs="Times New Roman"/>
                <w:color w:val="000000"/>
                <w:kern w:val="0"/>
                <w:sz w:val="20"/>
                <w:szCs w:val="20"/>
                <w14:ligatures w14:val="none"/>
              </w:rPr>
              <w:t>(PwPD) [59].</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 xml:space="preserve">•"Now we use this (alphanumerical) table. The paid carer and I were able to communicate quickly. If others come, we must act as an intermediate. So what happens? After a while nobody wanted to come and visit him." (Caregiver) </w:t>
            </w:r>
            <w:r>
              <w:rPr>
                <w:rFonts w:ascii="Aptos Narrow" w:eastAsia="Times New Roman" w:hAnsi="Aptos Narrow" w:cs="Times New Roman"/>
                <w:color w:val="000000"/>
                <w:kern w:val="0"/>
                <w:sz w:val="20"/>
                <w:szCs w:val="20"/>
                <w14:ligatures w14:val="none"/>
              </w:rPr>
              <w:t>[78]</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 xml:space="preserve">•“The nonverbal patient is a hard one to treat because how do you know what they really want?” </w:t>
            </w:r>
            <w:r>
              <w:rPr>
                <w:rFonts w:ascii="Aptos Narrow" w:eastAsia="Times New Roman" w:hAnsi="Aptos Narrow" w:cs="Times New Roman"/>
                <w:color w:val="000000"/>
                <w:kern w:val="0"/>
                <w:sz w:val="20"/>
                <w:szCs w:val="20"/>
                <w14:ligatures w14:val="none"/>
              </w:rPr>
              <w:t>(HCP) [66].</w:t>
            </w:r>
          </w:p>
        </w:tc>
        <w:tc>
          <w:tcPr>
            <w:tcW w:w="5812" w:type="dxa"/>
            <w:tcBorders>
              <w:top w:val="nil"/>
              <w:left w:val="nil"/>
              <w:bottom w:val="nil"/>
              <w:right w:val="nil"/>
            </w:tcBorders>
            <w:hideMark/>
          </w:tcPr>
          <w:p w14:paraId="62B41B09"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K = 3 [56, 60, 64]</w:t>
            </w:r>
            <w:r>
              <w:rPr>
                <w:rFonts w:ascii="Aptos Narrow" w:eastAsia="Times New Roman" w:hAnsi="Aptos Narrow" w:cs="Times New Roman"/>
                <w:color w:val="000000"/>
                <w:kern w:val="0"/>
                <w:sz w:val="20"/>
                <w:szCs w:val="20"/>
                <w14:ligatures w14:val="none"/>
              </w:rPr>
              <w:br/>
              <w:t xml:space="preserve">•ALS caregivers reported that communication difficulties were widespread, with 65% noting patients struggled to communicate with them and 79% with others [56]. </w:t>
            </w:r>
            <w:r>
              <w:rPr>
                <w:rFonts w:ascii="Aptos Narrow" w:eastAsia="Times New Roman" w:hAnsi="Aptos Narrow" w:cs="Times New Roman"/>
                <w:color w:val="000000"/>
                <w:kern w:val="0"/>
                <w:sz w:val="20"/>
                <w:szCs w:val="20"/>
                <w14:ligatures w14:val="none"/>
              </w:rPr>
              <w:br/>
              <w:t>•15% of MSA patients used communication aids [60].</w:t>
            </w:r>
            <w:r>
              <w:rPr>
                <w:rFonts w:ascii="Aptos Narrow" w:eastAsia="Times New Roman" w:hAnsi="Aptos Narrow" w:cs="Times New Roman"/>
                <w:color w:val="000000"/>
                <w:kern w:val="0"/>
                <w:sz w:val="20"/>
                <w:szCs w:val="20"/>
                <w14:ligatures w14:val="none"/>
              </w:rPr>
              <w:br/>
              <w:t>•Stroke patients had a significantly higher odds ratio than cancer patients for care staff not to know whether the patient was experiencing symptoms or not (ORs ranging from 1.95 for death rattles to 8.84 for pain) [64].</w:t>
            </w:r>
          </w:p>
        </w:tc>
        <w:tc>
          <w:tcPr>
            <w:tcW w:w="2410" w:type="dxa"/>
            <w:tcBorders>
              <w:top w:val="nil"/>
              <w:left w:val="nil"/>
              <w:bottom w:val="nil"/>
              <w:right w:val="nil"/>
            </w:tcBorders>
            <w:hideMark/>
          </w:tcPr>
          <w:p w14:paraId="327E19A3"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sidRPr="00D47CE6">
              <w:rPr>
                <w:rFonts w:ascii="Aptos Narrow" w:eastAsia="Times New Roman" w:hAnsi="Aptos Narrow" w:cs="Times New Roman"/>
                <w:color w:val="000000"/>
                <w:kern w:val="0"/>
                <w:sz w:val="20"/>
                <w:szCs w:val="20"/>
                <w14:ligatures w14:val="none"/>
              </w:rPr>
              <w:t xml:space="preserve">Confirmation. </w:t>
            </w:r>
            <w:r w:rsidRPr="00D47CE6">
              <w:rPr>
                <w:rFonts w:ascii="Aptos Narrow" w:eastAsia="Times New Roman" w:hAnsi="Aptos Narrow" w:cs="Times New Roman"/>
                <w:color w:val="000000"/>
                <w:kern w:val="0"/>
                <w:sz w:val="20"/>
                <w:szCs w:val="20"/>
                <w14:ligatures w14:val="none"/>
              </w:rPr>
              <w:br/>
              <w:t>Qualitative reports of communication barriers were corroborated by quantitative evidence of widespread communication difficulties. Patient symptoms were also poorly documented, indicating limited communication between patients and care staff.</w:t>
            </w:r>
          </w:p>
        </w:tc>
      </w:tr>
      <w:tr w:rsidR="007121FC" w:rsidRPr="00D47CE6" w14:paraId="5BD7AD7A" w14:textId="77777777" w:rsidTr="00851E52">
        <w:trPr>
          <w:trHeight w:val="6336"/>
        </w:trPr>
        <w:tc>
          <w:tcPr>
            <w:tcW w:w="2553" w:type="dxa"/>
            <w:tcBorders>
              <w:top w:val="nil"/>
              <w:left w:val="nil"/>
              <w:bottom w:val="nil"/>
              <w:right w:val="nil"/>
            </w:tcBorders>
            <w:hideMark/>
          </w:tcPr>
          <w:p w14:paraId="6394C286" w14:textId="77777777" w:rsidR="007121FC" w:rsidRPr="00D47CE6" w:rsidRDefault="007121FC" w:rsidP="00851E52">
            <w:pPr>
              <w:spacing w:after="0" w:line="240" w:lineRule="auto"/>
              <w:ind w:left="318"/>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Uncertainties and misalignment in decision-making (PwPD, caregiver, HCP)</w:t>
            </w:r>
            <w:r>
              <w:rPr>
                <w:rFonts w:ascii="Aptos Narrow" w:eastAsia="Times New Roman" w:hAnsi="Aptos Narrow" w:cs="Times New Roman"/>
                <w:color w:val="000000"/>
                <w:kern w:val="0"/>
                <w:sz w:val="20"/>
                <w:szCs w:val="20"/>
                <w14:ligatures w14:val="none"/>
              </w:rPr>
              <w:br/>
              <w:t>(K = 21; [27, 39, 52, 54, 55, 57, 59, 61-64, 66-68, 70-74, 79, 80])</w:t>
            </w:r>
          </w:p>
        </w:tc>
        <w:tc>
          <w:tcPr>
            <w:tcW w:w="5386" w:type="dxa"/>
            <w:tcBorders>
              <w:top w:val="nil"/>
              <w:left w:val="nil"/>
              <w:bottom w:val="nil"/>
              <w:right w:val="nil"/>
            </w:tcBorders>
            <w:hideMark/>
          </w:tcPr>
          <w:p w14:paraId="5CF785D0"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K = 16 [27, 52, 54, 57, 59, 61, 62, 66, 68, 70-74, 79, 80]</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 xml:space="preserve">•"I wish there was more knowledge about how things can escalate" </w:t>
            </w:r>
            <w:r w:rsidRPr="00F35344">
              <w:rPr>
                <w:rFonts w:ascii="Aptos Narrow" w:eastAsia="Times New Roman" w:hAnsi="Aptos Narrow" w:cs="Times New Roman"/>
                <w:color w:val="000000"/>
                <w:kern w:val="0"/>
                <w:sz w:val="20"/>
                <w:szCs w:val="20"/>
                <w14:ligatures w14:val="none"/>
              </w:rPr>
              <w:t>(Caregiver)</w:t>
            </w:r>
            <w:r>
              <w:rPr>
                <w:rFonts w:ascii="Aptos Narrow" w:eastAsia="Times New Roman" w:hAnsi="Aptos Narrow" w:cs="Times New Roman"/>
                <w:i/>
                <w:iCs/>
                <w:color w:val="000000"/>
                <w:kern w:val="0"/>
                <w:sz w:val="20"/>
                <w:szCs w:val="20"/>
                <w14:ligatures w14:val="none"/>
              </w:rPr>
              <w:t xml:space="preserve"> </w:t>
            </w:r>
            <w:r>
              <w:rPr>
                <w:rFonts w:ascii="Aptos Narrow" w:eastAsia="Times New Roman" w:hAnsi="Aptos Narrow" w:cs="Times New Roman"/>
                <w:color w:val="000000"/>
                <w:kern w:val="0"/>
                <w:sz w:val="20"/>
                <w:szCs w:val="20"/>
                <w14:ligatures w14:val="none"/>
              </w:rPr>
              <w:t>[70]</w:t>
            </w:r>
            <w:r>
              <w:rPr>
                <w:rFonts w:ascii="Aptos Narrow" w:eastAsia="Times New Roman" w:hAnsi="Aptos Narrow" w:cs="Times New Roman"/>
                <w:i/>
                <w:iCs/>
                <w:color w:val="000000"/>
                <w:kern w:val="0"/>
                <w:sz w:val="20"/>
                <w:szCs w:val="20"/>
                <w14:ligatures w14:val="none"/>
              </w:rPr>
              <w:t xml:space="preserve">. </w:t>
            </w:r>
            <w:r>
              <w:rPr>
                <w:rFonts w:ascii="Aptos Narrow" w:eastAsia="Times New Roman" w:hAnsi="Aptos Narrow" w:cs="Times New Roman"/>
                <w:i/>
                <w:iCs/>
                <w:color w:val="000000"/>
                <w:kern w:val="0"/>
                <w:sz w:val="20"/>
                <w:szCs w:val="20"/>
                <w14:ligatures w14:val="none"/>
              </w:rPr>
              <w:br/>
              <w:t xml:space="preserve">•The patients had to face insufficient or nonexistent information about the disease: ‘‘They didn’t tell me anything .. . ’’ Some of them searched information on the Internet: ‘‘I had only what I found online’’ </w:t>
            </w:r>
            <w:r>
              <w:rPr>
                <w:rFonts w:ascii="Aptos Narrow" w:eastAsia="Times New Roman" w:hAnsi="Aptos Narrow" w:cs="Times New Roman"/>
                <w:color w:val="000000"/>
                <w:kern w:val="0"/>
                <w:sz w:val="20"/>
                <w:szCs w:val="20"/>
                <w14:ligatures w14:val="none"/>
              </w:rPr>
              <w:t>(PwPD) [57].</w:t>
            </w:r>
            <w:r>
              <w:rPr>
                <w:rFonts w:ascii="Aptos Narrow" w:eastAsia="Times New Roman" w:hAnsi="Aptos Narrow" w:cs="Times New Roman"/>
                <w:i/>
                <w:iCs/>
                <w:color w:val="000000"/>
                <w:kern w:val="0"/>
                <w:sz w:val="20"/>
                <w:szCs w:val="20"/>
                <w14:ligatures w14:val="none"/>
              </w:rPr>
              <w:br/>
              <w:t>•“Neurological disorders and other chronic illnesses, it's different compared to cancer. So with all these relapses, ups and downs, sometimes you just don't know how far you should talk… [how] much you should discuss with the patient because maybe you feel they're near end-of-life but we can't really predict how long they will live.”</w:t>
            </w:r>
            <w:r>
              <w:rPr>
                <w:rFonts w:ascii="Aptos Narrow" w:eastAsia="Times New Roman" w:hAnsi="Aptos Narrow" w:cs="Times New Roman"/>
                <w:color w:val="000000"/>
                <w:kern w:val="0"/>
                <w:sz w:val="20"/>
                <w:szCs w:val="20"/>
                <w14:ligatures w14:val="none"/>
              </w:rPr>
              <w:t xml:space="preserve"> (HCP) [66].</w:t>
            </w:r>
            <w:r>
              <w:rPr>
                <w:rFonts w:ascii="Aptos Narrow" w:eastAsia="Times New Roman" w:hAnsi="Aptos Narrow" w:cs="Times New Roman"/>
                <w:color w:val="000000"/>
                <w:kern w:val="0"/>
                <w:sz w:val="20"/>
                <w:szCs w:val="20"/>
                <w14:ligatures w14:val="none"/>
              </w:rPr>
              <w:br/>
              <w:t>•“</w:t>
            </w:r>
            <w:r>
              <w:rPr>
                <w:rFonts w:ascii="Aptos Narrow" w:eastAsia="Times New Roman" w:hAnsi="Aptos Narrow" w:cs="Times New Roman"/>
                <w:i/>
                <w:iCs/>
                <w:color w:val="000000"/>
                <w:kern w:val="0"/>
                <w:sz w:val="20"/>
                <w:szCs w:val="20"/>
                <w14:ligatures w14:val="none"/>
              </w:rPr>
              <w:t>I think I should talk with my brother and sister… about my [end-of-life] wishes. I would rather ﬁll it out now while I am healthy than later. I would like them [my family] to be prepare for it and know what to do with what I want. Also, I would want my doctor to know too.</w:t>
            </w:r>
            <w:r>
              <w:rPr>
                <w:rFonts w:ascii="Aptos Narrow" w:eastAsia="Times New Roman" w:hAnsi="Aptos Narrow" w:cs="Times New Roman"/>
                <w:color w:val="000000"/>
                <w:kern w:val="0"/>
                <w:sz w:val="20"/>
                <w:szCs w:val="20"/>
                <w14:ligatures w14:val="none"/>
              </w:rPr>
              <w:t>” (PwPD) [59].</w:t>
            </w:r>
            <w:r>
              <w:rPr>
                <w:rFonts w:ascii="Aptos Narrow" w:eastAsia="Times New Roman" w:hAnsi="Aptos Narrow" w:cs="Times New Roman"/>
                <w:color w:val="000000"/>
                <w:kern w:val="0"/>
                <w:sz w:val="20"/>
                <w:szCs w:val="20"/>
                <w14:ligatures w14:val="none"/>
              </w:rPr>
              <w:br/>
              <w:t>•"</w:t>
            </w:r>
            <w:r>
              <w:rPr>
                <w:rFonts w:ascii="Aptos Narrow" w:eastAsia="Times New Roman" w:hAnsi="Aptos Narrow" w:cs="Times New Roman"/>
                <w:i/>
                <w:iCs/>
                <w:color w:val="000000"/>
                <w:kern w:val="0"/>
                <w:sz w:val="20"/>
                <w:szCs w:val="20"/>
                <w14:ligatures w14:val="none"/>
              </w:rPr>
              <w:t>And then the other family members, one of them did sort of ark up, “Why wasn’t I involved?” But that’s not up to us to make that decision. You’re not on those lists, or something, you know? And luckily the client made those decisions before he deteriorated, which was good.</w:t>
            </w:r>
            <w:r>
              <w:rPr>
                <w:rFonts w:ascii="Aptos Narrow" w:eastAsia="Times New Roman" w:hAnsi="Aptos Narrow" w:cs="Times New Roman"/>
                <w:color w:val="000000"/>
                <w:kern w:val="0"/>
                <w:sz w:val="20"/>
                <w:szCs w:val="20"/>
                <w14:ligatures w14:val="none"/>
              </w:rPr>
              <w:t>" (HCP) [27]</w:t>
            </w:r>
            <w:r>
              <w:rPr>
                <w:rFonts w:ascii="Aptos Narrow" w:eastAsia="Times New Roman" w:hAnsi="Aptos Narrow" w:cs="Times New Roman"/>
                <w:color w:val="000000"/>
                <w:kern w:val="0"/>
                <w:sz w:val="20"/>
                <w:szCs w:val="20"/>
                <w14:ligatures w14:val="none"/>
              </w:rPr>
              <w:br/>
              <w:t>•</w:t>
            </w:r>
            <w:r>
              <w:rPr>
                <w:rFonts w:ascii="Aptos Narrow" w:eastAsia="Times New Roman" w:hAnsi="Aptos Narrow" w:cs="Times New Roman"/>
                <w:i/>
                <w:iCs/>
                <w:color w:val="000000"/>
                <w:kern w:val="0"/>
                <w:sz w:val="20"/>
                <w:szCs w:val="20"/>
                <w14:ligatures w14:val="none"/>
              </w:rPr>
              <w:t>Three days before he died, Jerry’s family suddenly showed up at the hospital and informed the PCAs that their services were no longer needed...But no one was able to consult him about his wishes on this matter because by this time Jerry could not communicate in any way. He could not even blink “yes” and “no” anymore.</w:t>
            </w:r>
            <w:r>
              <w:rPr>
                <w:rFonts w:ascii="Aptos Narrow" w:eastAsia="Times New Roman" w:hAnsi="Aptos Narrow" w:cs="Times New Roman"/>
                <w:color w:val="000000"/>
                <w:kern w:val="0"/>
                <w:sz w:val="20"/>
                <w:szCs w:val="20"/>
                <w14:ligatures w14:val="none"/>
              </w:rPr>
              <w:t xml:space="preserve"> (Researcher) [80]. </w:t>
            </w:r>
          </w:p>
        </w:tc>
        <w:tc>
          <w:tcPr>
            <w:tcW w:w="5812" w:type="dxa"/>
            <w:tcBorders>
              <w:top w:val="nil"/>
              <w:left w:val="nil"/>
              <w:bottom w:val="nil"/>
              <w:right w:val="nil"/>
            </w:tcBorders>
            <w:hideMark/>
          </w:tcPr>
          <w:p w14:paraId="1ED5756D"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K = 6 [39, 55, 63, 64, 67, 72]</w:t>
            </w:r>
            <w:r>
              <w:rPr>
                <w:rFonts w:ascii="Aptos Narrow" w:eastAsia="Times New Roman" w:hAnsi="Aptos Narrow" w:cs="Times New Roman"/>
                <w:color w:val="000000"/>
                <w:kern w:val="0"/>
                <w:sz w:val="20"/>
                <w:szCs w:val="20"/>
                <w14:ligatures w14:val="none"/>
              </w:rPr>
              <w:br/>
              <w:t xml:space="preserve">•Nearly two fifths (39%) of families of stroke patients had been unable to get all the information they wanted despite the majority (63%) having asked someone (hospital doctor, nurse or general practitioner) for more information [39]. </w:t>
            </w:r>
            <w:r>
              <w:rPr>
                <w:rFonts w:ascii="Aptos Narrow" w:eastAsia="Times New Roman" w:hAnsi="Aptos Narrow" w:cs="Times New Roman"/>
                <w:color w:val="000000"/>
                <w:kern w:val="0"/>
                <w:sz w:val="20"/>
                <w:szCs w:val="20"/>
                <w14:ligatures w14:val="none"/>
              </w:rPr>
              <w:br/>
              <w:t xml:space="preserve">•19.6% of those NDD caregivers reported information needs, which was comparable to those that had died from another diagnosis (18.1%; </w:t>
            </w:r>
            <w:r>
              <w:rPr>
                <w:rFonts w:ascii="Aptos Narrow" w:eastAsia="Times New Roman" w:hAnsi="Aptos Narrow" w:cs="Times New Roman"/>
                <w:i/>
                <w:iCs/>
                <w:color w:val="000000"/>
                <w:kern w:val="0"/>
                <w:sz w:val="20"/>
                <w:szCs w:val="20"/>
                <w14:ligatures w14:val="none"/>
              </w:rPr>
              <w:t>p</w:t>
            </w:r>
            <w:r>
              <w:rPr>
                <w:rFonts w:ascii="Aptos Narrow" w:eastAsia="Times New Roman" w:hAnsi="Aptos Narrow" w:cs="Times New Roman"/>
                <w:color w:val="000000"/>
                <w:kern w:val="0"/>
                <w:sz w:val="20"/>
                <w:szCs w:val="20"/>
                <w14:ligatures w14:val="none"/>
              </w:rPr>
              <w:t xml:space="preserve">=0.780) [55]. </w:t>
            </w:r>
            <w:r>
              <w:rPr>
                <w:rFonts w:ascii="Aptos Narrow" w:eastAsia="Times New Roman" w:hAnsi="Aptos Narrow" w:cs="Times New Roman"/>
                <w:color w:val="000000"/>
                <w:kern w:val="0"/>
                <w:sz w:val="20"/>
                <w:szCs w:val="20"/>
                <w14:ligatures w14:val="none"/>
              </w:rPr>
              <w:br/>
              <w:t>•Stroke patients were significantly less likely to be provided with information regarding transition to EoL care (14.5%) than cancer patients (52.2%; OR=0.09,</w:t>
            </w:r>
            <w:r>
              <w:rPr>
                <w:rFonts w:ascii="Aptos Narrow" w:eastAsia="Times New Roman" w:hAnsi="Aptos Narrow" w:cs="Times New Roman"/>
                <w:i/>
                <w:iCs/>
                <w:color w:val="000000"/>
                <w:kern w:val="0"/>
                <w:sz w:val="20"/>
                <w:szCs w:val="20"/>
                <w14:ligatures w14:val="none"/>
              </w:rPr>
              <w:t xml:space="preserve"> p</w:t>
            </w:r>
            <w:r>
              <w:rPr>
                <w:rFonts w:ascii="Aptos Narrow" w:eastAsia="Times New Roman" w:hAnsi="Aptos Narrow" w:cs="Times New Roman"/>
                <w:color w:val="000000"/>
                <w:kern w:val="0"/>
                <w:sz w:val="20"/>
                <w:szCs w:val="20"/>
                <w14:ligatures w14:val="none"/>
              </w:rPr>
              <w:t xml:space="preserve">&lt;0.001) [64]. </w:t>
            </w:r>
            <w:r>
              <w:rPr>
                <w:rFonts w:ascii="Aptos Narrow" w:eastAsia="Times New Roman" w:hAnsi="Aptos Narrow" w:cs="Times New Roman"/>
                <w:color w:val="000000"/>
                <w:kern w:val="0"/>
                <w:sz w:val="20"/>
                <w:szCs w:val="20"/>
                <w14:ligatures w14:val="none"/>
              </w:rPr>
              <w:br/>
              <w:t>•72% of PD patients reported unmet informational needs regarding palliative care [67].</w:t>
            </w:r>
            <w:r>
              <w:rPr>
                <w:rFonts w:ascii="Aptos Narrow" w:eastAsia="Times New Roman" w:hAnsi="Aptos Narrow" w:cs="Times New Roman"/>
                <w:color w:val="000000"/>
                <w:kern w:val="0"/>
                <w:sz w:val="20"/>
                <w:szCs w:val="20"/>
                <w14:ligatures w14:val="none"/>
              </w:rPr>
              <w:br/>
              <w:t xml:space="preserve">•A quarter (25%) of caregivers reported that stroke patients had insufficient choice about treatment [39]. </w:t>
            </w:r>
            <w:r>
              <w:rPr>
                <w:rFonts w:ascii="Aptos Narrow" w:eastAsia="Times New Roman" w:hAnsi="Aptos Narrow" w:cs="Times New Roman"/>
                <w:color w:val="000000"/>
                <w:kern w:val="0"/>
                <w:sz w:val="20"/>
                <w:szCs w:val="20"/>
                <w14:ligatures w14:val="none"/>
              </w:rPr>
              <w:br/>
              <w:t xml:space="preserve">•Only 7.4% of patients with neurogenetic diseases had written advance directives; among those who had not, 77.3% had never had previous discussions with loved ones or their health care team and 58.6% would not have wanted to discuss it before this study. Patients wished to talk to their personal relations as a first priority, at 61.7%, rather than to their healthcare teams [63]. </w:t>
            </w:r>
            <w:r>
              <w:rPr>
                <w:rFonts w:ascii="Aptos Narrow" w:eastAsia="Times New Roman" w:hAnsi="Aptos Narrow" w:cs="Times New Roman"/>
                <w:color w:val="000000"/>
                <w:kern w:val="0"/>
                <w:sz w:val="20"/>
                <w:szCs w:val="20"/>
                <w14:ligatures w14:val="none"/>
              </w:rPr>
              <w:br/>
              <w:t xml:space="preserve">•Patient preferences for place of death were unknown in the majority of stroke cases (75.3%), a significantly higher proportion than in cancer cases (58.8%; OR=2.16, </w:t>
            </w:r>
            <w:r>
              <w:rPr>
                <w:rFonts w:ascii="Aptos Narrow" w:eastAsia="Times New Roman" w:hAnsi="Aptos Narrow" w:cs="Times New Roman"/>
                <w:i/>
                <w:iCs/>
                <w:color w:val="000000"/>
                <w:kern w:val="0"/>
                <w:sz w:val="20"/>
                <w:szCs w:val="20"/>
                <w14:ligatures w14:val="none"/>
              </w:rPr>
              <w:t>p</w:t>
            </w:r>
            <w:r>
              <w:rPr>
                <w:rFonts w:ascii="Aptos Narrow" w:eastAsia="Times New Roman" w:hAnsi="Aptos Narrow" w:cs="Times New Roman"/>
                <w:color w:val="000000"/>
                <w:kern w:val="0"/>
                <w:sz w:val="20"/>
                <w:szCs w:val="20"/>
                <w14:ligatures w14:val="none"/>
              </w:rPr>
              <w:t xml:space="preserve">&lt;0.001) [64]. </w:t>
            </w:r>
            <w:r>
              <w:rPr>
                <w:rFonts w:ascii="Aptos Narrow" w:eastAsia="Times New Roman" w:hAnsi="Aptos Narrow" w:cs="Times New Roman"/>
                <w:color w:val="000000"/>
                <w:kern w:val="0"/>
                <w:sz w:val="20"/>
                <w:szCs w:val="20"/>
                <w14:ligatures w14:val="none"/>
              </w:rPr>
              <w:br/>
              <w:t xml:space="preserve">•Although 70% of PD patients had an advance directive and health-care proxy, engagement with palliative services was minimal (2.6%) [67]. </w:t>
            </w:r>
            <w:r>
              <w:rPr>
                <w:rFonts w:ascii="Aptos Narrow" w:eastAsia="Times New Roman" w:hAnsi="Aptos Narrow" w:cs="Times New Roman"/>
                <w:color w:val="000000"/>
                <w:kern w:val="0"/>
                <w:sz w:val="20"/>
                <w:szCs w:val="20"/>
                <w14:ligatures w14:val="none"/>
              </w:rPr>
              <w:br/>
              <w:t xml:space="preserve">•ALS patients showed poor concordance between preferred and actual family involvement in end-of-life decision-making (κ=0.152, </w:t>
            </w:r>
            <w:r>
              <w:rPr>
                <w:rFonts w:ascii="Aptos Narrow" w:eastAsia="Times New Roman" w:hAnsi="Aptos Narrow" w:cs="Times New Roman"/>
                <w:i/>
                <w:iCs/>
                <w:color w:val="000000"/>
                <w:kern w:val="0"/>
                <w:sz w:val="20"/>
                <w:szCs w:val="20"/>
                <w14:ligatures w14:val="none"/>
              </w:rPr>
              <w:t>p</w:t>
            </w:r>
            <w:r>
              <w:rPr>
                <w:rFonts w:ascii="Aptos Narrow" w:eastAsia="Times New Roman" w:hAnsi="Aptos Narrow" w:cs="Times New Roman"/>
                <w:color w:val="000000"/>
                <w:kern w:val="0"/>
                <w:sz w:val="20"/>
                <w:szCs w:val="20"/>
                <w14:ligatures w14:val="none"/>
              </w:rPr>
              <w:t>=0.46), with agreement occurring 78% of the time for those preferring independent decisions, 50% for shared decision-making, and 0% for those relying on family judgment [72].</w:t>
            </w:r>
          </w:p>
        </w:tc>
        <w:tc>
          <w:tcPr>
            <w:tcW w:w="2410" w:type="dxa"/>
            <w:tcBorders>
              <w:top w:val="nil"/>
              <w:left w:val="nil"/>
              <w:bottom w:val="nil"/>
              <w:right w:val="nil"/>
            </w:tcBorders>
            <w:hideMark/>
          </w:tcPr>
          <w:p w14:paraId="7E06898C"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sidRPr="00D47CE6">
              <w:rPr>
                <w:rFonts w:ascii="Aptos Narrow" w:eastAsia="Times New Roman" w:hAnsi="Aptos Narrow" w:cs="Times New Roman"/>
                <w:color w:val="000000"/>
                <w:kern w:val="0"/>
                <w:sz w:val="20"/>
                <w:szCs w:val="20"/>
                <w14:ligatures w14:val="none"/>
              </w:rPr>
              <w:t>Confirmation.</w:t>
            </w:r>
            <w:r w:rsidRPr="00D47CE6">
              <w:rPr>
                <w:rFonts w:ascii="Aptos Narrow" w:eastAsia="Times New Roman" w:hAnsi="Aptos Narrow" w:cs="Times New Roman"/>
                <w:color w:val="000000"/>
                <w:kern w:val="0"/>
                <w:sz w:val="20"/>
                <w:szCs w:val="20"/>
                <w14:ligatures w14:val="none"/>
              </w:rPr>
              <w:br/>
              <w:t>Qualitative reports of inadequate information, prognostic uncertainty, and misaligned decision-making among PwPDs, caregivers, and healthcare professionals were corroborated by quantitative findings demonstrating unmet informational needs, limited advance care planning, unknown patient preferences, and poor concordance between preferred and actual end-of-life decisions.</w:t>
            </w:r>
          </w:p>
        </w:tc>
      </w:tr>
      <w:tr w:rsidR="007121FC" w:rsidRPr="00D47CE6" w14:paraId="30217540" w14:textId="77777777" w:rsidTr="00851E52">
        <w:trPr>
          <w:trHeight w:val="2304"/>
        </w:trPr>
        <w:tc>
          <w:tcPr>
            <w:tcW w:w="2553" w:type="dxa"/>
            <w:tcBorders>
              <w:top w:val="nil"/>
              <w:left w:val="nil"/>
              <w:bottom w:val="single" w:sz="4" w:space="0" w:color="auto"/>
              <w:right w:val="nil"/>
            </w:tcBorders>
            <w:hideMark/>
          </w:tcPr>
          <w:p w14:paraId="7C2717A1" w14:textId="77777777" w:rsidR="007121FC" w:rsidRPr="00D47CE6" w:rsidRDefault="007121FC" w:rsidP="00851E52">
            <w:pPr>
              <w:spacing w:after="0" w:line="240" w:lineRule="auto"/>
              <w:ind w:left="318"/>
              <w:rPr>
                <w:rFonts w:ascii="Aptos Narrow" w:eastAsia="Times New Roman" w:hAnsi="Aptos Narrow" w:cs="Times New Roman"/>
                <w:b/>
                <w:bCs/>
                <w:color w:val="000000"/>
                <w:kern w:val="0"/>
                <w:sz w:val="20"/>
                <w:szCs w:val="20"/>
                <w14:ligatures w14:val="none"/>
              </w:rPr>
            </w:pPr>
            <w:r>
              <w:rPr>
                <w:rFonts w:ascii="Aptos Narrow" w:eastAsia="Times New Roman" w:hAnsi="Aptos Narrow" w:cs="Times New Roman"/>
                <w:b/>
                <w:bCs/>
                <w:color w:val="000000"/>
                <w:kern w:val="0"/>
                <w:sz w:val="20"/>
                <w:szCs w:val="20"/>
                <w14:ligatures w14:val="none"/>
              </w:rPr>
              <w:t>Avoidance of EoL conversations  (PwPD, caregiver)</w:t>
            </w:r>
            <w:r>
              <w:rPr>
                <w:rFonts w:ascii="Aptos Narrow" w:eastAsia="Times New Roman" w:hAnsi="Aptos Narrow" w:cs="Times New Roman"/>
                <w:b/>
                <w:bCs/>
                <w:color w:val="000000"/>
                <w:kern w:val="0"/>
                <w:sz w:val="20"/>
                <w:szCs w:val="20"/>
                <w14:ligatures w14:val="none"/>
              </w:rPr>
              <w:br/>
            </w:r>
            <w:r>
              <w:rPr>
                <w:rFonts w:ascii="Aptos Narrow" w:eastAsia="Times New Roman" w:hAnsi="Aptos Narrow" w:cs="Times New Roman"/>
                <w:color w:val="000000"/>
                <w:kern w:val="0"/>
                <w:sz w:val="20"/>
                <w:szCs w:val="20"/>
                <w14:ligatures w14:val="none"/>
              </w:rPr>
              <w:t>(K = 6; [52, 56, 59, 62, 63, 67])</w:t>
            </w:r>
          </w:p>
        </w:tc>
        <w:tc>
          <w:tcPr>
            <w:tcW w:w="5386" w:type="dxa"/>
            <w:tcBorders>
              <w:top w:val="nil"/>
              <w:left w:val="nil"/>
              <w:bottom w:val="single" w:sz="4" w:space="0" w:color="auto"/>
              <w:right w:val="nil"/>
            </w:tcBorders>
            <w:hideMark/>
          </w:tcPr>
          <w:p w14:paraId="02C2746D"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K = 4 [52, 59, 62, 63]</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 xml:space="preserve">•"End of life conversations should happen but I don't want to ask about stuff in front of my mum, I don't want to upset her." </w:t>
            </w:r>
            <w:r>
              <w:rPr>
                <w:rFonts w:ascii="Aptos Narrow" w:eastAsia="Times New Roman" w:hAnsi="Aptos Narrow" w:cs="Times New Roman"/>
                <w:color w:val="000000"/>
                <w:kern w:val="0"/>
                <w:sz w:val="20"/>
                <w:szCs w:val="20"/>
                <w14:ligatures w14:val="none"/>
              </w:rPr>
              <w:t>(PwPD) [52].</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•For both, it appeared that exchanges about end-of-life issues rarely took place spontaneously within the couple and that their participation in the study gave rise to them</w:t>
            </w:r>
            <w:r>
              <w:rPr>
                <w:rFonts w:ascii="Aptos Narrow" w:eastAsia="Times New Roman" w:hAnsi="Aptos Narrow" w:cs="Times New Roman"/>
                <w:color w:val="000000"/>
                <w:kern w:val="0"/>
                <w:sz w:val="20"/>
                <w:szCs w:val="20"/>
                <w14:ligatures w14:val="none"/>
              </w:rPr>
              <w:t xml:space="preserve"> [63].</w:t>
            </w:r>
            <w:r>
              <w:rPr>
                <w:rFonts w:ascii="Aptos Narrow" w:eastAsia="Times New Roman" w:hAnsi="Aptos Narrow" w:cs="Times New Roman"/>
                <w:color w:val="000000"/>
                <w:kern w:val="0"/>
                <w:sz w:val="20"/>
                <w:szCs w:val="20"/>
                <w14:ligatures w14:val="none"/>
              </w:rPr>
              <w:br/>
            </w:r>
            <w:r>
              <w:rPr>
                <w:rFonts w:ascii="Aptos Narrow" w:eastAsia="Times New Roman" w:hAnsi="Aptos Narrow" w:cs="Times New Roman"/>
                <w:i/>
                <w:iCs/>
                <w:color w:val="000000"/>
                <w:kern w:val="0"/>
                <w:sz w:val="20"/>
                <w:szCs w:val="20"/>
                <w14:ligatures w14:val="none"/>
              </w:rPr>
              <w:t>•The concerns and major barriers for patients and their primary caregivers were to ﬁnd the right way and the right moment to raise these emotionally laden issues due to prior experiences of painful circumstances and/or the prospect of the death of a loved one</w:t>
            </w:r>
            <w:r>
              <w:rPr>
                <w:rFonts w:ascii="Aptos Narrow" w:eastAsia="Times New Roman" w:hAnsi="Aptos Narrow" w:cs="Times New Roman"/>
                <w:color w:val="000000"/>
                <w:kern w:val="0"/>
                <w:sz w:val="20"/>
                <w:szCs w:val="20"/>
                <w14:ligatures w14:val="none"/>
              </w:rPr>
              <w:t xml:space="preserve"> [62].</w:t>
            </w:r>
          </w:p>
        </w:tc>
        <w:tc>
          <w:tcPr>
            <w:tcW w:w="5812" w:type="dxa"/>
            <w:tcBorders>
              <w:top w:val="nil"/>
              <w:left w:val="nil"/>
              <w:bottom w:val="single" w:sz="4" w:space="0" w:color="auto"/>
              <w:right w:val="nil"/>
            </w:tcBorders>
            <w:hideMark/>
          </w:tcPr>
          <w:p w14:paraId="78F933AA"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K = 3 [56, 63, 67]</w:t>
            </w:r>
            <w:r>
              <w:rPr>
                <w:rFonts w:ascii="Aptos Narrow" w:eastAsia="Times New Roman" w:hAnsi="Aptos Narrow" w:cs="Times New Roman"/>
                <w:color w:val="000000"/>
                <w:kern w:val="0"/>
                <w:sz w:val="20"/>
                <w:szCs w:val="20"/>
                <w14:ligatures w14:val="none"/>
              </w:rPr>
              <w:br/>
              <w:t xml:space="preserve">•61.7% of MND or MD patients replied that an end-of-life conversation would be not distressing, with a consensus that it would be reassuring (76.5%), helpful (95.1%), and necessary (86.4%). [63]. </w:t>
            </w:r>
            <w:r>
              <w:rPr>
                <w:rFonts w:ascii="Aptos Narrow" w:eastAsia="Times New Roman" w:hAnsi="Aptos Narrow" w:cs="Times New Roman"/>
                <w:color w:val="000000"/>
                <w:kern w:val="0"/>
                <w:sz w:val="20"/>
                <w:szCs w:val="20"/>
                <w14:ligatures w14:val="none"/>
              </w:rPr>
              <w:br/>
              <w:t xml:space="preserve">•Over 40% of PD patients had not discussed end-of-life care within the family [67]. </w:t>
            </w:r>
            <w:r>
              <w:rPr>
                <w:rFonts w:ascii="Aptos Narrow" w:eastAsia="Times New Roman" w:hAnsi="Aptos Narrow" w:cs="Times New Roman"/>
                <w:color w:val="000000"/>
                <w:kern w:val="0"/>
                <w:sz w:val="20"/>
                <w:szCs w:val="20"/>
                <w14:ligatures w14:val="none"/>
              </w:rPr>
              <w:br/>
              <w:t>•Death and dying (16.3%) were amongst the least discussed topics between family caregivers and ALS patients [56].</w:t>
            </w:r>
          </w:p>
        </w:tc>
        <w:tc>
          <w:tcPr>
            <w:tcW w:w="2410" w:type="dxa"/>
            <w:tcBorders>
              <w:top w:val="nil"/>
              <w:left w:val="nil"/>
              <w:bottom w:val="single" w:sz="4" w:space="0" w:color="auto"/>
              <w:right w:val="nil"/>
            </w:tcBorders>
            <w:hideMark/>
          </w:tcPr>
          <w:p w14:paraId="0B3FF833"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r w:rsidRPr="00D47CE6">
              <w:rPr>
                <w:rFonts w:ascii="Aptos Narrow" w:eastAsia="Times New Roman" w:hAnsi="Aptos Narrow" w:cs="Times New Roman"/>
                <w:color w:val="000000"/>
                <w:kern w:val="0"/>
                <w:sz w:val="20"/>
                <w:szCs w:val="20"/>
                <w14:ligatures w14:val="none"/>
              </w:rPr>
              <w:t>Discordance.</w:t>
            </w:r>
            <w:r w:rsidRPr="00D47CE6">
              <w:rPr>
                <w:rFonts w:ascii="Aptos Narrow" w:eastAsia="Times New Roman" w:hAnsi="Aptos Narrow" w:cs="Times New Roman"/>
                <w:color w:val="000000"/>
                <w:kern w:val="0"/>
                <w:sz w:val="20"/>
                <w:szCs w:val="20"/>
                <w14:ligatures w14:val="none"/>
              </w:rPr>
              <w:br/>
              <w:t>Qualitative evidence highlights barriers to avoidance of EoL conversations, whereas quantitative evidence indicates high acceptability and low anticipated distress despite limited actual discussion.</w:t>
            </w:r>
          </w:p>
        </w:tc>
      </w:tr>
      <w:tr w:rsidR="007121FC" w:rsidRPr="00D47CE6" w14:paraId="2A0621D1" w14:textId="77777777" w:rsidTr="00851E52">
        <w:trPr>
          <w:trHeight w:val="1165"/>
        </w:trPr>
        <w:tc>
          <w:tcPr>
            <w:tcW w:w="16161" w:type="dxa"/>
            <w:gridSpan w:val="4"/>
            <w:tcBorders>
              <w:top w:val="single" w:sz="4" w:space="0" w:color="auto"/>
              <w:left w:val="nil"/>
              <w:bottom w:val="nil"/>
              <w:right w:val="nil"/>
            </w:tcBorders>
          </w:tcPr>
          <w:p w14:paraId="0E9BDEFC" w14:textId="77777777" w:rsidR="007121FC" w:rsidRPr="00451354" w:rsidRDefault="007121FC" w:rsidP="00851E52">
            <w:pPr>
              <w:spacing w:before="60" w:after="0"/>
              <w:rPr>
                <w:rFonts w:ascii="Aptos Narrow" w:hAnsi="Aptos Narrow"/>
                <w:sz w:val="16"/>
              </w:rPr>
            </w:pPr>
            <w:r>
              <w:rPr>
                <w:rFonts w:ascii="Aptos Narrow" w:hAnsi="Aptos Narrow"/>
                <w:iCs/>
                <w:sz w:val="16"/>
              </w:rPr>
              <w:lastRenderedPageBreak/>
              <w:t>Note:</w:t>
            </w:r>
            <w:r>
              <w:rPr>
                <w:rFonts w:ascii="Aptos Narrow" w:hAnsi="Aptos Narrow"/>
                <w:i/>
                <w:sz w:val="16"/>
              </w:rPr>
              <w:t xml:space="preserve"> </w:t>
            </w:r>
            <w:r>
              <w:rPr>
                <w:rFonts w:ascii="Aptos Narrow" w:hAnsi="Aptos Narrow"/>
                <w:sz w:val="16"/>
              </w:rPr>
              <w:t xml:space="preserve">ALS = Amyotrophic lateral sclerosis; BHS-PC: Beck Hopelessness Scale; EDSS = Expanded Disability Status scale; EoL = end-of-life; FACT-G = Functional Assessment of Cancer Therapy General; HRQoL = health-related quality of life; PNDQoL = Progressive Neurological Diseases Quality of Life; PCPSS = Palliative Care Problem Severity Score; PD = Parkinson's disease; LTMV = long-term mechanical ventilation; NRS = numerical rating scale; NDD = neurodegenerative diseases; VAS = visual analogue scale; MD = muscular dystrophy; MND = motor neurone disease; MSA = multiple system atrophy; MS = multiple sclerosis; MM CGI SF = Marwit-Meuser Caregiver Grief Inventory; MDS UPDRS = Movement Disorders Society Unified Parkinson’s Disease Rating Scale; NS = not significant; QoL = quality of life; RII = </w:t>
            </w:r>
            <w:r w:rsidRPr="003F7D7C">
              <w:rPr>
                <w:rFonts w:ascii="Aptos Narrow" w:hAnsi="Aptos Narrow"/>
                <w:sz w:val="16"/>
              </w:rPr>
              <w:t>relative importance index</w:t>
            </w:r>
            <w:r>
              <w:rPr>
                <w:rFonts w:ascii="Aptos Narrow" w:hAnsi="Aptos Narrow"/>
                <w:sz w:val="16"/>
              </w:rPr>
              <w:t>; UPDRS = Unified Parkinson Disease Rating Scale; ZBI = Zarit Burden Interview</w:t>
            </w:r>
            <w:r>
              <w:rPr>
                <w:rFonts w:ascii="Aptos Narrow" w:hAnsi="Aptos Narrow"/>
                <w:sz w:val="16"/>
              </w:rPr>
              <w:br/>
            </w:r>
            <w:r w:rsidRPr="00255F3B">
              <w:rPr>
                <w:rFonts w:ascii="Aptos Narrow" w:hAnsi="Aptos Narrow"/>
                <w:sz w:val="16"/>
              </w:rPr>
              <w:t>Findings</w:t>
            </w:r>
            <w:r>
              <w:rPr>
                <w:rFonts w:ascii="Aptos Narrow" w:hAnsi="Aptos Narrow"/>
                <w:sz w:val="16"/>
              </w:rPr>
              <w:t xml:space="preserve"> from Wilson (2003)</w:t>
            </w:r>
            <w:r>
              <w:t xml:space="preserve"> </w:t>
            </w:r>
            <w:r w:rsidRPr="007F4665">
              <w:rPr>
                <w:rFonts w:ascii="Aptos Narrow" w:hAnsi="Aptos Narrow"/>
                <w:sz w:val="16"/>
              </w:rPr>
              <w:t>[80]</w:t>
            </w:r>
            <w:r>
              <w:rPr>
                <w:rFonts w:ascii="Aptos Narrow" w:hAnsi="Aptos Narrow"/>
                <w:sz w:val="16"/>
              </w:rPr>
              <w:t xml:space="preserve"> </w:t>
            </w:r>
            <w:r w:rsidRPr="00255F3B">
              <w:rPr>
                <w:rFonts w:ascii="Aptos Narrow" w:hAnsi="Aptos Narrow"/>
                <w:sz w:val="16"/>
              </w:rPr>
              <w:t>were reported by the author and therefore were classified as a researcher perspective.</w:t>
            </w:r>
          </w:p>
          <w:p w14:paraId="0CC62F02" w14:textId="77777777" w:rsidR="007121FC" w:rsidRPr="00D47CE6" w:rsidRDefault="007121FC" w:rsidP="00851E52">
            <w:pPr>
              <w:spacing w:after="0" w:line="240" w:lineRule="auto"/>
              <w:rPr>
                <w:rFonts w:ascii="Aptos Narrow" w:eastAsia="Times New Roman" w:hAnsi="Aptos Narrow" w:cs="Times New Roman"/>
                <w:color w:val="000000"/>
                <w:kern w:val="0"/>
                <w:sz w:val="20"/>
                <w:szCs w:val="20"/>
                <w14:ligatures w14:val="none"/>
              </w:rPr>
            </w:pPr>
          </w:p>
        </w:tc>
      </w:tr>
    </w:tbl>
    <w:p w14:paraId="0D1589E9" w14:textId="77777777" w:rsidR="007121FC" w:rsidRDefault="007121FC" w:rsidP="007121FC">
      <w:r>
        <w:br w:type="page"/>
      </w:r>
    </w:p>
    <w:p w14:paraId="0E585676" w14:textId="77777777" w:rsidR="007121FC" w:rsidRDefault="007121FC" w:rsidP="007121FC">
      <w:pPr>
        <w:sectPr w:rsidR="007121FC" w:rsidSect="007121FC">
          <w:pgSz w:w="11906" w:h="16838"/>
          <w:pgMar w:top="1440" w:right="1440" w:bottom="1440" w:left="1440" w:header="708" w:footer="708" w:gutter="0"/>
          <w:cols w:space="708"/>
          <w:docGrid w:linePitch="360"/>
        </w:sectPr>
      </w:pPr>
    </w:p>
    <w:p w14:paraId="6DF9A3CA" w14:textId="77777777" w:rsidR="007121FC" w:rsidRPr="0078424F" w:rsidRDefault="007121FC" w:rsidP="007121FC">
      <w:pPr>
        <w:rPr>
          <w:u w:val="single"/>
        </w:rPr>
      </w:pPr>
      <w:r w:rsidRPr="0019615A">
        <w:rPr>
          <w:u w:val="single"/>
        </w:rPr>
        <w:lastRenderedPageBreak/>
        <w:t>Table 3. Quality appraisal of the studies using MMAT</w:t>
      </w:r>
    </w:p>
    <w:tbl>
      <w:tblPr>
        <w:tblW w:w="15785" w:type="dxa"/>
        <w:tblInd w:w="-1134" w:type="dxa"/>
        <w:tblBorders>
          <w:top w:val="nil"/>
          <w:left w:val="nil"/>
          <w:bottom w:val="nil"/>
          <w:right w:val="nil"/>
          <w:insideH w:val="nil"/>
          <w:insideV w:val="nil"/>
        </w:tblBorders>
        <w:tblLook w:val="04A0" w:firstRow="1" w:lastRow="0" w:firstColumn="1" w:lastColumn="0" w:noHBand="0" w:noVBand="1"/>
      </w:tblPr>
      <w:tblGrid>
        <w:gridCol w:w="1340"/>
        <w:gridCol w:w="1574"/>
        <w:gridCol w:w="523"/>
        <w:gridCol w:w="52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tblGrid>
      <w:tr w:rsidR="007121FC" w:rsidRPr="00F6387B" w14:paraId="2F91E6C9" w14:textId="77777777" w:rsidTr="00851E52">
        <w:trPr>
          <w:trHeight w:val="470"/>
        </w:trPr>
        <w:tc>
          <w:tcPr>
            <w:tcW w:w="1340" w:type="dxa"/>
            <w:tcBorders>
              <w:top w:val="single" w:sz="8" w:space="0" w:color="000000"/>
              <w:left w:val="nil"/>
              <w:bottom w:val="nil"/>
              <w:right w:val="nil"/>
            </w:tcBorders>
            <w:noWrap/>
            <w:vAlign w:val="center"/>
            <w:hideMark/>
          </w:tcPr>
          <w:p w14:paraId="1D0D5BB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1574" w:type="dxa"/>
            <w:tcBorders>
              <w:top w:val="single" w:sz="8" w:space="0" w:color="000000"/>
              <w:left w:val="nil"/>
              <w:bottom w:val="nil"/>
              <w:right w:val="nil"/>
            </w:tcBorders>
            <w:noWrap/>
            <w:vAlign w:val="center"/>
            <w:hideMark/>
          </w:tcPr>
          <w:p w14:paraId="248370F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1046" w:type="dxa"/>
            <w:gridSpan w:val="2"/>
            <w:tcBorders>
              <w:top w:val="single" w:sz="8" w:space="0" w:color="000000"/>
              <w:left w:val="nil"/>
              <w:bottom w:val="single" w:sz="4" w:space="0" w:color="auto"/>
              <w:right w:val="nil"/>
            </w:tcBorders>
            <w:vAlign w:val="center"/>
            <w:hideMark/>
          </w:tcPr>
          <w:p w14:paraId="619086A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Screening questions</w:t>
            </w:r>
          </w:p>
        </w:tc>
        <w:tc>
          <w:tcPr>
            <w:tcW w:w="2365" w:type="dxa"/>
            <w:gridSpan w:val="5"/>
            <w:tcBorders>
              <w:top w:val="single" w:sz="8" w:space="0" w:color="000000"/>
              <w:left w:val="nil"/>
              <w:bottom w:val="single" w:sz="4" w:space="0" w:color="auto"/>
              <w:right w:val="nil"/>
            </w:tcBorders>
            <w:vAlign w:val="center"/>
            <w:hideMark/>
          </w:tcPr>
          <w:p w14:paraId="008A518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Qualitative studies</w:t>
            </w:r>
          </w:p>
        </w:tc>
        <w:tc>
          <w:tcPr>
            <w:tcW w:w="2365" w:type="dxa"/>
            <w:gridSpan w:val="5"/>
            <w:tcBorders>
              <w:top w:val="single" w:sz="8" w:space="0" w:color="000000"/>
              <w:left w:val="nil"/>
              <w:bottom w:val="single" w:sz="4" w:space="0" w:color="auto"/>
              <w:right w:val="nil"/>
            </w:tcBorders>
            <w:vAlign w:val="center"/>
            <w:hideMark/>
          </w:tcPr>
          <w:p w14:paraId="55660C2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Randomised controlled trials</w:t>
            </w:r>
          </w:p>
        </w:tc>
        <w:tc>
          <w:tcPr>
            <w:tcW w:w="2365" w:type="dxa"/>
            <w:gridSpan w:val="5"/>
            <w:tcBorders>
              <w:top w:val="single" w:sz="8" w:space="0" w:color="000000"/>
              <w:left w:val="nil"/>
              <w:bottom w:val="single" w:sz="4" w:space="0" w:color="auto"/>
              <w:right w:val="nil"/>
            </w:tcBorders>
            <w:vAlign w:val="center"/>
            <w:hideMark/>
          </w:tcPr>
          <w:p w14:paraId="46EDB7F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Non-randomised studies</w:t>
            </w:r>
          </w:p>
        </w:tc>
        <w:tc>
          <w:tcPr>
            <w:tcW w:w="2365" w:type="dxa"/>
            <w:gridSpan w:val="5"/>
            <w:tcBorders>
              <w:top w:val="single" w:sz="8" w:space="0" w:color="000000"/>
              <w:left w:val="nil"/>
              <w:bottom w:val="single" w:sz="4" w:space="0" w:color="auto"/>
              <w:right w:val="nil"/>
            </w:tcBorders>
            <w:vAlign w:val="center"/>
            <w:hideMark/>
          </w:tcPr>
          <w:p w14:paraId="28B69A8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Quantitative descriptive studies</w:t>
            </w:r>
          </w:p>
        </w:tc>
        <w:tc>
          <w:tcPr>
            <w:tcW w:w="2365" w:type="dxa"/>
            <w:gridSpan w:val="5"/>
            <w:tcBorders>
              <w:top w:val="single" w:sz="8" w:space="0" w:color="000000"/>
              <w:left w:val="nil"/>
              <w:bottom w:val="single" w:sz="4" w:space="0" w:color="auto"/>
              <w:right w:val="nil"/>
            </w:tcBorders>
            <w:vAlign w:val="center"/>
            <w:hideMark/>
          </w:tcPr>
          <w:p w14:paraId="0053F2A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Mixed methods studies</w:t>
            </w:r>
          </w:p>
        </w:tc>
      </w:tr>
      <w:tr w:rsidR="007121FC" w:rsidRPr="00F6387B" w14:paraId="38A17AC5" w14:textId="77777777" w:rsidTr="00851E52">
        <w:trPr>
          <w:trHeight w:val="402"/>
        </w:trPr>
        <w:tc>
          <w:tcPr>
            <w:tcW w:w="1340" w:type="dxa"/>
            <w:tcBorders>
              <w:top w:val="nil"/>
              <w:left w:val="nil"/>
              <w:bottom w:val="single" w:sz="8" w:space="0" w:color="000000"/>
              <w:right w:val="nil"/>
            </w:tcBorders>
            <w:vAlign w:val="center"/>
            <w:hideMark/>
          </w:tcPr>
          <w:p w14:paraId="0B4F843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hAnsi="Aptos Narrow"/>
                <w:b/>
                <w:sz w:val="20"/>
              </w:rPr>
              <w:t>Author</w:t>
            </w:r>
          </w:p>
        </w:tc>
        <w:tc>
          <w:tcPr>
            <w:tcW w:w="1574" w:type="dxa"/>
            <w:tcBorders>
              <w:top w:val="nil"/>
              <w:left w:val="nil"/>
              <w:bottom w:val="single" w:sz="8" w:space="0" w:color="000000"/>
              <w:right w:val="nil"/>
            </w:tcBorders>
            <w:vAlign w:val="center"/>
            <w:hideMark/>
          </w:tcPr>
          <w:p w14:paraId="0490EA8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Study design</w:t>
            </w:r>
          </w:p>
        </w:tc>
        <w:tc>
          <w:tcPr>
            <w:tcW w:w="523" w:type="dxa"/>
            <w:tcBorders>
              <w:top w:val="nil"/>
              <w:left w:val="nil"/>
              <w:bottom w:val="single" w:sz="8" w:space="0" w:color="000000"/>
              <w:right w:val="nil"/>
            </w:tcBorders>
            <w:noWrap/>
            <w:vAlign w:val="center"/>
            <w:hideMark/>
          </w:tcPr>
          <w:p w14:paraId="4681489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S1</w:t>
            </w:r>
          </w:p>
        </w:tc>
        <w:tc>
          <w:tcPr>
            <w:tcW w:w="523" w:type="dxa"/>
            <w:tcBorders>
              <w:top w:val="nil"/>
              <w:left w:val="nil"/>
              <w:bottom w:val="single" w:sz="8" w:space="0" w:color="000000"/>
              <w:right w:val="nil"/>
            </w:tcBorders>
            <w:noWrap/>
            <w:vAlign w:val="center"/>
            <w:hideMark/>
          </w:tcPr>
          <w:p w14:paraId="68CB31C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S2</w:t>
            </w:r>
          </w:p>
        </w:tc>
        <w:tc>
          <w:tcPr>
            <w:tcW w:w="473" w:type="dxa"/>
            <w:tcBorders>
              <w:top w:val="nil"/>
              <w:left w:val="nil"/>
              <w:bottom w:val="single" w:sz="8" w:space="0" w:color="000000"/>
              <w:right w:val="nil"/>
            </w:tcBorders>
            <w:noWrap/>
            <w:vAlign w:val="center"/>
            <w:hideMark/>
          </w:tcPr>
          <w:p w14:paraId="5642A15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1.1</w:t>
            </w:r>
          </w:p>
        </w:tc>
        <w:tc>
          <w:tcPr>
            <w:tcW w:w="473" w:type="dxa"/>
            <w:tcBorders>
              <w:top w:val="nil"/>
              <w:left w:val="nil"/>
              <w:bottom w:val="single" w:sz="8" w:space="0" w:color="000000"/>
              <w:right w:val="nil"/>
            </w:tcBorders>
            <w:noWrap/>
            <w:vAlign w:val="center"/>
            <w:hideMark/>
          </w:tcPr>
          <w:p w14:paraId="5533BFCC"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1.2</w:t>
            </w:r>
          </w:p>
        </w:tc>
        <w:tc>
          <w:tcPr>
            <w:tcW w:w="473" w:type="dxa"/>
            <w:tcBorders>
              <w:top w:val="nil"/>
              <w:left w:val="nil"/>
              <w:bottom w:val="single" w:sz="8" w:space="0" w:color="000000"/>
              <w:right w:val="nil"/>
            </w:tcBorders>
            <w:noWrap/>
            <w:vAlign w:val="center"/>
            <w:hideMark/>
          </w:tcPr>
          <w:p w14:paraId="3D51DC5C"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1.3</w:t>
            </w:r>
          </w:p>
        </w:tc>
        <w:tc>
          <w:tcPr>
            <w:tcW w:w="473" w:type="dxa"/>
            <w:tcBorders>
              <w:top w:val="nil"/>
              <w:left w:val="nil"/>
              <w:bottom w:val="single" w:sz="8" w:space="0" w:color="000000"/>
              <w:right w:val="nil"/>
            </w:tcBorders>
            <w:noWrap/>
            <w:vAlign w:val="center"/>
            <w:hideMark/>
          </w:tcPr>
          <w:p w14:paraId="087F9AC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1.4</w:t>
            </w:r>
          </w:p>
        </w:tc>
        <w:tc>
          <w:tcPr>
            <w:tcW w:w="473" w:type="dxa"/>
            <w:tcBorders>
              <w:top w:val="nil"/>
              <w:left w:val="nil"/>
              <w:bottom w:val="single" w:sz="8" w:space="0" w:color="000000"/>
              <w:right w:val="nil"/>
            </w:tcBorders>
            <w:noWrap/>
            <w:vAlign w:val="center"/>
            <w:hideMark/>
          </w:tcPr>
          <w:p w14:paraId="22627B1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1.5</w:t>
            </w:r>
          </w:p>
        </w:tc>
        <w:tc>
          <w:tcPr>
            <w:tcW w:w="473" w:type="dxa"/>
            <w:tcBorders>
              <w:top w:val="nil"/>
              <w:left w:val="nil"/>
              <w:bottom w:val="single" w:sz="8" w:space="0" w:color="000000"/>
              <w:right w:val="nil"/>
            </w:tcBorders>
            <w:noWrap/>
            <w:vAlign w:val="center"/>
            <w:hideMark/>
          </w:tcPr>
          <w:p w14:paraId="371932A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2.1</w:t>
            </w:r>
          </w:p>
        </w:tc>
        <w:tc>
          <w:tcPr>
            <w:tcW w:w="473" w:type="dxa"/>
            <w:tcBorders>
              <w:top w:val="nil"/>
              <w:left w:val="nil"/>
              <w:bottom w:val="single" w:sz="8" w:space="0" w:color="000000"/>
              <w:right w:val="nil"/>
            </w:tcBorders>
            <w:noWrap/>
            <w:vAlign w:val="center"/>
            <w:hideMark/>
          </w:tcPr>
          <w:p w14:paraId="5CB89F2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2.2</w:t>
            </w:r>
          </w:p>
        </w:tc>
        <w:tc>
          <w:tcPr>
            <w:tcW w:w="473" w:type="dxa"/>
            <w:tcBorders>
              <w:top w:val="nil"/>
              <w:left w:val="nil"/>
              <w:bottom w:val="single" w:sz="8" w:space="0" w:color="000000"/>
              <w:right w:val="nil"/>
            </w:tcBorders>
            <w:noWrap/>
            <w:vAlign w:val="center"/>
            <w:hideMark/>
          </w:tcPr>
          <w:p w14:paraId="31BDC83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2.3</w:t>
            </w:r>
          </w:p>
        </w:tc>
        <w:tc>
          <w:tcPr>
            <w:tcW w:w="473" w:type="dxa"/>
            <w:tcBorders>
              <w:top w:val="nil"/>
              <w:left w:val="nil"/>
              <w:bottom w:val="single" w:sz="8" w:space="0" w:color="000000"/>
              <w:right w:val="nil"/>
            </w:tcBorders>
            <w:noWrap/>
            <w:vAlign w:val="center"/>
            <w:hideMark/>
          </w:tcPr>
          <w:p w14:paraId="58B7099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2.4</w:t>
            </w:r>
          </w:p>
        </w:tc>
        <w:tc>
          <w:tcPr>
            <w:tcW w:w="473" w:type="dxa"/>
            <w:tcBorders>
              <w:top w:val="nil"/>
              <w:left w:val="nil"/>
              <w:bottom w:val="single" w:sz="8" w:space="0" w:color="000000"/>
              <w:right w:val="nil"/>
            </w:tcBorders>
            <w:noWrap/>
            <w:vAlign w:val="center"/>
            <w:hideMark/>
          </w:tcPr>
          <w:p w14:paraId="00F90D9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2.5</w:t>
            </w:r>
          </w:p>
        </w:tc>
        <w:tc>
          <w:tcPr>
            <w:tcW w:w="473" w:type="dxa"/>
            <w:tcBorders>
              <w:top w:val="nil"/>
              <w:left w:val="nil"/>
              <w:bottom w:val="single" w:sz="8" w:space="0" w:color="000000"/>
              <w:right w:val="nil"/>
            </w:tcBorders>
            <w:noWrap/>
            <w:vAlign w:val="center"/>
            <w:hideMark/>
          </w:tcPr>
          <w:p w14:paraId="6D8AA10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3.1</w:t>
            </w:r>
          </w:p>
        </w:tc>
        <w:tc>
          <w:tcPr>
            <w:tcW w:w="473" w:type="dxa"/>
            <w:tcBorders>
              <w:top w:val="nil"/>
              <w:left w:val="nil"/>
              <w:bottom w:val="single" w:sz="8" w:space="0" w:color="000000"/>
              <w:right w:val="nil"/>
            </w:tcBorders>
            <w:noWrap/>
            <w:vAlign w:val="center"/>
            <w:hideMark/>
          </w:tcPr>
          <w:p w14:paraId="7A51A26D"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3.2</w:t>
            </w:r>
          </w:p>
        </w:tc>
        <w:tc>
          <w:tcPr>
            <w:tcW w:w="473" w:type="dxa"/>
            <w:tcBorders>
              <w:top w:val="nil"/>
              <w:left w:val="nil"/>
              <w:bottom w:val="single" w:sz="8" w:space="0" w:color="000000"/>
              <w:right w:val="nil"/>
            </w:tcBorders>
            <w:noWrap/>
            <w:vAlign w:val="center"/>
            <w:hideMark/>
          </w:tcPr>
          <w:p w14:paraId="28D11D3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3.3</w:t>
            </w:r>
          </w:p>
        </w:tc>
        <w:tc>
          <w:tcPr>
            <w:tcW w:w="473" w:type="dxa"/>
            <w:tcBorders>
              <w:top w:val="nil"/>
              <w:left w:val="nil"/>
              <w:bottom w:val="single" w:sz="8" w:space="0" w:color="000000"/>
              <w:right w:val="nil"/>
            </w:tcBorders>
            <w:noWrap/>
            <w:vAlign w:val="center"/>
            <w:hideMark/>
          </w:tcPr>
          <w:p w14:paraId="795ABD4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3.4</w:t>
            </w:r>
          </w:p>
        </w:tc>
        <w:tc>
          <w:tcPr>
            <w:tcW w:w="473" w:type="dxa"/>
            <w:tcBorders>
              <w:top w:val="nil"/>
              <w:left w:val="nil"/>
              <w:bottom w:val="single" w:sz="8" w:space="0" w:color="000000"/>
              <w:right w:val="nil"/>
            </w:tcBorders>
            <w:noWrap/>
            <w:vAlign w:val="center"/>
            <w:hideMark/>
          </w:tcPr>
          <w:p w14:paraId="291CB8D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3.5</w:t>
            </w:r>
          </w:p>
        </w:tc>
        <w:tc>
          <w:tcPr>
            <w:tcW w:w="473" w:type="dxa"/>
            <w:tcBorders>
              <w:top w:val="nil"/>
              <w:left w:val="nil"/>
              <w:bottom w:val="single" w:sz="8" w:space="0" w:color="000000"/>
              <w:right w:val="nil"/>
            </w:tcBorders>
            <w:noWrap/>
            <w:vAlign w:val="center"/>
            <w:hideMark/>
          </w:tcPr>
          <w:p w14:paraId="4DEB0A5C"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4.1</w:t>
            </w:r>
          </w:p>
        </w:tc>
        <w:tc>
          <w:tcPr>
            <w:tcW w:w="473" w:type="dxa"/>
            <w:tcBorders>
              <w:top w:val="nil"/>
              <w:left w:val="nil"/>
              <w:bottom w:val="single" w:sz="8" w:space="0" w:color="000000"/>
              <w:right w:val="nil"/>
            </w:tcBorders>
            <w:noWrap/>
            <w:vAlign w:val="center"/>
            <w:hideMark/>
          </w:tcPr>
          <w:p w14:paraId="4CF93C7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4.2</w:t>
            </w:r>
          </w:p>
        </w:tc>
        <w:tc>
          <w:tcPr>
            <w:tcW w:w="473" w:type="dxa"/>
            <w:tcBorders>
              <w:top w:val="nil"/>
              <w:left w:val="nil"/>
              <w:bottom w:val="single" w:sz="8" w:space="0" w:color="000000"/>
              <w:right w:val="nil"/>
            </w:tcBorders>
            <w:noWrap/>
            <w:vAlign w:val="center"/>
            <w:hideMark/>
          </w:tcPr>
          <w:p w14:paraId="10929C2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4.3</w:t>
            </w:r>
          </w:p>
        </w:tc>
        <w:tc>
          <w:tcPr>
            <w:tcW w:w="473" w:type="dxa"/>
            <w:tcBorders>
              <w:top w:val="nil"/>
              <w:left w:val="nil"/>
              <w:bottom w:val="single" w:sz="8" w:space="0" w:color="000000"/>
              <w:right w:val="nil"/>
            </w:tcBorders>
            <w:noWrap/>
            <w:vAlign w:val="center"/>
            <w:hideMark/>
          </w:tcPr>
          <w:p w14:paraId="637D004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4.4</w:t>
            </w:r>
          </w:p>
        </w:tc>
        <w:tc>
          <w:tcPr>
            <w:tcW w:w="473" w:type="dxa"/>
            <w:tcBorders>
              <w:top w:val="nil"/>
              <w:left w:val="nil"/>
              <w:bottom w:val="single" w:sz="8" w:space="0" w:color="000000"/>
              <w:right w:val="nil"/>
            </w:tcBorders>
            <w:noWrap/>
            <w:vAlign w:val="center"/>
            <w:hideMark/>
          </w:tcPr>
          <w:p w14:paraId="4D80462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4.5</w:t>
            </w:r>
          </w:p>
        </w:tc>
        <w:tc>
          <w:tcPr>
            <w:tcW w:w="473" w:type="dxa"/>
            <w:tcBorders>
              <w:top w:val="nil"/>
              <w:left w:val="nil"/>
              <w:bottom w:val="single" w:sz="8" w:space="0" w:color="000000"/>
              <w:right w:val="nil"/>
            </w:tcBorders>
            <w:noWrap/>
            <w:vAlign w:val="center"/>
            <w:hideMark/>
          </w:tcPr>
          <w:p w14:paraId="4D11613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5.1</w:t>
            </w:r>
          </w:p>
        </w:tc>
        <w:tc>
          <w:tcPr>
            <w:tcW w:w="473" w:type="dxa"/>
            <w:tcBorders>
              <w:top w:val="nil"/>
              <w:left w:val="nil"/>
              <w:bottom w:val="single" w:sz="8" w:space="0" w:color="000000"/>
              <w:right w:val="nil"/>
            </w:tcBorders>
            <w:noWrap/>
            <w:vAlign w:val="center"/>
            <w:hideMark/>
          </w:tcPr>
          <w:p w14:paraId="2ECBB3F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5.2</w:t>
            </w:r>
          </w:p>
        </w:tc>
        <w:tc>
          <w:tcPr>
            <w:tcW w:w="473" w:type="dxa"/>
            <w:tcBorders>
              <w:top w:val="nil"/>
              <w:left w:val="nil"/>
              <w:bottom w:val="single" w:sz="8" w:space="0" w:color="000000"/>
              <w:right w:val="nil"/>
            </w:tcBorders>
            <w:noWrap/>
            <w:vAlign w:val="center"/>
            <w:hideMark/>
          </w:tcPr>
          <w:p w14:paraId="57C469B7"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5.3</w:t>
            </w:r>
          </w:p>
        </w:tc>
        <w:tc>
          <w:tcPr>
            <w:tcW w:w="473" w:type="dxa"/>
            <w:tcBorders>
              <w:top w:val="nil"/>
              <w:left w:val="nil"/>
              <w:bottom w:val="single" w:sz="8" w:space="0" w:color="000000"/>
              <w:right w:val="nil"/>
            </w:tcBorders>
            <w:noWrap/>
            <w:vAlign w:val="center"/>
            <w:hideMark/>
          </w:tcPr>
          <w:p w14:paraId="251880E7"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5.4</w:t>
            </w:r>
          </w:p>
        </w:tc>
        <w:tc>
          <w:tcPr>
            <w:tcW w:w="473" w:type="dxa"/>
            <w:tcBorders>
              <w:top w:val="nil"/>
              <w:left w:val="nil"/>
              <w:bottom w:val="single" w:sz="8" w:space="0" w:color="000000"/>
              <w:right w:val="nil"/>
            </w:tcBorders>
            <w:noWrap/>
            <w:vAlign w:val="center"/>
            <w:hideMark/>
          </w:tcPr>
          <w:p w14:paraId="3815D537"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b/>
                <w:color w:val="000000"/>
                <w:kern w:val="0"/>
                <w:sz w:val="20"/>
                <w:szCs w:val="20"/>
                <w14:ligatures w14:val="none"/>
              </w:rPr>
              <w:t>5.5</w:t>
            </w:r>
          </w:p>
        </w:tc>
      </w:tr>
      <w:tr w:rsidR="007121FC" w:rsidRPr="00F6387B" w14:paraId="49DB69B8" w14:textId="77777777" w:rsidTr="00851E52">
        <w:trPr>
          <w:trHeight w:val="552"/>
        </w:trPr>
        <w:tc>
          <w:tcPr>
            <w:tcW w:w="1340" w:type="dxa"/>
            <w:tcBorders>
              <w:top w:val="nil"/>
              <w:left w:val="nil"/>
              <w:bottom w:val="nil"/>
              <w:right w:val="nil"/>
            </w:tcBorders>
            <w:vAlign w:val="center"/>
            <w:hideMark/>
          </w:tcPr>
          <w:p w14:paraId="25EF9E9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Abbott et al.</w:t>
            </w:r>
            <w:r>
              <w:rPr>
                <w:rFonts w:ascii="Aptos Narrow" w:eastAsia="Times New Roman" w:hAnsi="Aptos Narrow" w:cs="Times New Roman"/>
                <w:color w:val="000000"/>
                <w:kern w:val="0"/>
                <w:sz w:val="20"/>
                <w:szCs w:val="20"/>
                <w14:ligatures w14:val="none"/>
              </w:rPr>
              <w:br/>
              <w:t>(2017) [52]</w:t>
            </w:r>
          </w:p>
        </w:tc>
        <w:tc>
          <w:tcPr>
            <w:tcW w:w="1574" w:type="dxa"/>
            <w:tcBorders>
              <w:top w:val="nil"/>
              <w:left w:val="nil"/>
              <w:bottom w:val="nil"/>
              <w:right w:val="nil"/>
            </w:tcBorders>
            <w:vAlign w:val="center"/>
            <w:hideMark/>
          </w:tcPr>
          <w:p w14:paraId="74A434E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Qualitative study</w:t>
            </w:r>
          </w:p>
        </w:tc>
        <w:tc>
          <w:tcPr>
            <w:tcW w:w="523" w:type="dxa"/>
            <w:tcBorders>
              <w:top w:val="nil"/>
              <w:left w:val="nil"/>
              <w:bottom w:val="nil"/>
              <w:right w:val="nil"/>
            </w:tcBorders>
            <w:noWrap/>
            <w:vAlign w:val="center"/>
            <w:hideMark/>
          </w:tcPr>
          <w:p w14:paraId="5A8ECCF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nil"/>
              <w:right w:val="nil"/>
            </w:tcBorders>
            <w:noWrap/>
            <w:vAlign w:val="center"/>
            <w:hideMark/>
          </w:tcPr>
          <w:p w14:paraId="335A4FE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2AB792B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5F84CC8D"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04A8150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3F3BF5F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A584D6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289DB971"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45DFDBD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802E03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1606E8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B7D14F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89B605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BCAC99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DA34D6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CDCB20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9A6489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B3C0D2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9D2009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86C7B4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4C1A93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485375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5A9ADD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97F271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E0C4FE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96194D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F97491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0EB02CD0" w14:textId="77777777" w:rsidTr="00851E52">
        <w:trPr>
          <w:trHeight w:val="828"/>
        </w:trPr>
        <w:tc>
          <w:tcPr>
            <w:tcW w:w="1340" w:type="dxa"/>
            <w:tcBorders>
              <w:top w:val="nil"/>
              <w:left w:val="nil"/>
              <w:bottom w:val="nil"/>
              <w:right w:val="nil"/>
            </w:tcBorders>
            <w:vAlign w:val="center"/>
            <w:hideMark/>
          </w:tcPr>
          <w:p w14:paraId="01738F7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Addington-Hall et al.</w:t>
            </w:r>
            <w:r>
              <w:rPr>
                <w:rFonts w:ascii="Aptos Narrow" w:eastAsia="Times New Roman" w:hAnsi="Aptos Narrow" w:cs="Times New Roman"/>
                <w:color w:val="000000"/>
                <w:kern w:val="0"/>
                <w:sz w:val="20"/>
                <w:szCs w:val="20"/>
                <w14:ligatures w14:val="none"/>
              </w:rPr>
              <w:br/>
              <w:t>(1995) [39]</w:t>
            </w:r>
          </w:p>
        </w:tc>
        <w:tc>
          <w:tcPr>
            <w:tcW w:w="1574" w:type="dxa"/>
            <w:tcBorders>
              <w:top w:val="nil"/>
              <w:left w:val="nil"/>
              <w:bottom w:val="nil"/>
              <w:right w:val="nil"/>
            </w:tcBorders>
            <w:vAlign w:val="center"/>
            <w:hideMark/>
          </w:tcPr>
          <w:p w14:paraId="49527C2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Cohort study (quantitative descriptive)</w:t>
            </w:r>
          </w:p>
        </w:tc>
        <w:tc>
          <w:tcPr>
            <w:tcW w:w="523" w:type="dxa"/>
            <w:tcBorders>
              <w:top w:val="nil"/>
              <w:left w:val="nil"/>
              <w:bottom w:val="nil"/>
              <w:right w:val="nil"/>
            </w:tcBorders>
            <w:noWrap/>
            <w:vAlign w:val="center"/>
            <w:hideMark/>
          </w:tcPr>
          <w:p w14:paraId="7C70B98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nil"/>
              <w:right w:val="nil"/>
            </w:tcBorders>
            <w:noWrap/>
            <w:vAlign w:val="center"/>
            <w:hideMark/>
          </w:tcPr>
          <w:p w14:paraId="0B8B7167"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vAlign w:val="center"/>
            <w:hideMark/>
          </w:tcPr>
          <w:p w14:paraId="7F8A36C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vAlign w:val="center"/>
            <w:hideMark/>
          </w:tcPr>
          <w:p w14:paraId="7464A9F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vAlign w:val="center"/>
            <w:hideMark/>
          </w:tcPr>
          <w:p w14:paraId="54D946C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vAlign w:val="center"/>
            <w:hideMark/>
          </w:tcPr>
          <w:p w14:paraId="2E7CA58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EE7A54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7BB8DB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137D2D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5A0282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C31DDF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01C956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39D9B3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058695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ACF139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52E620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F73F4A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E7E38A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B4F89F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356DF24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55F3496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7153F18C"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3C666EBD"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40B30B4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FC4424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72EE94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DB7C93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3ABC50E7" w14:textId="77777777" w:rsidTr="00851E52">
        <w:trPr>
          <w:trHeight w:val="1104"/>
        </w:trPr>
        <w:tc>
          <w:tcPr>
            <w:tcW w:w="1340" w:type="dxa"/>
            <w:tcBorders>
              <w:top w:val="nil"/>
              <w:left w:val="nil"/>
              <w:bottom w:val="nil"/>
              <w:right w:val="nil"/>
            </w:tcBorders>
            <w:vAlign w:val="center"/>
            <w:hideMark/>
          </w:tcPr>
          <w:p w14:paraId="17B3E096"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Albert et al.</w:t>
            </w:r>
            <w:r>
              <w:rPr>
                <w:rFonts w:ascii="Aptos Narrow" w:eastAsia="Times New Roman" w:hAnsi="Aptos Narrow" w:cs="Times New Roman"/>
                <w:color w:val="000000"/>
                <w:kern w:val="0"/>
                <w:sz w:val="20"/>
                <w:szCs w:val="20"/>
                <w14:ligatures w14:val="none"/>
              </w:rPr>
              <w:br/>
              <w:t>(2009) [53]</w:t>
            </w:r>
          </w:p>
        </w:tc>
        <w:tc>
          <w:tcPr>
            <w:tcW w:w="1574" w:type="dxa"/>
            <w:tcBorders>
              <w:top w:val="nil"/>
              <w:left w:val="nil"/>
              <w:bottom w:val="nil"/>
              <w:right w:val="nil"/>
            </w:tcBorders>
            <w:vAlign w:val="center"/>
            <w:hideMark/>
          </w:tcPr>
          <w:p w14:paraId="6ABB96B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Cohort study (quantitative non-randomised)</w:t>
            </w:r>
          </w:p>
        </w:tc>
        <w:tc>
          <w:tcPr>
            <w:tcW w:w="523" w:type="dxa"/>
            <w:tcBorders>
              <w:top w:val="nil"/>
              <w:left w:val="nil"/>
              <w:bottom w:val="nil"/>
              <w:right w:val="nil"/>
            </w:tcBorders>
            <w:noWrap/>
            <w:vAlign w:val="center"/>
            <w:hideMark/>
          </w:tcPr>
          <w:p w14:paraId="399285A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523" w:type="dxa"/>
            <w:tcBorders>
              <w:top w:val="nil"/>
              <w:left w:val="nil"/>
              <w:bottom w:val="nil"/>
              <w:right w:val="nil"/>
            </w:tcBorders>
            <w:noWrap/>
            <w:vAlign w:val="center"/>
            <w:hideMark/>
          </w:tcPr>
          <w:p w14:paraId="451D81C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809692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C146C5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68D17A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DD1378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E4C62E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37B137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3A72E5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FA8FB6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0C22CD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43ED5F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9A38F31"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42B9390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56CEC5F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558DACE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372F3D1D"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2A484C8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32AD1D2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64444E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413FC5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DC3F50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19B4D7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DF835E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638F76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277D00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974A3C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2149109B" w14:textId="77777777" w:rsidTr="00851E52">
        <w:trPr>
          <w:trHeight w:val="552"/>
        </w:trPr>
        <w:tc>
          <w:tcPr>
            <w:tcW w:w="1340" w:type="dxa"/>
            <w:tcBorders>
              <w:top w:val="nil"/>
              <w:left w:val="nil"/>
              <w:bottom w:val="nil"/>
              <w:right w:val="nil"/>
            </w:tcBorders>
            <w:vAlign w:val="center"/>
            <w:hideMark/>
          </w:tcPr>
          <w:p w14:paraId="6578838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Ando et al.</w:t>
            </w:r>
            <w:r>
              <w:rPr>
                <w:rFonts w:ascii="Aptos Narrow" w:eastAsia="Times New Roman" w:hAnsi="Aptos Narrow" w:cs="Times New Roman"/>
                <w:color w:val="000000"/>
                <w:kern w:val="0"/>
                <w:sz w:val="20"/>
                <w:szCs w:val="20"/>
                <w14:ligatures w14:val="none"/>
              </w:rPr>
              <w:br/>
              <w:t>(2019) [54]</w:t>
            </w:r>
          </w:p>
        </w:tc>
        <w:tc>
          <w:tcPr>
            <w:tcW w:w="1574" w:type="dxa"/>
            <w:tcBorders>
              <w:top w:val="nil"/>
              <w:left w:val="nil"/>
              <w:bottom w:val="nil"/>
              <w:right w:val="nil"/>
            </w:tcBorders>
            <w:vAlign w:val="center"/>
            <w:hideMark/>
          </w:tcPr>
          <w:p w14:paraId="5B5BF66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Qualitative study</w:t>
            </w:r>
          </w:p>
        </w:tc>
        <w:tc>
          <w:tcPr>
            <w:tcW w:w="523" w:type="dxa"/>
            <w:tcBorders>
              <w:top w:val="nil"/>
              <w:left w:val="nil"/>
              <w:bottom w:val="nil"/>
              <w:right w:val="nil"/>
            </w:tcBorders>
            <w:noWrap/>
            <w:vAlign w:val="center"/>
            <w:hideMark/>
          </w:tcPr>
          <w:p w14:paraId="7208345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nil"/>
              <w:right w:val="nil"/>
            </w:tcBorders>
            <w:noWrap/>
            <w:vAlign w:val="center"/>
            <w:hideMark/>
          </w:tcPr>
          <w:p w14:paraId="3FCBE70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0C6B156C"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032178D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3625E18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664A5AA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4D83A7C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4EC78C1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5855A37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86E1CD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35679C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78A3D7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D65530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32F07F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E52439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4F7A0B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ADC7FE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824172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B987F7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45EEBB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884E1F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CDE3D9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4EE8B4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E62C59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E4309A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CD6E0D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A7BFA9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63BB544C" w14:textId="77777777" w:rsidTr="00851E52">
        <w:trPr>
          <w:trHeight w:val="1380"/>
        </w:trPr>
        <w:tc>
          <w:tcPr>
            <w:tcW w:w="1340" w:type="dxa"/>
            <w:tcBorders>
              <w:top w:val="nil"/>
              <w:left w:val="nil"/>
              <w:bottom w:val="nil"/>
              <w:right w:val="nil"/>
            </w:tcBorders>
            <w:vAlign w:val="center"/>
            <w:hideMark/>
          </w:tcPr>
          <w:p w14:paraId="0B0EC20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Aoun et al.</w:t>
            </w:r>
            <w:r>
              <w:rPr>
                <w:rFonts w:ascii="Aptos Narrow" w:eastAsia="Times New Roman" w:hAnsi="Aptos Narrow" w:cs="Times New Roman"/>
                <w:color w:val="000000"/>
                <w:kern w:val="0"/>
                <w:sz w:val="20"/>
                <w:szCs w:val="20"/>
                <w14:ligatures w14:val="none"/>
              </w:rPr>
              <w:br/>
              <w:t>(2010) [55]</w:t>
            </w:r>
          </w:p>
        </w:tc>
        <w:tc>
          <w:tcPr>
            <w:tcW w:w="1574" w:type="dxa"/>
            <w:tcBorders>
              <w:top w:val="nil"/>
              <w:left w:val="nil"/>
              <w:bottom w:val="nil"/>
              <w:right w:val="nil"/>
            </w:tcBorders>
            <w:vAlign w:val="center"/>
            <w:hideMark/>
          </w:tcPr>
          <w:p w14:paraId="5037725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Cross sectional study (quantitative non-randomised)</w:t>
            </w:r>
          </w:p>
        </w:tc>
        <w:tc>
          <w:tcPr>
            <w:tcW w:w="523" w:type="dxa"/>
            <w:tcBorders>
              <w:top w:val="nil"/>
              <w:left w:val="nil"/>
              <w:bottom w:val="nil"/>
              <w:right w:val="nil"/>
            </w:tcBorders>
            <w:noWrap/>
            <w:vAlign w:val="center"/>
            <w:hideMark/>
          </w:tcPr>
          <w:p w14:paraId="7A29887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523" w:type="dxa"/>
            <w:tcBorders>
              <w:top w:val="nil"/>
              <w:left w:val="nil"/>
              <w:bottom w:val="nil"/>
              <w:right w:val="nil"/>
            </w:tcBorders>
            <w:noWrap/>
            <w:vAlign w:val="center"/>
            <w:hideMark/>
          </w:tcPr>
          <w:p w14:paraId="2664D41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52912E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3C709A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5C9139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E0096B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7A2B9A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8BA21D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7B07EC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8FCA46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F3C1D6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0408FF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7DF121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33C64B7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5949A371"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90FFB0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51DC7E7"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128AE81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75F5DDD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44B8E9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1AB084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968A31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E46994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57226E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74B797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57F5BE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1F5F4C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4278CFC0" w14:textId="77777777" w:rsidTr="00851E52">
        <w:trPr>
          <w:trHeight w:val="552"/>
        </w:trPr>
        <w:tc>
          <w:tcPr>
            <w:tcW w:w="1340" w:type="dxa"/>
            <w:tcBorders>
              <w:top w:val="nil"/>
              <w:left w:val="nil"/>
              <w:bottom w:val="nil"/>
              <w:right w:val="nil"/>
            </w:tcBorders>
            <w:vAlign w:val="center"/>
            <w:hideMark/>
          </w:tcPr>
          <w:p w14:paraId="249DCCB1"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Belperio et al.</w:t>
            </w:r>
            <w:r>
              <w:rPr>
                <w:rFonts w:ascii="Aptos Narrow" w:eastAsia="Times New Roman" w:hAnsi="Aptos Narrow" w:cs="Times New Roman"/>
                <w:color w:val="000000"/>
                <w:kern w:val="0"/>
                <w:sz w:val="20"/>
                <w:szCs w:val="20"/>
                <w14:ligatures w14:val="none"/>
              </w:rPr>
              <w:br/>
              <w:t>(2023) [27]</w:t>
            </w:r>
          </w:p>
        </w:tc>
        <w:tc>
          <w:tcPr>
            <w:tcW w:w="1574" w:type="dxa"/>
            <w:tcBorders>
              <w:top w:val="nil"/>
              <w:left w:val="nil"/>
              <w:bottom w:val="nil"/>
              <w:right w:val="nil"/>
            </w:tcBorders>
            <w:vAlign w:val="center"/>
            <w:hideMark/>
          </w:tcPr>
          <w:p w14:paraId="54C2570D"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Qualitative study</w:t>
            </w:r>
          </w:p>
        </w:tc>
        <w:tc>
          <w:tcPr>
            <w:tcW w:w="523" w:type="dxa"/>
            <w:tcBorders>
              <w:top w:val="nil"/>
              <w:left w:val="nil"/>
              <w:bottom w:val="nil"/>
              <w:right w:val="nil"/>
            </w:tcBorders>
            <w:noWrap/>
            <w:vAlign w:val="center"/>
            <w:hideMark/>
          </w:tcPr>
          <w:p w14:paraId="3E9262C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nil"/>
              <w:right w:val="nil"/>
            </w:tcBorders>
            <w:noWrap/>
            <w:vAlign w:val="center"/>
            <w:hideMark/>
          </w:tcPr>
          <w:p w14:paraId="10E3D94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1012B3F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388DB47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2F4FF3A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2942DB4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04E41B6D"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3DFCE12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2955F2E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155478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FA7348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C9626D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75D924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BC164D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5475F8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E28B7C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B2013A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89FDCB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7E4396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97A9F6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041DF6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A233F1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539222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BE15F6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016F08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B17392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4F83E4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1680AF79" w14:textId="77777777" w:rsidTr="00851E52">
        <w:trPr>
          <w:trHeight w:val="828"/>
        </w:trPr>
        <w:tc>
          <w:tcPr>
            <w:tcW w:w="1340" w:type="dxa"/>
            <w:tcBorders>
              <w:top w:val="nil"/>
              <w:left w:val="nil"/>
              <w:bottom w:val="nil"/>
              <w:right w:val="nil"/>
            </w:tcBorders>
            <w:vAlign w:val="center"/>
            <w:hideMark/>
          </w:tcPr>
          <w:p w14:paraId="2FC6E2ED"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Brownlee et al.</w:t>
            </w:r>
            <w:r>
              <w:rPr>
                <w:rFonts w:ascii="Aptos Narrow" w:eastAsia="Times New Roman" w:hAnsi="Aptos Narrow" w:cs="Times New Roman"/>
                <w:color w:val="000000"/>
                <w:kern w:val="0"/>
                <w:sz w:val="20"/>
                <w:szCs w:val="20"/>
                <w14:ligatures w14:val="none"/>
              </w:rPr>
              <w:br/>
              <w:t>(2012) [56]</w:t>
            </w:r>
          </w:p>
        </w:tc>
        <w:tc>
          <w:tcPr>
            <w:tcW w:w="1574" w:type="dxa"/>
            <w:tcBorders>
              <w:top w:val="nil"/>
              <w:left w:val="nil"/>
              <w:bottom w:val="nil"/>
              <w:right w:val="nil"/>
            </w:tcBorders>
            <w:vAlign w:val="center"/>
            <w:hideMark/>
          </w:tcPr>
          <w:p w14:paraId="7BFC605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Cohort study (quantitative descriptive)</w:t>
            </w:r>
          </w:p>
        </w:tc>
        <w:tc>
          <w:tcPr>
            <w:tcW w:w="523" w:type="dxa"/>
            <w:tcBorders>
              <w:top w:val="nil"/>
              <w:left w:val="nil"/>
              <w:bottom w:val="nil"/>
              <w:right w:val="nil"/>
            </w:tcBorders>
            <w:noWrap/>
            <w:vAlign w:val="center"/>
            <w:hideMark/>
          </w:tcPr>
          <w:p w14:paraId="1C088C9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523" w:type="dxa"/>
            <w:tcBorders>
              <w:top w:val="nil"/>
              <w:left w:val="nil"/>
              <w:bottom w:val="nil"/>
              <w:right w:val="nil"/>
            </w:tcBorders>
            <w:noWrap/>
            <w:vAlign w:val="center"/>
            <w:hideMark/>
          </w:tcPr>
          <w:p w14:paraId="0F069CD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BBB434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A11324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0C33AD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CB6256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2C5904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03D901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4CCE1E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303FD5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B1ACDF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E5B808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75D993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CCB062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3B8E5A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74F3AC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58F52C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667EF7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0C5996A6"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63F514A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4C25326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N</w:t>
            </w:r>
          </w:p>
        </w:tc>
        <w:tc>
          <w:tcPr>
            <w:tcW w:w="473" w:type="dxa"/>
            <w:tcBorders>
              <w:top w:val="nil"/>
              <w:left w:val="nil"/>
              <w:bottom w:val="nil"/>
              <w:right w:val="nil"/>
            </w:tcBorders>
            <w:noWrap/>
            <w:vAlign w:val="center"/>
            <w:hideMark/>
          </w:tcPr>
          <w:p w14:paraId="4A0BE2C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4506BC36"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2E6F430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D6A399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F30CAA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DDB05F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0026D58F" w14:textId="77777777" w:rsidTr="00851E52">
        <w:trPr>
          <w:trHeight w:val="1380"/>
        </w:trPr>
        <w:tc>
          <w:tcPr>
            <w:tcW w:w="1340" w:type="dxa"/>
            <w:tcBorders>
              <w:top w:val="nil"/>
              <w:left w:val="nil"/>
              <w:bottom w:val="nil"/>
              <w:right w:val="nil"/>
            </w:tcBorders>
            <w:vAlign w:val="center"/>
            <w:hideMark/>
          </w:tcPr>
          <w:p w14:paraId="61D8672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Buzgova et al.</w:t>
            </w:r>
            <w:r>
              <w:rPr>
                <w:rFonts w:ascii="Aptos Narrow" w:eastAsia="Times New Roman" w:hAnsi="Aptos Narrow" w:cs="Times New Roman"/>
                <w:color w:val="000000"/>
                <w:kern w:val="0"/>
                <w:sz w:val="20"/>
                <w:szCs w:val="20"/>
                <w14:ligatures w14:val="none"/>
              </w:rPr>
              <w:br/>
              <w:t>(2020) [58]</w:t>
            </w:r>
          </w:p>
        </w:tc>
        <w:tc>
          <w:tcPr>
            <w:tcW w:w="1574" w:type="dxa"/>
            <w:tcBorders>
              <w:top w:val="nil"/>
              <w:left w:val="nil"/>
              <w:bottom w:val="nil"/>
              <w:right w:val="nil"/>
            </w:tcBorders>
            <w:vAlign w:val="center"/>
            <w:hideMark/>
          </w:tcPr>
          <w:p w14:paraId="45FA5E3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Cross sectional study (quantitative non-randomised)</w:t>
            </w:r>
          </w:p>
        </w:tc>
        <w:tc>
          <w:tcPr>
            <w:tcW w:w="523" w:type="dxa"/>
            <w:tcBorders>
              <w:top w:val="nil"/>
              <w:left w:val="nil"/>
              <w:bottom w:val="nil"/>
              <w:right w:val="nil"/>
            </w:tcBorders>
            <w:noWrap/>
            <w:vAlign w:val="center"/>
            <w:hideMark/>
          </w:tcPr>
          <w:p w14:paraId="30FC76E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523" w:type="dxa"/>
            <w:tcBorders>
              <w:top w:val="nil"/>
              <w:left w:val="nil"/>
              <w:bottom w:val="nil"/>
              <w:right w:val="nil"/>
            </w:tcBorders>
            <w:noWrap/>
            <w:vAlign w:val="center"/>
            <w:hideMark/>
          </w:tcPr>
          <w:p w14:paraId="6069AA5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0B7ED0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B0DB65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819A87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B6083D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0ADD7A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837A6C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A06944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972920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B57E4A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5EC1F5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E7BB87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0B61190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270A134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4892A70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3D1E39F1"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4BA1A53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134B566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C3F05E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8D1A61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DDD84E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640E69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2DA0F3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28554F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01A62B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F4A4AD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2F546FDE" w14:textId="77777777" w:rsidTr="00851E52">
        <w:trPr>
          <w:trHeight w:val="552"/>
        </w:trPr>
        <w:tc>
          <w:tcPr>
            <w:tcW w:w="1340" w:type="dxa"/>
            <w:tcBorders>
              <w:top w:val="nil"/>
              <w:left w:val="nil"/>
              <w:bottom w:val="nil"/>
              <w:right w:val="nil"/>
            </w:tcBorders>
            <w:vAlign w:val="center"/>
            <w:hideMark/>
          </w:tcPr>
          <w:p w14:paraId="6CDB772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Buzgova et al.</w:t>
            </w:r>
            <w:r>
              <w:rPr>
                <w:rFonts w:ascii="Aptos Narrow" w:eastAsia="Times New Roman" w:hAnsi="Aptos Narrow" w:cs="Times New Roman"/>
                <w:color w:val="000000"/>
                <w:kern w:val="0"/>
                <w:sz w:val="20"/>
                <w:szCs w:val="20"/>
                <w14:ligatures w14:val="none"/>
              </w:rPr>
              <w:br/>
              <w:t>(2019) [57]</w:t>
            </w:r>
          </w:p>
        </w:tc>
        <w:tc>
          <w:tcPr>
            <w:tcW w:w="1574" w:type="dxa"/>
            <w:tcBorders>
              <w:top w:val="nil"/>
              <w:left w:val="nil"/>
              <w:bottom w:val="nil"/>
              <w:right w:val="nil"/>
            </w:tcBorders>
            <w:vAlign w:val="center"/>
            <w:hideMark/>
          </w:tcPr>
          <w:p w14:paraId="3A7834AC"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Qualitative study</w:t>
            </w:r>
          </w:p>
        </w:tc>
        <w:tc>
          <w:tcPr>
            <w:tcW w:w="523" w:type="dxa"/>
            <w:tcBorders>
              <w:top w:val="nil"/>
              <w:left w:val="nil"/>
              <w:bottom w:val="nil"/>
              <w:right w:val="nil"/>
            </w:tcBorders>
            <w:noWrap/>
            <w:vAlign w:val="center"/>
            <w:hideMark/>
          </w:tcPr>
          <w:p w14:paraId="3089703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nil"/>
              <w:right w:val="nil"/>
            </w:tcBorders>
            <w:noWrap/>
            <w:vAlign w:val="center"/>
            <w:hideMark/>
          </w:tcPr>
          <w:p w14:paraId="23A3D87C"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5FB4DE5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38C2B2E1"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2055449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02345EEC"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2E2A3AF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25249DD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08C789D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9FEA21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89D28A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02DF99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ECC1A8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722616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D001E7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89C7CF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673C8A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2E4B6B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B421F0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2AC871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FC73E6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9B175A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7FB036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3BE2C5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1B78F4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A00347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4E9906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0491AF15" w14:textId="77777777" w:rsidTr="00851E52">
        <w:trPr>
          <w:trHeight w:val="552"/>
        </w:trPr>
        <w:tc>
          <w:tcPr>
            <w:tcW w:w="1340" w:type="dxa"/>
            <w:tcBorders>
              <w:top w:val="nil"/>
              <w:left w:val="nil"/>
              <w:bottom w:val="nil"/>
              <w:right w:val="nil"/>
            </w:tcBorders>
            <w:vAlign w:val="center"/>
            <w:hideMark/>
          </w:tcPr>
          <w:p w14:paraId="55546BF1"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Cerilli et al.</w:t>
            </w:r>
            <w:r>
              <w:rPr>
                <w:rFonts w:ascii="Aptos Narrow" w:eastAsia="Times New Roman" w:hAnsi="Aptos Narrow" w:cs="Times New Roman"/>
                <w:color w:val="000000"/>
                <w:kern w:val="0"/>
                <w:sz w:val="20"/>
                <w:szCs w:val="20"/>
                <w14:ligatures w14:val="none"/>
              </w:rPr>
              <w:br/>
              <w:t>(2023) [59]</w:t>
            </w:r>
          </w:p>
        </w:tc>
        <w:tc>
          <w:tcPr>
            <w:tcW w:w="1574" w:type="dxa"/>
            <w:tcBorders>
              <w:top w:val="nil"/>
              <w:left w:val="nil"/>
              <w:bottom w:val="nil"/>
              <w:right w:val="nil"/>
            </w:tcBorders>
            <w:vAlign w:val="center"/>
            <w:hideMark/>
          </w:tcPr>
          <w:p w14:paraId="22BDE3A7"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Qualitative study</w:t>
            </w:r>
          </w:p>
        </w:tc>
        <w:tc>
          <w:tcPr>
            <w:tcW w:w="523" w:type="dxa"/>
            <w:tcBorders>
              <w:top w:val="nil"/>
              <w:left w:val="nil"/>
              <w:bottom w:val="nil"/>
              <w:right w:val="nil"/>
            </w:tcBorders>
            <w:noWrap/>
            <w:vAlign w:val="center"/>
            <w:hideMark/>
          </w:tcPr>
          <w:p w14:paraId="69D3551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nil"/>
              <w:right w:val="nil"/>
            </w:tcBorders>
            <w:noWrap/>
            <w:vAlign w:val="center"/>
            <w:hideMark/>
          </w:tcPr>
          <w:p w14:paraId="6B74EC0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F8FFF7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52477AB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1B3C01F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68245D1C"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5614E917"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B3F031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3B66DDE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45CB31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34EC1E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F71D19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C82BF2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EEB726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991181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E56CEA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342A66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EF666B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DCEE47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51F008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164BC8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0A0327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CBD19B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D91099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02A3DA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F8BE7F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54DCBD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7016F4E7" w14:textId="77777777" w:rsidTr="00851E52">
        <w:trPr>
          <w:trHeight w:val="1104"/>
        </w:trPr>
        <w:tc>
          <w:tcPr>
            <w:tcW w:w="1340" w:type="dxa"/>
            <w:tcBorders>
              <w:top w:val="nil"/>
              <w:left w:val="nil"/>
              <w:bottom w:val="nil"/>
              <w:right w:val="nil"/>
            </w:tcBorders>
            <w:vAlign w:val="center"/>
            <w:hideMark/>
          </w:tcPr>
          <w:p w14:paraId="63F6600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Cheong et al.</w:t>
            </w:r>
            <w:r>
              <w:rPr>
                <w:rFonts w:ascii="Aptos Narrow" w:eastAsia="Times New Roman" w:hAnsi="Aptos Narrow" w:cs="Times New Roman"/>
                <w:color w:val="000000"/>
                <w:kern w:val="0"/>
                <w:sz w:val="20"/>
                <w:szCs w:val="20"/>
                <w14:ligatures w14:val="none"/>
              </w:rPr>
              <w:br/>
              <w:t>(2024) [60]</w:t>
            </w:r>
          </w:p>
        </w:tc>
        <w:tc>
          <w:tcPr>
            <w:tcW w:w="1574" w:type="dxa"/>
            <w:tcBorders>
              <w:top w:val="nil"/>
              <w:left w:val="nil"/>
              <w:bottom w:val="nil"/>
              <w:right w:val="nil"/>
            </w:tcBorders>
            <w:vAlign w:val="center"/>
            <w:hideMark/>
          </w:tcPr>
          <w:p w14:paraId="7DCF4E4C"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Cross sectional study (quantitative descriptive)</w:t>
            </w:r>
          </w:p>
        </w:tc>
        <w:tc>
          <w:tcPr>
            <w:tcW w:w="523" w:type="dxa"/>
            <w:tcBorders>
              <w:top w:val="nil"/>
              <w:left w:val="nil"/>
              <w:bottom w:val="nil"/>
              <w:right w:val="nil"/>
            </w:tcBorders>
            <w:noWrap/>
            <w:vAlign w:val="center"/>
            <w:hideMark/>
          </w:tcPr>
          <w:p w14:paraId="14FBC4A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523" w:type="dxa"/>
            <w:tcBorders>
              <w:top w:val="nil"/>
              <w:left w:val="nil"/>
              <w:bottom w:val="nil"/>
              <w:right w:val="nil"/>
            </w:tcBorders>
            <w:noWrap/>
            <w:vAlign w:val="center"/>
            <w:hideMark/>
          </w:tcPr>
          <w:p w14:paraId="19B4FF7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FB9FB5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CEBCA1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CB3AE0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427A00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F32040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CD16D3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956B2D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E16B07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77C124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DD61A3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9B8837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697B9F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5C5A41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A363B5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D8F38A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A7DDD9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19AA27F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2FCD221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6BA114D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N</w:t>
            </w:r>
          </w:p>
        </w:tc>
        <w:tc>
          <w:tcPr>
            <w:tcW w:w="473" w:type="dxa"/>
            <w:tcBorders>
              <w:top w:val="nil"/>
              <w:left w:val="nil"/>
              <w:bottom w:val="nil"/>
              <w:right w:val="nil"/>
            </w:tcBorders>
            <w:noWrap/>
            <w:vAlign w:val="center"/>
            <w:hideMark/>
          </w:tcPr>
          <w:p w14:paraId="1DA918B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B26806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0F1880F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A17D79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FB6E2F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62D3A0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7DEEDF73" w14:textId="77777777" w:rsidTr="00851E52">
        <w:trPr>
          <w:trHeight w:val="1932"/>
        </w:trPr>
        <w:tc>
          <w:tcPr>
            <w:tcW w:w="1340" w:type="dxa"/>
            <w:tcBorders>
              <w:top w:val="nil"/>
              <w:left w:val="nil"/>
              <w:bottom w:val="nil"/>
              <w:right w:val="nil"/>
            </w:tcBorders>
            <w:vAlign w:val="center"/>
            <w:hideMark/>
          </w:tcPr>
          <w:p w14:paraId="3BBE3921"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Cohen-Mansfield et al.</w:t>
            </w:r>
            <w:r>
              <w:rPr>
                <w:rFonts w:ascii="Aptos Narrow" w:eastAsia="Times New Roman" w:hAnsi="Aptos Narrow" w:cs="Times New Roman"/>
                <w:color w:val="000000"/>
                <w:kern w:val="0"/>
                <w:sz w:val="20"/>
                <w:szCs w:val="20"/>
                <w14:ligatures w14:val="none"/>
              </w:rPr>
              <w:br/>
              <w:t>(2020) [61]</w:t>
            </w:r>
          </w:p>
        </w:tc>
        <w:tc>
          <w:tcPr>
            <w:tcW w:w="1574" w:type="dxa"/>
            <w:tcBorders>
              <w:top w:val="nil"/>
              <w:left w:val="nil"/>
              <w:bottom w:val="nil"/>
              <w:right w:val="nil"/>
            </w:tcBorders>
            <w:vAlign w:val="center"/>
            <w:hideMark/>
          </w:tcPr>
          <w:p w14:paraId="0BA2808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Mixed-methods cross-sectional study (qualitative and quantitative non-randomised)</w:t>
            </w:r>
          </w:p>
        </w:tc>
        <w:tc>
          <w:tcPr>
            <w:tcW w:w="523" w:type="dxa"/>
            <w:tcBorders>
              <w:top w:val="nil"/>
              <w:left w:val="nil"/>
              <w:bottom w:val="nil"/>
              <w:right w:val="nil"/>
            </w:tcBorders>
            <w:noWrap/>
            <w:vAlign w:val="center"/>
            <w:hideMark/>
          </w:tcPr>
          <w:p w14:paraId="7429973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nil"/>
              <w:right w:val="nil"/>
            </w:tcBorders>
            <w:noWrap/>
            <w:vAlign w:val="center"/>
            <w:hideMark/>
          </w:tcPr>
          <w:p w14:paraId="7A9A8FC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168A1F0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4BD44A3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2A31276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3AC1966D"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2FB49EAD"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3F382CD6"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691CED5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5CA66D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0D83B7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26D491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59B19C1"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6A37E5BD"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D7581B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1FFD2AB6"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4E5C3FA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440240E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2580E55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CEA108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A888BB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364DDA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F98E26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373372B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4BC4F81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5E6ECF91"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5C1DCA8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r>
      <w:tr w:rsidR="007121FC" w:rsidRPr="00F6387B" w14:paraId="2568CC11" w14:textId="77777777" w:rsidTr="00851E52">
        <w:trPr>
          <w:trHeight w:val="828"/>
        </w:trPr>
        <w:tc>
          <w:tcPr>
            <w:tcW w:w="1340" w:type="dxa"/>
            <w:tcBorders>
              <w:top w:val="nil"/>
              <w:left w:val="nil"/>
              <w:bottom w:val="nil"/>
              <w:right w:val="nil"/>
            </w:tcBorders>
            <w:vAlign w:val="center"/>
            <w:hideMark/>
          </w:tcPr>
          <w:p w14:paraId="4FFF332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Dawson &amp; Kristjanson</w:t>
            </w:r>
            <w:r>
              <w:rPr>
                <w:rFonts w:ascii="Aptos Narrow" w:eastAsia="Times New Roman" w:hAnsi="Aptos Narrow" w:cs="Times New Roman"/>
                <w:color w:val="000000"/>
                <w:kern w:val="0"/>
                <w:sz w:val="20"/>
                <w:szCs w:val="20"/>
                <w14:ligatures w14:val="none"/>
              </w:rPr>
              <w:br/>
              <w:t>(2003) [62]</w:t>
            </w:r>
          </w:p>
        </w:tc>
        <w:tc>
          <w:tcPr>
            <w:tcW w:w="1574" w:type="dxa"/>
            <w:tcBorders>
              <w:top w:val="nil"/>
              <w:left w:val="nil"/>
              <w:bottom w:val="nil"/>
              <w:right w:val="nil"/>
            </w:tcBorders>
            <w:vAlign w:val="center"/>
            <w:hideMark/>
          </w:tcPr>
          <w:p w14:paraId="0C59C95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Qualitative study</w:t>
            </w:r>
          </w:p>
        </w:tc>
        <w:tc>
          <w:tcPr>
            <w:tcW w:w="523" w:type="dxa"/>
            <w:tcBorders>
              <w:top w:val="nil"/>
              <w:left w:val="nil"/>
              <w:bottom w:val="nil"/>
              <w:right w:val="nil"/>
            </w:tcBorders>
            <w:noWrap/>
            <w:vAlign w:val="center"/>
            <w:hideMark/>
          </w:tcPr>
          <w:p w14:paraId="6B8ED417"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nil"/>
              <w:right w:val="nil"/>
            </w:tcBorders>
            <w:noWrap/>
            <w:vAlign w:val="center"/>
            <w:hideMark/>
          </w:tcPr>
          <w:p w14:paraId="616B785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2F51A97"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400A0366"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5B31334C"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0989E33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09DFAC4D"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64E1B33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41A5AD2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BF1BA3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382B20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7F426F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C87673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19047A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719D03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455EC8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F5FE9D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D9BE4A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0A0CAF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396505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89452A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D338F1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E066E2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7BD37F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1180DF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2DC887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16CC90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0DB57271" w14:textId="77777777" w:rsidTr="00851E52">
        <w:trPr>
          <w:trHeight w:val="1932"/>
        </w:trPr>
        <w:tc>
          <w:tcPr>
            <w:tcW w:w="1340" w:type="dxa"/>
            <w:tcBorders>
              <w:top w:val="nil"/>
              <w:left w:val="nil"/>
              <w:bottom w:val="nil"/>
              <w:right w:val="nil"/>
            </w:tcBorders>
            <w:vAlign w:val="center"/>
            <w:hideMark/>
          </w:tcPr>
          <w:p w14:paraId="40696D56"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lastRenderedPageBreak/>
              <w:t>Dorsemans et al.</w:t>
            </w:r>
            <w:r>
              <w:rPr>
                <w:rFonts w:ascii="Aptos Narrow" w:eastAsia="Times New Roman" w:hAnsi="Aptos Narrow" w:cs="Times New Roman"/>
                <w:color w:val="000000"/>
                <w:kern w:val="0"/>
                <w:sz w:val="20"/>
                <w:szCs w:val="20"/>
                <w14:ligatures w14:val="none"/>
              </w:rPr>
              <w:br/>
              <w:t>(2023) [63]</w:t>
            </w:r>
          </w:p>
        </w:tc>
        <w:tc>
          <w:tcPr>
            <w:tcW w:w="1574" w:type="dxa"/>
            <w:tcBorders>
              <w:top w:val="nil"/>
              <w:left w:val="nil"/>
              <w:bottom w:val="nil"/>
              <w:right w:val="nil"/>
            </w:tcBorders>
            <w:vAlign w:val="center"/>
            <w:hideMark/>
          </w:tcPr>
          <w:p w14:paraId="279448D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Mixed-methods cross-sectional study (qualitative and quantitative non-randomised)</w:t>
            </w:r>
          </w:p>
        </w:tc>
        <w:tc>
          <w:tcPr>
            <w:tcW w:w="523" w:type="dxa"/>
            <w:tcBorders>
              <w:top w:val="nil"/>
              <w:left w:val="nil"/>
              <w:bottom w:val="nil"/>
              <w:right w:val="nil"/>
            </w:tcBorders>
            <w:noWrap/>
            <w:vAlign w:val="center"/>
            <w:hideMark/>
          </w:tcPr>
          <w:p w14:paraId="7EBA6C3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nil"/>
              <w:right w:val="nil"/>
            </w:tcBorders>
            <w:noWrap/>
            <w:vAlign w:val="center"/>
            <w:hideMark/>
          </w:tcPr>
          <w:p w14:paraId="50D56DB7"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26DEDE1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4EFC208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3978D00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6AD0A4F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615528BD"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1B08BD7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395A54A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96E684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BA25A6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E741F7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7E86C5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5A919B26"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1EF9F49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62850DD"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N</w:t>
            </w:r>
          </w:p>
        </w:tc>
        <w:tc>
          <w:tcPr>
            <w:tcW w:w="473" w:type="dxa"/>
            <w:tcBorders>
              <w:top w:val="nil"/>
              <w:left w:val="nil"/>
              <w:bottom w:val="nil"/>
              <w:right w:val="nil"/>
            </w:tcBorders>
            <w:noWrap/>
            <w:vAlign w:val="center"/>
            <w:hideMark/>
          </w:tcPr>
          <w:p w14:paraId="03B3279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0B02CF0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05CE27F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0DF634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4F0780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83896B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DFA5726"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37EE2BE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471690A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47B789A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67283CE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r>
      <w:tr w:rsidR="007121FC" w:rsidRPr="00F6387B" w14:paraId="765CA7B2" w14:textId="77777777" w:rsidTr="00851E52">
        <w:trPr>
          <w:trHeight w:val="1104"/>
        </w:trPr>
        <w:tc>
          <w:tcPr>
            <w:tcW w:w="1340" w:type="dxa"/>
            <w:tcBorders>
              <w:top w:val="nil"/>
              <w:left w:val="nil"/>
              <w:bottom w:val="nil"/>
              <w:right w:val="nil"/>
            </w:tcBorders>
            <w:vAlign w:val="center"/>
            <w:hideMark/>
          </w:tcPr>
          <w:p w14:paraId="04F40A9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Eriksson et al.</w:t>
            </w:r>
            <w:r>
              <w:rPr>
                <w:rFonts w:ascii="Aptos Narrow" w:eastAsia="Times New Roman" w:hAnsi="Aptos Narrow" w:cs="Times New Roman"/>
                <w:color w:val="000000"/>
                <w:kern w:val="0"/>
                <w:sz w:val="20"/>
                <w:szCs w:val="20"/>
                <w14:ligatures w14:val="none"/>
              </w:rPr>
              <w:br/>
              <w:t>(2016) [64]</w:t>
            </w:r>
          </w:p>
        </w:tc>
        <w:tc>
          <w:tcPr>
            <w:tcW w:w="1574" w:type="dxa"/>
            <w:tcBorders>
              <w:top w:val="nil"/>
              <w:left w:val="nil"/>
              <w:bottom w:val="nil"/>
              <w:right w:val="nil"/>
            </w:tcBorders>
            <w:vAlign w:val="center"/>
            <w:hideMark/>
          </w:tcPr>
          <w:p w14:paraId="2146AC1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Cohort study (quantitative non-randomised)</w:t>
            </w:r>
          </w:p>
        </w:tc>
        <w:tc>
          <w:tcPr>
            <w:tcW w:w="523" w:type="dxa"/>
            <w:tcBorders>
              <w:top w:val="nil"/>
              <w:left w:val="nil"/>
              <w:bottom w:val="nil"/>
              <w:right w:val="nil"/>
            </w:tcBorders>
            <w:noWrap/>
            <w:vAlign w:val="center"/>
            <w:hideMark/>
          </w:tcPr>
          <w:p w14:paraId="2F444CB7"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nil"/>
              <w:right w:val="nil"/>
            </w:tcBorders>
            <w:noWrap/>
            <w:vAlign w:val="center"/>
            <w:hideMark/>
          </w:tcPr>
          <w:p w14:paraId="6A3FCCF6"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2CA6FA5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1CDDE66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7DD6D6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4BB4D7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098369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A72D63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291890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443759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B03E33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F30F4B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429301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B26453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0639E936"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6B45FE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00D0365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4EC0EF7C"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5AB0400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694A1D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F11540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6D2513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D8354D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259D6F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B98203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619969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EB2A47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232FBAB1" w14:textId="77777777" w:rsidTr="00851E52">
        <w:trPr>
          <w:trHeight w:val="1380"/>
        </w:trPr>
        <w:tc>
          <w:tcPr>
            <w:tcW w:w="1340" w:type="dxa"/>
            <w:tcBorders>
              <w:top w:val="nil"/>
              <w:left w:val="nil"/>
              <w:bottom w:val="nil"/>
              <w:right w:val="nil"/>
            </w:tcBorders>
            <w:vAlign w:val="center"/>
            <w:hideMark/>
          </w:tcPr>
          <w:p w14:paraId="5B9A4D86"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Fordjour et al.</w:t>
            </w:r>
            <w:r>
              <w:rPr>
                <w:rFonts w:ascii="Aptos Narrow" w:eastAsia="Times New Roman" w:hAnsi="Aptos Narrow" w:cs="Times New Roman"/>
                <w:color w:val="000000"/>
                <w:kern w:val="0"/>
                <w:sz w:val="20"/>
                <w:szCs w:val="20"/>
                <w14:ligatures w14:val="none"/>
              </w:rPr>
              <w:br/>
              <w:t>(2024) [65]</w:t>
            </w:r>
          </w:p>
        </w:tc>
        <w:tc>
          <w:tcPr>
            <w:tcW w:w="1574" w:type="dxa"/>
            <w:tcBorders>
              <w:top w:val="nil"/>
              <w:left w:val="nil"/>
              <w:bottom w:val="nil"/>
              <w:right w:val="nil"/>
            </w:tcBorders>
            <w:vAlign w:val="center"/>
            <w:hideMark/>
          </w:tcPr>
          <w:p w14:paraId="499D033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Cross sectional study (quantitative non-randomised)</w:t>
            </w:r>
          </w:p>
        </w:tc>
        <w:tc>
          <w:tcPr>
            <w:tcW w:w="523" w:type="dxa"/>
            <w:tcBorders>
              <w:top w:val="nil"/>
              <w:left w:val="nil"/>
              <w:bottom w:val="nil"/>
              <w:right w:val="nil"/>
            </w:tcBorders>
            <w:noWrap/>
            <w:vAlign w:val="center"/>
            <w:hideMark/>
          </w:tcPr>
          <w:p w14:paraId="27923B2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nil"/>
              <w:right w:val="nil"/>
            </w:tcBorders>
            <w:noWrap/>
            <w:vAlign w:val="center"/>
            <w:hideMark/>
          </w:tcPr>
          <w:p w14:paraId="2FF390D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2E08943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1A2B1BD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2D6AA8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0586D6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B6923D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B91CF4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3C9223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6319E8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89B43A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77F811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18808E7"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2ACA4C9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2DE8884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4CC0122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F86767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647C2B9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0AA22BA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A70BA8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1B063E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6F5316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774A41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0C6F8B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C415F5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2F2C5E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69DEA3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28C9A2A8" w14:textId="77777777" w:rsidTr="00851E52">
        <w:trPr>
          <w:trHeight w:val="552"/>
        </w:trPr>
        <w:tc>
          <w:tcPr>
            <w:tcW w:w="1340" w:type="dxa"/>
            <w:tcBorders>
              <w:top w:val="nil"/>
              <w:left w:val="nil"/>
              <w:bottom w:val="nil"/>
              <w:right w:val="nil"/>
            </w:tcBorders>
            <w:vAlign w:val="center"/>
            <w:hideMark/>
          </w:tcPr>
          <w:p w14:paraId="7919E97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Gofton et al.</w:t>
            </w:r>
            <w:r>
              <w:rPr>
                <w:rFonts w:ascii="Aptos Narrow" w:eastAsia="Times New Roman" w:hAnsi="Aptos Narrow" w:cs="Times New Roman"/>
                <w:color w:val="000000"/>
                <w:kern w:val="0"/>
                <w:sz w:val="20"/>
                <w:szCs w:val="20"/>
                <w14:ligatures w14:val="none"/>
              </w:rPr>
              <w:br/>
              <w:t>(2018) [66]</w:t>
            </w:r>
          </w:p>
        </w:tc>
        <w:tc>
          <w:tcPr>
            <w:tcW w:w="1574" w:type="dxa"/>
            <w:tcBorders>
              <w:top w:val="nil"/>
              <w:left w:val="nil"/>
              <w:bottom w:val="nil"/>
              <w:right w:val="nil"/>
            </w:tcBorders>
            <w:vAlign w:val="center"/>
            <w:hideMark/>
          </w:tcPr>
          <w:p w14:paraId="721DAFC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Qualitative study</w:t>
            </w:r>
          </w:p>
        </w:tc>
        <w:tc>
          <w:tcPr>
            <w:tcW w:w="523" w:type="dxa"/>
            <w:tcBorders>
              <w:top w:val="nil"/>
              <w:left w:val="nil"/>
              <w:bottom w:val="nil"/>
              <w:right w:val="nil"/>
            </w:tcBorders>
            <w:noWrap/>
            <w:vAlign w:val="center"/>
            <w:hideMark/>
          </w:tcPr>
          <w:p w14:paraId="77EC43F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nil"/>
              <w:right w:val="nil"/>
            </w:tcBorders>
            <w:noWrap/>
            <w:vAlign w:val="center"/>
            <w:hideMark/>
          </w:tcPr>
          <w:p w14:paraId="3DF87E9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011D970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6737295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4A3A44AD"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38698421"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42FEB35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4031EF4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56B59A9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FF848E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310B82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37596E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12AAA2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CCE87C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A3C204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FAE5B0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EE7918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4C6F4D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FAB74D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FADE6F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D829EE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716991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8FD239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24C005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8B626A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EF5CA1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656536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379FB847" w14:textId="77777777" w:rsidTr="00851E52">
        <w:trPr>
          <w:trHeight w:val="1380"/>
        </w:trPr>
        <w:tc>
          <w:tcPr>
            <w:tcW w:w="1340" w:type="dxa"/>
            <w:tcBorders>
              <w:top w:val="nil"/>
              <w:left w:val="nil"/>
              <w:bottom w:val="nil"/>
              <w:right w:val="nil"/>
            </w:tcBorders>
            <w:vAlign w:val="center"/>
            <w:hideMark/>
          </w:tcPr>
          <w:p w14:paraId="5A71C88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Klietz et al.</w:t>
            </w:r>
            <w:r>
              <w:rPr>
                <w:rFonts w:ascii="Aptos Narrow" w:eastAsia="Times New Roman" w:hAnsi="Aptos Narrow" w:cs="Times New Roman"/>
                <w:color w:val="000000"/>
                <w:kern w:val="0"/>
                <w:sz w:val="20"/>
                <w:szCs w:val="20"/>
                <w14:ligatures w14:val="none"/>
              </w:rPr>
              <w:br/>
              <w:t>(2018) [67]</w:t>
            </w:r>
          </w:p>
        </w:tc>
        <w:tc>
          <w:tcPr>
            <w:tcW w:w="1574" w:type="dxa"/>
            <w:tcBorders>
              <w:top w:val="nil"/>
              <w:left w:val="nil"/>
              <w:bottom w:val="nil"/>
              <w:right w:val="nil"/>
            </w:tcBorders>
            <w:vAlign w:val="center"/>
            <w:hideMark/>
          </w:tcPr>
          <w:p w14:paraId="5A2666B7"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Cross sectional (quantitative non-randomised)</w:t>
            </w:r>
          </w:p>
        </w:tc>
        <w:tc>
          <w:tcPr>
            <w:tcW w:w="523" w:type="dxa"/>
            <w:tcBorders>
              <w:top w:val="nil"/>
              <w:left w:val="nil"/>
              <w:bottom w:val="nil"/>
              <w:right w:val="nil"/>
            </w:tcBorders>
            <w:noWrap/>
            <w:vAlign w:val="center"/>
            <w:hideMark/>
          </w:tcPr>
          <w:p w14:paraId="0E3F508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523" w:type="dxa"/>
            <w:tcBorders>
              <w:top w:val="nil"/>
              <w:left w:val="nil"/>
              <w:bottom w:val="nil"/>
              <w:right w:val="nil"/>
            </w:tcBorders>
            <w:noWrap/>
            <w:vAlign w:val="center"/>
            <w:hideMark/>
          </w:tcPr>
          <w:p w14:paraId="2E00060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1F532D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6ABF6D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E2A3BD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545E8B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5FC9C6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707F30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704344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757747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11BFB2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97F060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916DB8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3CF0076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5F59F4C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1911679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N</w:t>
            </w:r>
          </w:p>
        </w:tc>
        <w:tc>
          <w:tcPr>
            <w:tcW w:w="473" w:type="dxa"/>
            <w:tcBorders>
              <w:top w:val="nil"/>
              <w:left w:val="nil"/>
              <w:bottom w:val="nil"/>
              <w:right w:val="nil"/>
            </w:tcBorders>
            <w:noWrap/>
            <w:vAlign w:val="center"/>
            <w:hideMark/>
          </w:tcPr>
          <w:p w14:paraId="4BC0D7A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401D6DB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4407F09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FA566C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765F58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D883BB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E66C95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84813D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02EAA4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9481B7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E52C01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411BD99D" w14:textId="77777777" w:rsidTr="00851E52">
        <w:trPr>
          <w:trHeight w:val="1656"/>
        </w:trPr>
        <w:tc>
          <w:tcPr>
            <w:tcW w:w="1340" w:type="dxa"/>
            <w:tcBorders>
              <w:top w:val="nil"/>
              <w:left w:val="nil"/>
              <w:bottom w:val="nil"/>
              <w:right w:val="nil"/>
            </w:tcBorders>
            <w:vAlign w:val="center"/>
            <w:hideMark/>
          </w:tcPr>
          <w:p w14:paraId="056D3CA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Lennaerts-Kats et al.</w:t>
            </w:r>
            <w:r>
              <w:rPr>
                <w:rFonts w:ascii="Aptos Narrow" w:eastAsia="Times New Roman" w:hAnsi="Aptos Narrow" w:cs="Times New Roman"/>
                <w:color w:val="000000"/>
                <w:kern w:val="0"/>
                <w:sz w:val="20"/>
                <w:szCs w:val="20"/>
                <w14:ligatures w14:val="none"/>
              </w:rPr>
              <w:br/>
              <w:t>(2022) [68]</w:t>
            </w:r>
          </w:p>
        </w:tc>
        <w:tc>
          <w:tcPr>
            <w:tcW w:w="1574" w:type="dxa"/>
            <w:tcBorders>
              <w:top w:val="nil"/>
              <w:left w:val="nil"/>
              <w:bottom w:val="nil"/>
              <w:right w:val="nil"/>
            </w:tcBorders>
            <w:vAlign w:val="center"/>
            <w:hideMark/>
          </w:tcPr>
          <w:p w14:paraId="4ABDC497"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Mixed methods longitudinal case study (qualitative and quantitative descriptive)</w:t>
            </w:r>
          </w:p>
        </w:tc>
        <w:tc>
          <w:tcPr>
            <w:tcW w:w="523" w:type="dxa"/>
            <w:tcBorders>
              <w:top w:val="nil"/>
              <w:left w:val="nil"/>
              <w:bottom w:val="nil"/>
              <w:right w:val="nil"/>
            </w:tcBorders>
            <w:noWrap/>
            <w:vAlign w:val="center"/>
            <w:hideMark/>
          </w:tcPr>
          <w:p w14:paraId="6D2BA57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nil"/>
              <w:right w:val="nil"/>
            </w:tcBorders>
            <w:noWrap/>
            <w:vAlign w:val="center"/>
            <w:hideMark/>
          </w:tcPr>
          <w:p w14:paraId="3E78243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2213402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57910C0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2867B8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2C3D9281"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512A3C0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5C4C9D5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023E296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5C6C00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4C209E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3023A8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78C50E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D09153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07FFB0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8CF2FA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F635B1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1AADAF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429E6256"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N</w:t>
            </w:r>
          </w:p>
        </w:tc>
        <w:tc>
          <w:tcPr>
            <w:tcW w:w="473" w:type="dxa"/>
            <w:tcBorders>
              <w:top w:val="nil"/>
              <w:left w:val="nil"/>
              <w:bottom w:val="nil"/>
              <w:right w:val="nil"/>
            </w:tcBorders>
            <w:noWrap/>
            <w:vAlign w:val="center"/>
            <w:hideMark/>
          </w:tcPr>
          <w:p w14:paraId="512F50C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1F3B1D2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39DAAE8C"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156705F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2C5D2ED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0DDB0B4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274D8C5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650D0F96"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r>
      <w:tr w:rsidR="007121FC" w:rsidRPr="00F6387B" w14:paraId="1356B1BB" w14:textId="77777777" w:rsidTr="00851E52">
        <w:trPr>
          <w:trHeight w:val="1104"/>
        </w:trPr>
        <w:tc>
          <w:tcPr>
            <w:tcW w:w="1340" w:type="dxa"/>
            <w:tcBorders>
              <w:top w:val="nil"/>
              <w:left w:val="nil"/>
              <w:bottom w:val="nil"/>
              <w:right w:val="nil"/>
            </w:tcBorders>
            <w:vAlign w:val="center"/>
            <w:hideMark/>
          </w:tcPr>
          <w:p w14:paraId="647839F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Liu et al.</w:t>
            </w:r>
            <w:r>
              <w:rPr>
                <w:rFonts w:ascii="Aptos Narrow" w:eastAsia="Times New Roman" w:hAnsi="Aptos Narrow" w:cs="Times New Roman"/>
                <w:color w:val="000000"/>
                <w:kern w:val="0"/>
                <w:sz w:val="20"/>
                <w:szCs w:val="20"/>
                <w14:ligatures w14:val="none"/>
              </w:rPr>
              <w:br/>
              <w:t>(2024) [69]</w:t>
            </w:r>
          </w:p>
        </w:tc>
        <w:tc>
          <w:tcPr>
            <w:tcW w:w="1574" w:type="dxa"/>
            <w:tcBorders>
              <w:top w:val="nil"/>
              <w:left w:val="nil"/>
              <w:bottom w:val="nil"/>
              <w:right w:val="nil"/>
            </w:tcBorders>
            <w:vAlign w:val="center"/>
            <w:hideMark/>
          </w:tcPr>
          <w:p w14:paraId="7355BCE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Cohort study (quantitative non-randomised)</w:t>
            </w:r>
          </w:p>
        </w:tc>
        <w:tc>
          <w:tcPr>
            <w:tcW w:w="523" w:type="dxa"/>
            <w:tcBorders>
              <w:top w:val="nil"/>
              <w:left w:val="nil"/>
              <w:bottom w:val="nil"/>
              <w:right w:val="nil"/>
            </w:tcBorders>
            <w:noWrap/>
            <w:vAlign w:val="center"/>
            <w:hideMark/>
          </w:tcPr>
          <w:p w14:paraId="3B3DF9BC"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nil"/>
              <w:right w:val="nil"/>
            </w:tcBorders>
            <w:noWrap/>
            <w:vAlign w:val="center"/>
            <w:hideMark/>
          </w:tcPr>
          <w:p w14:paraId="53A2842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1CB3AFD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346EB53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62B939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0CADF8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1EF052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9A6913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61D230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6D6752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C5A15D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703BDE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59A267C"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55C3206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39BF534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BEAC3A6"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860B6F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3158A8C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3150B6C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0810F9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23FF42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A85CC3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9F835C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2338D9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ECC07E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45873F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065FAE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27222161" w14:textId="77777777" w:rsidTr="00851E52">
        <w:trPr>
          <w:trHeight w:val="552"/>
        </w:trPr>
        <w:tc>
          <w:tcPr>
            <w:tcW w:w="1340" w:type="dxa"/>
            <w:tcBorders>
              <w:top w:val="nil"/>
              <w:left w:val="nil"/>
              <w:bottom w:val="nil"/>
              <w:right w:val="nil"/>
            </w:tcBorders>
            <w:vAlign w:val="center"/>
            <w:hideMark/>
          </w:tcPr>
          <w:p w14:paraId="7FED0FB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McCurry et al.</w:t>
            </w:r>
            <w:r>
              <w:rPr>
                <w:rFonts w:ascii="Aptos Narrow" w:eastAsia="Times New Roman" w:hAnsi="Aptos Narrow" w:cs="Times New Roman"/>
                <w:color w:val="000000"/>
                <w:kern w:val="0"/>
                <w:sz w:val="20"/>
                <w:szCs w:val="20"/>
                <w14:ligatures w14:val="none"/>
              </w:rPr>
              <w:br/>
              <w:t>(2013) [71]</w:t>
            </w:r>
          </w:p>
        </w:tc>
        <w:tc>
          <w:tcPr>
            <w:tcW w:w="1574" w:type="dxa"/>
            <w:tcBorders>
              <w:top w:val="nil"/>
              <w:left w:val="nil"/>
              <w:bottom w:val="nil"/>
              <w:right w:val="nil"/>
            </w:tcBorders>
            <w:vAlign w:val="center"/>
            <w:hideMark/>
          </w:tcPr>
          <w:p w14:paraId="44802BC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Qualitative study</w:t>
            </w:r>
          </w:p>
        </w:tc>
        <w:tc>
          <w:tcPr>
            <w:tcW w:w="523" w:type="dxa"/>
            <w:tcBorders>
              <w:top w:val="nil"/>
              <w:left w:val="nil"/>
              <w:bottom w:val="nil"/>
              <w:right w:val="nil"/>
            </w:tcBorders>
            <w:noWrap/>
            <w:vAlign w:val="center"/>
            <w:hideMark/>
          </w:tcPr>
          <w:p w14:paraId="041C64E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nil"/>
              <w:right w:val="nil"/>
            </w:tcBorders>
            <w:noWrap/>
            <w:vAlign w:val="center"/>
            <w:hideMark/>
          </w:tcPr>
          <w:p w14:paraId="5057FC8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5A7FEEF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8FF090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6B09BA6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6F40635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143113A6"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39CB7C9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4E77193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A0F894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112665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9EE34D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26DC5E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84E897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7FD2DF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6D9475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89333B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234D70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02989F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49DEC6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983A71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AAE7DB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318C2B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7F206E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AFE7B8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FD657D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CF5A75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740C3E91" w14:textId="77777777" w:rsidTr="00851E52">
        <w:trPr>
          <w:trHeight w:val="552"/>
        </w:trPr>
        <w:tc>
          <w:tcPr>
            <w:tcW w:w="1340" w:type="dxa"/>
            <w:tcBorders>
              <w:top w:val="nil"/>
              <w:left w:val="nil"/>
              <w:bottom w:val="nil"/>
              <w:right w:val="nil"/>
            </w:tcBorders>
            <w:vAlign w:val="center"/>
            <w:hideMark/>
          </w:tcPr>
          <w:p w14:paraId="63675F7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McVeigh et al.</w:t>
            </w:r>
            <w:r>
              <w:rPr>
                <w:rFonts w:ascii="Aptos Narrow" w:eastAsia="Times New Roman" w:hAnsi="Aptos Narrow" w:cs="Times New Roman"/>
                <w:color w:val="000000"/>
                <w:kern w:val="0"/>
                <w:sz w:val="20"/>
                <w:szCs w:val="20"/>
                <w14:ligatures w14:val="none"/>
              </w:rPr>
              <w:br/>
              <w:t>(2019) [70]</w:t>
            </w:r>
          </w:p>
        </w:tc>
        <w:tc>
          <w:tcPr>
            <w:tcW w:w="1574" w:type="dxa"/>
            <w:tcBorders>
              <w:top w:val="nil"/>
              <w:left w:val="nil"/>
              <w:bottom w:val="nil"/>
              <w:right w:val="nil"/>
            </w:tcBorders>
            <w:vAlign w:val="center"/>
            <w:hideMark/>
          </w:tcPr>
          <w:p w14:paraId="0FC6B1F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Qualitative study</w:t>
            </w:r>
          </w:p>
        </w:tc>
        <w:tc>
          <w:tcPr>
            <w:tcW w:w="523" w:type="dxa"/>
            <w:tcBorders>
              <w:top w:val="nil"/>
              <w:left w:val="nil"/>
              <w:bottom w:val="nil"/>
              <w:right w:val="nil"/>
            </w:tcBorders>
            <w:noWrap/>
            <w:vAlign w:val="center"/>
            <w:hideMark/>
          </w:tcPr>
          <w:p w14:paraId="54A6717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nil"/>
              <w:right w:val="nil"/>
            </w:tcBorders>
            <w:noWrap/>
            <w:vAlign w:val="center"/>
            <w:hideMark/>
          </w:tcPr>
          <w:p w14:paraId="105B3A5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16DB101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6D04804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60B9A8F6"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4D93D3BC"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3B2EC27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0BE8248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63CE373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9283F1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808817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95A6EB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D574CA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925B15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61203D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C294A4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7129DF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04209D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07FFDB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934CD9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9C0D71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608DCD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D0CAFC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AC0E57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5302DF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4615DB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654F37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2A306F90" w14:textId="77777777" w:rsidTr="00851E52">
        <w:trPr>
          <w:trHeight w:val="1701"/>
        </w:trPr>
        <w:tc>
          <w:tcPr>
            <w:tcW w:w="1340" w:type="dxa"/>
            <w:tcBorders>
              <w:top w:val="nil"/>
              <w:left w:val="nil"/>
              <w:bottom w:val="nil"/>
              <w:right w:val="nil"/>
            </w:tcBorders>
            <w:vAlign w:val="center"/>
            <w:hideMark/>
          </w:tcPr>
          <w:p w14:paraId="14C93EE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Nolan et al.</w:t>
            </w:r>
            <w:r>
              <w:rPr>
                <w:rFonts w:ascii="Aptos Narrow" w:eastAsia="Times New Roman" w:hAnsi="Aptos Narrow" w:cs="Times New Roman"/>
                <w:color w:val="000000"/>
                <w:kern w:val="0"/>
                <w:sz w:val="20"/>
                <w:szCs w:val="20"/>
                <w14:ligatures w14:val="none"/>
              </w:rPr>
              <w:br/>
              <w:t>(2008) [72]</w:t>
            </w:r>
          </w:p>
        </w:tc>
        <w:tc>
          <w:tcPr>
            <w:tcW w:w="1574" w:type="dxa"/>
            <w:tcBorders>
              <w:top w:val="nil"/>
              <w:left w:val="nil"/>
              <w:bottom w:val="nil"/>
              <w:right w:val="nil"/>
            </w:tcBorders>
            <w:vAlign w:val="center"/>
            <w:hideMark/>
          </w:tcPr>
          <w:p w14:paraId="07800CD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Mixed-methods longitudinal study (qualitative and quantitative non-randomised)</w:t>
            </w:r>
          </w:p>
        </w:tc>
        <w:tc>
          <w:tcPr>
            <w:tcW w:w="523" w:type="dxa"/>
            <w:tcBorders>
              <w:top w:val="nil"/>
              <w:left w:val="nil"/>
              <w:bottom w:val="nil"/>
              <w:right w:val="nil"/>
            </w:tcBorders>
            <w:noWrap/>
            <w:vAlign w:val="center"/>
            <w:hideMark/>
          </w:tcPr>
          <w:p w14:paraId="5679B93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nil"/>
              <w:right w:val="nil"/>
            </w:tcBorders>
            <w:noWrap/>
            <w:vAlign w:val="center"/>
            <w:hideMark/>
          </w:tcPr>
          <w:p w14:paraId="16C48C9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0D533E0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4D7E4D1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0160ED1D"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E751F0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6E33C01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525DC78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72BBE89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DD700A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C412D8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B7CA7F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844048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446F3E9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AC0BE2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4F4BF12D"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N</w:t>
            </w:r>
          </w:p>
        </w:tc>
        <w:tc>
          <w:tcPr>
            <w:tcW w:w="473" w:type="dxa"/>
            <w:tcBorders>
              <w:top w:val="nil"/>
              <w:left w:val="nil"/>
              <w:bottom w:val="nil"/>
              <w:right w:val="nil"/>
            </w:tcBorders>
            <w:noWrap/>
            <w:vAlign w:val="center"/>
            <w:hideMark/>
          </w:tcPr>
          <w:p w14:paraId="2F7033E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E82DAC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7D0F422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D68DD5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B00BF2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6B225D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B63824D"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238A96EC"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16CC922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410EF73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62FFE01"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r>
      <w:tr w:rsidR="007121FC" w:rsidRPr="00F6387B" w14:paraId="762541BB" w14:textId="77777777" w:rsidTr="00851E52">
        <w:trPr>
          <w:trHeight w:val="552"/>
        </w:trPr>
        <w:tc>
          <w:tcPr>
            <w:tcW w:w="1340" w:type="dxa"/>
            <w:tcBorders>
              <w:top w:val="nil"/>
              <w:left w:val="nil"/>
              <w:bottom w:val="nil"/>
              <w:right w:val="nil"/>
            </w:tcBorders>
            <w:vAlign w:val="center"/>
            <w:hideMark/>
          </w:tcPr>
          <w:p w14:paraId="1F34C34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Olesen et al.</w:t>
            </w:r>
            <w:r>
              <w:rPr>
                <w:rFonts w:ascii="Aptos Narrow" w:eastAsia="Times New Roman" w:hAnsi="Aptos Narrow" w:cs="Times New Roman"/>
                <w:color w:val="000000"/>
                <w:kern w:val="0"/>
                <w:sz w:val="20"/>
                <w:szCs w:val="20"/>
                <w14:ligatures w14:val="none"/>
              </w:rPr>
              <w:br/>
              <w:t>(2023) [73]</w:t>
            </w:r>
          </w:p>
        </w:tc>
        <w:tc>
          <w:tcPr>
            <w:tcW w:w="1574" w:type="dxa"/>
            <w:tcBorders>
              <w:top w:val="nil"/>
              <w:left w:val="nil"/>
              <w:bottom w:val="nil"/>
              <w:right w:val="nil"/>
            </w:tcBorders>
            <w:vAlign w:val="center"/>
            <w:hideMark/>
          </w:tcPr>
          <w:p w14:paraId="4633433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Qualitative study</w:t>
            </w:r>
          </w:p>
        </w:tc>
        <w:tc>
          <w:tcPr>
            <w:tcW w:w="523" w:type="dxa"/>
            <w:tcBorders>
              <w:top w:val="nil"/>
              <w:left w:val="nil"/>
              <w:bottom w:val="nil"/>
              <w:right w:val="nil"/>
            </w:tcBorders>
            <w:noWrap/>
            <w:vAlign w:val="center"/>
            <w:hideMark/>
          </w:tcPr>
          <w:p w14:paraId="37A6946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nil"/>
              <w:right w:val="nil"/>
            </w:tcBorders>
            <w:noWrap/>
            <w:vAlign w:val="center"/>
            <w:hideMark/>
          </w:tcPr>
          <w:p w14:paraId="0C993F0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6E143ED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19BCBB7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8719987"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391BB83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7761C3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09258A2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0032C7A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722FDD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470A0E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FD8D16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BE6F57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66409B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6D4598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B7BCA3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70A6E7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63C78B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8EFC1C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0E992B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BAF0CE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58F45F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47B460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83B6B9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A9A636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FE45C6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6BAC50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7C7CA3DC" w14:textId="77777777" w:rsidTr="00851E52">
        <w:trPr>
          <w:trHeight w:val="879"/>
        </w:trPr>
        <w:tc>
          <w:tcPr>
            <w:tcW w:w="1340" w:type="dxa"/>
            <w:tcBorders>
              <w:top w:val="nil"/>
              <w:left w:val="nil"/>
              <w:bottom w:val="nil"/>
              <w:right w:val="nil"/>
            </w:tcBorders>
            <w:vAlign w:val="center"/>
            <w:hideMark/>
          </w:tcPr>
          <w:p w14:paraId="0E5798F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Prigatano et al.</w:t>
            </w:r>
            <w:r>
              <w:rPr>
                <w:rFonts w:ascii="Aptos Narrow" w:eastAsia="Times New Roman" w:hAnsi="Aptos Narrow" w:cs="Times New Roman"/>
                <w:color w:val="000000"/>
                <w:kern w:val="0"/>
                <w:sz w:val="20"/>
                <w:szCs w:val="20"/>
                <w14:ligatures w14:val="none"/>
              </w:rPr>
              <w:br/>
              <w:t>(2022) [74]</w:t>
            </w:r>
          </w:p>
        </w:tc>
        <w:tc>
          <w:tcPr>
            <w:tcW w:w="1574" w:type="dxa"/>
            <w:tcBorders>
              <w:top w:val="nil"/>
              <w:left w:val="nil"/>
              <w:bottom w:val="nil"/>
              <w:right w:val="nil"/>
            </w:tcBorders>
            <w:vAlign w:val="center"/>
            <w:hideMark/>
          </w:tcPr>
          <w:p w14:paraId="5193590D"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Case report (Qualitative)</w:t>
            </w:r>
          </w:p>
        </w:tc>
        <w:tc>
          <w:tcPr>
            <w:tcW w:w="523" w:type="dxa"/>
            <w:tcBorders>
              <w:top w:val="nil"/>
              <w:left w:val="nil"/>
              <w:bottom w:val="nil"/>
              <w:right w:val="nil"/>
            </w:tcBorders>
            <w:noWrap/>
            <w:vAlign w:val="center"/>
            <w:hideMark/>
          </w:tcPr>
          <w:p w14:paraId="1CCC191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nil"/>
              <w:right w:val="nil"/>
            </w:tcBorders>
            <w:noWrap/>
            <w:vAlign w:val="center"/>
            <w:hideMark/>
          </w:tcPr>
          <w:p w14:paraId="5CEB919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543D794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5562FC8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17D949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9B93EE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2AE7DD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B1F09E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0CBF0D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AE2F66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01434F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2400C1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E1CC8F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1558CF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A0D70D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0ADC54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576722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C0582C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A76FE6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2095E3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C70972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662D8C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9242E6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C15F26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10114F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18EF0F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3BF49B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13B9701E" w14:textId="77777777" w:rsidTr="00851E52">
        <w:trPr>
          <w:trHeight w:val="1104"/>
        </w:trPr>
        <w:tc>
          <w:tcPr>
            <w:tcW w:w="1340" w:type="dxa"/>
            <w:tcBorders>
              <w:top w:val="nil"/>
              <w:left w:val="nil"/>
              <w:bottom w:val="nil"/>
              <w:right w:val="nil"/>
            </w:tcBorders>
            <w:vAlign w:val="center"/>
            <w:hideMark/>
          </w:tcPr>
          <w:p w14:paraId="54A724B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lastRenderedPageBreak/>
              <w:t>Rabkin et al.</w:t>
            </w:r>
            <w:r>
              <w:rPr>
                <w:rFonts w:ascii="Aptos Narrow" w:eastAsia="Times New Roman" w:hAnsi="Aptos Narrow" w:cs="Times New Roman"/>
                <w:color w:val="000000"/>
                <w:kern w:val="0"/>
                <w:sz w:val="20"/>
                <w:szCs w:val="20"/>
                <w14:ligatures w14:val="none"/>
              </w:rPr>
              <w:br/>
              <w:t>(2006) [75]</w:t>
            </w:r>
          </w:p>
        </w:tc>
        <w:tc>
          <w:tcPr>
            <w:tcW w:w="1574" w:type="dxa"/>
            <w:tcBorders>
              <w:top w:val="nil"/>
              <w:left w:val="nil"/>
              <w:bottom w:val="nil"/>
              <w:right w:val="nil"/>
            </w:tcBorders>
            <w:vAlign w:val="center"/>
            <w:hideMark/>
          </w:tcPr>
          <w:p w14:paraId="2B382246"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Cohort study (quantitative non-randomised)</w:t>
            </w:r>
          </w:p>
        </w:tc>
        <w:tc>
          <w:tcPr>
            <w:tcW w:w="523" w:type="dxa"/>
            <w:tcBorders>
              <w:top w:val="nil"/>
              <w:left w:val="nil"/>
              <w:bottom w:val="nil"/>
              <w:right w:val="nil"/>
            </w:tcBorders>
            <w:noWrap/>
            <w:vAlign w:val="center"/>
            <w:hideMark/>
          </w:tcPr>
          <w:p w14:paraId="2387AE3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nil"/>
              <w:right w:val="nil"/>
            </w:tcBorders>
            <w:noWrap/>
            <w:vAlign w:val="center"/>
            <w:hideMark/>
          </w:tcPr>
          <w:p w14:paraId="27329B0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5B72B78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5AF7C1A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DCC4CE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1AF06B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2A1A1B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DC6311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756150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C706C1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FEF154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20F3E3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DD2E1D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1E2F5D8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1A2415A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55E988D"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490F5BF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6D4837F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06972C9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097338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3A0166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F89854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9C9DBD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004918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A50365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240C3C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9A46B6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5BBD80FC" w14:textId="77777777" w:rsidTr="00851E52">
        <w:trPr>
          <w:trHeight w:val="1104"/>
        </w:trPr>
        <w:tc>
          <w:tcPr>
            <w:tcW w:w="1340" w:type="dxa"/>
            <w:tcBorders>
              <w:top w:val="nil"/>
              <w:left w:val="nil"/>
              <w:bottom w:val="nil"/>
              <w:right w:val="nil"/>
            </w:tcBorders>
            <w:vAlign w:val="center"/>
            <w:hideMark/>
          </w:tcPr>
          <w:p w14:paraId="4C0EE1A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Runacres et al.</w:t>
            </w:r>
            <w:r>
              <w:rPr>
                <w:rFonts w:ascii="Aptos Narrow" w:eastAsia="Times New Roman" w:hAnsi="Aptos Narrow" w:cs="Times New Roman"/>
                <w:color w:val="000000"/>
                <w:kern w:val="0"/>
                <w:sz w:val="20"/>
                <w:szCs w:val="20"/>
                <w14:ligatures w14:val="none"/>
              </w:rPr>
              <w:br/>
              <w:t>(2023) [76]</w:t>
            </w:r>
          </w:p>
        </w:tc>
        <w:tc>
          <w:tcPr>
            <w:tcW w:w="1574" w:type="dxa"/>
            <w:tcBorders>
              <w:top w:val="nil"/>
              <w:left w:val="nil"/>
              <w:bottom w:val="nil"/>
              <w:right w:val="nil"/>
            </w:tcBorders>
            <w:vAlign w:val="center"/>
            <w:hideMark/>
          </w:tcPr>
          <w:p w14:paraId="71F28FD6"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Cross sectional study (quantitative descriptive)</w:t>
            </w:r>
          </w:p>
        </w:tc>
        <w:tc>
          <w:tcPr>
            <w:tcW w:w="523" w:type="dxa"/>
            <w:tcBorders>
              <w:top w:val="nil"/>
              <w:left w:val="nil"/>
              <w:bottom w:val="nil"/>
              <w:right w:val="nil"/>
            </w:tcBorders>
            <w:noWrap/>
            <w:vAlign w:val="center"/>
            <w:hideMark/>
          </w:tcPr>
          <w:p w14:paraId="0185075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nil"/>
              <w:right w:val="nil"/>
            </w:tcBorders>
            <w:noWrap/>
            <w:vAlign w:val="center"/>
            <w:hideMark/>
          </w:tcPr>
          <w:p w14:paraId="6777858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6F4A3541"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0CE9E02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349BEA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F237E6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FB62E8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B240FD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17F9AC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7623DB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EE6FC8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E73DAA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D99323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3928E65D"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11A4AF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18BA9CA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4A18920D"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2BA7DF5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622F74D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51A2B92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6AA5942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nil"/>
              <w:right w:val="nil"/>
            </w:tcBorders>
            <w:noWrap/>
            <w:vAlign w:val="center"/>
            <w:hideMark/>
          </w:tcPr>
          <w:p w14:paraId="6D30D86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05EBEC6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46D7CE7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0181F1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86DA53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1685CD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14A150B6" w14:textId="77777777" w:rsidTr="00851E52">
        <w:trPr>
          <w:trHeight w:val="552"/>
        </w:trPr>
        <w:tc>
          <w:tcPr>
            <w:tcW w:w="1340" w:type="dxa"/>
            <w:tcBorders>
              <w:top w:val="nil"/>
              <w:left w:val="nil"/>
              <w:bottom w:val="nil"/>
              <w:right w:val="nil"/>
            </w:tcBorders>
            <w:vAlign w:val="center"/>
            <w:hideMark/>
          </w:tcPr>
          <w:p w14:paraId="100A3331"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Veronese et al.</w:t>
            </w:r>
            <w:r>
              <w:rPr>
                <w:rFonts w:ascii="Aptos Narrow" w:eastAsia="Times New Roman" w:hAnsi="Aptos Narrow" w:cs="Times New Roman"/>
                <w:color w:val="000000"/>
                <w:kern w:val="0"/>
                <w:sz w:val="20"/>
                <w:szCs w:val="20"/>
                <w14:ligatures w14:val="none"/>
              </w:rPr>
              <w:br/>
              <w:t>(2015) [78]</w:t>
            </w:r>
          </w:p>
        </w:tc>
        <w:tc>
          <w:tcPr>
            <w:tcW w:w="1574" w:type="dxa"/>
            <w:tcBorders>
              <w:top w:val="nil"/>
              <w:left w:val="nil"/>
              <w:bottom w:val="nil"/>
              <w:right w:val="nil"/>
            </w:tcBorders>
            <w:vAlign w:val="center"/>
            <w:hideMark/>
          </w:tcPr>
          <w:p w14:paraId="725AAB0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Qualitative study</w:t>
            </w:r>
          </w:p>
        </w:tc>
        <w:tc>
          <w:tcPr>
            <w:tcW w:w="523" w:type="dxa"/>
            <w:tcBorders>
              <w:top w:val="nil"/>
              <w:left w:val="nil"/>
              <w:bottom w:val="nil"/>
              <w:right w:val="nil"/>
            </w:tcBorders>
            <w:noWrap/>
            <w:vAlign w:val="center"/>
            <w:hideMark/>
          </w:tcPr>
          <w:p w14:paraId="1B5F14C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nil"/>
              <w:right w:val="nil"/>
            </w:tcBorders>
            <w:noWrap/>
            <w:vAlign w:val="center"/>
            <w:hideMark/>
          </w:tcPr>
          <w:p w14:paraId="29AD518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91DF1E6"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0CD5EB6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05B5C3F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292A9406"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617D68B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23283491"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5875559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861ADE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658DF7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A81B7B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D70C48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A2FACCF"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205452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F3B061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664A1A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D9A6E9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891786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FC5410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D5C0D6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F79C3F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D5F950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6E4ED2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76AF98A"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DF3ED16"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1DB498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2619F265" w14:textId="77777777" w:rsidTr="00851E52">
        <w:trPr>
          <w:trHeight w:val="1104"/>
        </w:trPr>
        <w:tc>
          <w:tcPr>
            <w:tcW w:w="1340" w:type="dxa"/>
            <w:tcBorders>
              <w:top w:val="nil"/>
              <w:left w:val="nil"/>
              <w:bottom w:val="nil"/>
              <w:right w:val="nil"/>
            </w:tcBorders>
            <w:vAlign w:val="center"/>
            <w:hideMark/>
          </w:tcPr>
          <w:p w14:paraId="0BA2093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Veronese et al.</w:t>
            </w:r>
            <w:r>
              <w:rPr>
                <w:rFonts w:ascii="Aptos Narrow" w:eastAsia="Times New Roman" w:hAnsi="Aptos Narrow" w:cs="Times New Roman"/>
                <w:color w:val="000000"/>
                <w:kern w:val="0"/>
                <w:sz w:val="20"/>
                <w:szCs w:val="20"/>
                <w14:ligatures w14:val="none"/>
              </w:rPr>
              <w:br/>
              <w:t>(2017) [77]</w:t>
            </w:r>
          </w:p>
        </w:tc>
        <w:tc>
          <w:tcPr>
            <w:tcW w:w="1574" w:type="dxa"/>
            <w:tcBorders>
              <w:top w:val="nil"/>
              <w:left w:val="nil"/>
              <w:bottom w:val="nil"/>
              <w:right w:val="nil"/>
            </w:tcBorders>
            <w:vAlign w:val="center"/>
            <w:hideMark/>
          </w:tcPr>
          <w:p w14:paraId="62487E8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Pilot randomised controlled study</w:t>
            </w:r>
          </w:p>
        </w:tc>
        <w:tc>
          <w:tcPr>
            <w:tcW w:w="523" w:type="dxa"/>
            <w:tcBorders>
              <w:top w:val="nil"/>
              <w:left w:val="nil"/>
              <w:bottom w:val="nil"/>
              <w:right w:val="nil"/>
            </w:tcBorders>
            <w:noWrap/>
            <w:vAlign w:val="center"/>
            <w:hideMark/>
          </w:tcPr>
          <w:p w14:paraId="122B3BC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nil"/>
              <w:right w:val="nil"/>
            </w:tcBorders>
            <w:noWrap/>
            <w:vAlign w:val="center"/>
            <w:hideMark/>
          </w:tcPr>
          <w:p w14:paraId="1FA09A8F"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6F5616F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54BB2831"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B01B76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BE55E20"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958F9E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57895C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N</w:t>
            </w:r>
          </w:p>
        </w:tc>
        <w:tc>
          <w:tcPr>
            <w:tcW w:w="473" w:type="dxa"/>
            <w:tcBorders>
              <w:top w:val="nil"/>
              <w:left w:val="nil"/>
              <w:bottom w:val="nil"/>
              <w:right w:val="nil"/>
            </w:tcBorders>
            <w:noWrap/>
            <w:vAlign w:val="center"/>
            <w:hideMark/>
          </w:tcPr>
          <w:p w14:paraId="0E177C6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360BD48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7EE534D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N</w:t>
            </w:r>
          </w:p>
        </w:tc>
        <w:tc>
          <w:tcPr>
            <w:tcW w:w="473" w:type="dxa"/>
            <w:tcBorders>
              <w:top w:val="nil"/>
              <w:left w:val="nil"/>
              <w:bottom w:val="nil"/>
              <w:right w:val="nil"/>
            </w:tcBorders>
            <w:noWrap/>
            <w:vAlign w:val="center"/>
            <w:hideMark/>
          </w:tcPr>
          <w:p w14:paraId="3A28978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424A399D"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3491038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A40C3B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1A1C289"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5B0E74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EA62D2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81FAD4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248454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9969A9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1B699D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5385293"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CC4B53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16889FE"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0282CA0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E8CAEC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03C11062" w14:textId="77777777" w:rsidTr="00851E52">
        <w:trPr>
          <w:trHeight w:val="552"/>
        </w:trPr>
        <w:tc>
          <w:tcPr>
            <w:tcW w:w="1340" w:type="dxa"/>
            <w:tcBorders>
              <w:top w:val="nil"/>
              <w:left w:val="nil"/>
              <w:bottom w:val="nil"/>
              <w:right w:val="nil"/>
            </w:tcBorders>
            <w:vAlign w:val="center"/>
            <w:hideMark/>
          </w:tcPr>
          <w:p w14:paraId="4C74DF0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Walker et al.</w:t>
            </w:r>
            <w:r>
              <w:rPr>
                <w:rFonts w:ascii="Aptos Narrow" w:eastAsia="Times New Roman" w:hAnsi="Aptos Narrow" w:cs="Times New Roman"/>
                <w:color w:val="000000"/>
                <w:kern w:val="0"/>
                <w:sz w:val="20"/>
                <w:szCs w:val="20"/>
                <w14:ligatures w14:val="none"/>
              </w:rPr>
              <w:br/>
              <w:t>(2025) [79]</w:t>
            </w:r>
          </w:p>
        </w:tc>
        <w:tc>
          <w:tcPr>
            <w:tcW w:w="1574" w:type="dxa"/>
            <w:tcBorders>
              <w:top w:val="nil"/>
              <w:left w:val="nil"/>
              <w:bottom w:val="nil"/>
              <w:right w:val="nil"/>
            </w:tcBorders>
            <w:vAlign w:val="center"/>
            <w:hideMark/>
          </w:tcPr>
          <w:p w14:paraId="3A9D4E0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Qualitative study</w:t>
            </w:r>
          </w:p>
        </w:tc>
        <w:tc>
          <w:tcPr>
            <w:tcW w:w="523" w:type="dxa"/>
            <w:tcBorders>
              <w:top w:val="nil"/>
              <w:left w:val="nil"/>
              <w:bottom w:val="nil"/>
              <w:right w:val="nil"/>
            </w:tcBorders>
            <w:noWrap/>
            <w:vAlign w:val="center"/>
            <w:hideMark/>
          </w:tcPr>
          <w:p w14:paraId="3FC69897"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nil"/>
              <w:right w:val="nil"/>
            </w:tcBorders>
            <w:noWrap/>
            <w:vAlign w:val="center"/>
            <w:hideMark/>
          </w:tcPr>
          <w:p w14:paraId="40D8A7F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52B11AD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6F5F1E4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2F18FC1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6C8B825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3F139C0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nil"/>
              <w:right w:val="nil"/>
            </w:tcBorders>
            <w:noWrap/>
            <w:vAlign w:val="center"/>
            <w:hideMark/>
          </w:tcPr>
          <w:p w14:paraId="6E562F6E"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c>
          <w:tcPr>
            <w:tcW w:w="473" w:type="dxa"/>
            <w:tcBorders>
              <w:top w:val="nil"/>
              <w:left w:val="nil"/>
              <w:bottom w:val="nil"/>
              <w:right w:val="nil"/>
            </w:tcBorders>
            <w:noWrap/>
            <w:vAlign w:val="center"/>
            <w:hideMark/>
          </w:tcPr>
          <w:p w14:paraId="7B667C3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5B7D0C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7D2105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0C947C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4D347ED"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87B369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9E9796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6CE3094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5CE7F71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9FEB812"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4BE86367"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D3A509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31329975"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D35E6D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7E65918"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7AF4B92B"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970A37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113B644C"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c>
          <w:tcPr>
            <w:tcW w:w="473" w:type="dxa"/>
            <w:tcBorders>
              <w:top w:val="nil"/>
              <w:left w:val="nil"/>
              <w:bottom w:val="nil"/>
              <w:right w:val="nil"/>
            </w:tcBorders>
            <w:noWrap/>
            <w:vAlign w:val="center"/>
            <w:hideMark/>
          </w:tcPr>
          <w:p w14:paraId="2E837234" w14:textId="77777777" w:rsidR="007121FC" w:rsidRPr="00F6387B" w:rsidRDefault="007121FC" w:rsidP="00851E52">
            <w:pPr>
              <w:spacing w:after="0" w:line="240" w:lineRule="auto"/>
              <w:jc w:val="center"/>
              <w:rPr>
                <w:rFonts w:ascii="Times New Roman" w:eastAsia="Times New Roman" w:hAnsi="Times New Roman" w:cs="Times New Roman"/>
                <w:kern w:val="0"/>
                <w:sz w:val="20"/>
                <w:szCs w:val="20"/>
                <w14:ligatures w14:val="none"/>
              </w:rPr>
            </w:pPr>
          </w:p>
        </w:tc>
      </w:tr>
      <w:tr w:rsidR="007121FC" w:rsidRPr="00F6387B" w14:paraId="07D8D95F" w14:textId="77777777" w:rsidTr="00851E52">
        <w:trPr>
          <w:trHeight w:val="828"/>
        </w:trPr>
        <w:tc>
          <w:tcPr>
            <w:tcW w:w="1340" w:type="dxa"/>
            <w:tcBorders>
              <w:top w:val="nil"/>
              <w:left w:val="nil"/>
              <w:bottom w:val="single" w:sz="4" w:space="0" w:color="auto"/>
              <w:right w:val="nil"/>
            </w:tcBorders>
            <w:vAlign w:val="center"/>
            <w:hideMark/>
          </w:tcPr>
          <w:p w14:paraId="209E2AC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Wilson et al.</w:t>
            </w:r>
            <w:r>
              <w:rPr>
                <w:rFonts w:ascii="Aptos Narrow" w:eastAsia="Times New Roman" w:hAnsi="Aptos Narrow" w:cs="Times New Roman"/>
                <w:color w:val="000000"/>
                <w:kern w:val="0"/>
                <w:sz w:val="20"/>
                <w:szCs w:val="20"/>
                <w14:ligatures w14:val="none"/>
              </w:rPr>
              <w:br/>
              <w:t>(2003) [80]</w:t>
            </w:r>
          </w:p>
        </w:tc>
        <w:tc>
          <w:tcPr>
            <w:tcW w:w="1574" w:type="dxa"/>
            <w:tcBorders>
              <w:top w:val="nil"/>
              <w:left w:val="nil"/>
              <w:bottom w:val="single" w:sz="4" w:space="0" w:color="auto"/>
              <w:right w:val="nil"/>
            </w:tcBorders>
            <w:vAlign w:val="center"/>
            <w:hideMark/>
          </w:tcPr>
          <w:p w14:paraId="6EDB464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Single case study (Qualitative)</w:t>
            </w:r>
          </w:p>
        </w:tc>
        <w:tc>
          <w:tcPr>
            <w:tcW w:w="523" w:type="dxa"/>
            <w:tcBorders>
              <w:top w:val="nil"/>
              <w:left w:val="nil"/>
              <w:bottom w:val="single" w:sz="4" w:space="0" w:color="auto"/>
              <w:right w:val="nil"/>
            </w:tcBorders>
            <w:noWrap/>
            <w:vAlign w:val="center"/>
            <w:hideMark/>
          </w:tcPr>
          <w:p w14:paraId="6D2481B6"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523" w:type="dxa"/>
            <w:tcBorders>
              <w:top w:val="nil"/>
              <w:left w:val="nil"/>
              <w:bottom w:val="single" w:sz="4" w:space="0" w:color="auto"/>
              <w:right w:val="nil"/>
            </w:tcBorders>
            <w:noWrap/>
            <w:vAlign w:val="center"/>
            <w:hideMark/>
          </w:tcPr>
          <w:p w14:paraId="2C9114A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single" w:sz="4" w:space="0" w:color="auto"/>
              <w:right w:val="nil"/>
            </w:tcBorders>
            <w:noWrap/>
            <w:vAlign w:val="center"/>
            <w:hideMark/>
          </w:tcPr>
          <w:p w14:paraId="54D16BE2"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single" w:sz="4" w:space="0" w:color="auto"/>
              <w:right w:val="nil"/>
            </w:tcBorders>
            <w:noWrap/>
            <w:vAlign w:val="center"/>
            <w:hideMark/>
          </w:tcPr>
          <w:p w14:paraId="01249F9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single" w:sz="4" w:space="0" w:color="auto"/>
              <w:right w:val="nil"/>
            </w:tcBorders>
            <w:noWrap/>
            <w:vAlign w:val="center"/>
            <w:hideMark/>
          </w:tcPr>
          <w:p w14:paraId="7509FE5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single" w:sz="4" w:space="0" w:color="auto"/>
              <w:right w:val="nil"/>
            </w:tcBorders>
            <w:noWrap/>
            <w:vAlign w:val="center"/>
            <w:hideMark/>
          </w:tcPr>
          <w:p w14:paraId="1B6F8E87"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Y</w:t>
            </w:r>
          </w:p>
        </w:tc>
        <w:tc>
          <w:tcPr>
            <w:tcW w:w="473" w:type="dxa"/>
            <w:tcBorders>
              <w:top w:val="nil"/>
              <w:left w:val="nil"/>
              <w:bottom w:val="single" w:sz="4" w:space="0" w:color="auto"/>
              <w:right w:val="nil"/>
            </w:tcBorders>
            <w:noWrap/>
            <w:vAlign w:val="center"/>
            <w:hideMark/>
          </w:tcPr>
          <w:p w14:paraId="21BB892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C</w:t>
            </w:r>
          </w:p>
        </w:tc>
        <w:tc>
          <w:tcPr>
            <w:tcW w:w="473" w:type="dxa"/>
            <w:tcBorders>
              <w:top w:val="nil"/>
              <w:left w:val="nil"/>
              <w:bottom w:val="single" w:sz="4" w:space="0" w:color="auto"/>
              <w:right w:val="nil"/>
            </w:tcBorders>
            <w:noWrap/>
            <w:vAlign w:val="center"/>
            <w:hideMark/>
          </w:tcPr>
          <w:p w14:paraId="3289EBF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 </w:t>
            </w:r>
          </w:p>
        </w:tc>
        <w:tc>
          <w:tcPr>
            <w:tcW w:w="473" w:type="dxa"/>
            <w:tcBorders>
              <w:top w:val="nil"/>
              <w:left w:val="nil"/>
              <w:bottom w:val="single" w:sz="4" w:space="0" w:color="auto"/>
              <w:right w:val="nil"/>
            </w:tcBorders>
            <w:noWrap/>
            <w:vAlign w:val="center"/>
            <w:hideMark/>
          </w:tcPr>
          <w:p w14:paraId="702E6F8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 </w:t>
            </w:r>
          </w:p>
        </w:tc>
        <w:tc>
          <w:tcPr>
            <w:tcW w:w="473" w:type="dxa"/>
            <w:tcBorders>
              <w:top w:val="nil"/>
              <w:left w:val="nil"/>
              <w:bottom w:val="single" w:sz="4" w:space="0" w:color="auto"/>
              <w:right w:val="nil"/>
            </w:tcBorders>
            <w:noWrap/>
            <w:vAlign w:val="center"/>
            <w:hideMark/>
          </w:tcPr>
          <w:p w14:paraId="407926C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 </w:t>
            </w:r>
          </w:p>
        </w:tc>
        <w:tc>
          <w:tcPr>
            <w:tcW w:w="473" w:type="dxa"/>
            <w:tcBorders>
              <w:top w:val="nil"/>
              <w:left w:val="nil"/>
              <w:bottom w:val="single" w:sz="4" w:space="0" w:color="auto"/>
              <w:right w:val="nil"/>
            </w:tcBorders>
            <w:noWrap/>
            <w:vAlign w:val="center"/>
            <w:hideMark/>
          </w:tcPr>
          <w:p w14:paraId="02D12B5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 </w:t>
            </w:r>
          </w:p>
        </w:tc>
        <w:tc>
          <w:tcPr>
            <w:tcW w:w="473" w:type="dxa"/>
            <w:tcBorders>
              <w:top w:val="nil"/>
              <w:left w:val="nil"/>
              <w:bottom w:val="single" w:sz="4" w:space="0" w:color="auto"/>
              <w:right w:val="nil"/>
            </w:tcBorders>
            <w:noWrap/>
            <w:vAlign w:val="center"/>
            <w:hideMark/>
          </w:tcPr>
          <w:p w14:paraId="2D77441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 </w:t>
            </w:r>
          </w:p>
        </w:tc>
        <w:tc>
          <w:tcPr>
            <w:tcW w:w="473" w:type="dxa"/>
            <w:tcBorders>
              <w:top w:val="nil"/>
              <w:left w:val="nil"/>
              <w:bottom w:val="single" w:sz="4" w:space="0" w:color="auto"/>
              <w:right w:val="nil"/>
            </w:tcBorders>
            <w:noWrap/>
            <w:vAlign w:val="center"/>
            <w:hideMark/>
          </w:tcPr>
          <w:p w14:paraId="537B669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 </w:t>
            </w:r>
          </w:p>
        </w:tc>
        <w:tc>
          <w:tcPr>
            <w:tcW w:w="473" w:type="dxa"/>
            <w:tcBorders>
              <w:top w:val="nil"/>
              <w:left w:val="nil"/>
              <w:bottom w:val="single" w:sz="4" w:space="0" w:color="auto"/>
              <w:right w:val="nil"/>
            </w:tcBorders>
            <w:noWrap/>
            <w:vAlign w:val="center"/>
            <w:hideMark/>
          </w:tcPr>
          <w:p w14:paraId="401BAFF5"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 </w:t>
            </w:r>
          </w:p>
        </w:tc>
        <w:tc>
          <w:tcPr>
            <w:tcW w:w="473" w:type="dxa"/>
            <w:tcBorders>
              <w:top w:val="nil"/>
              <w:left w:val="nil"/>
              <w:bottom w:val="single" w:sz="4" w:space="0" w:color="auto"/>
              <w:right w:val="nil"/>
            </w:tcBorders>
            <w:noWrap/>
            <w:vAlign w:val="center"/>
            <w:hideMark/>
          </w:tcPr>
          <w:p w14:paraId="013A229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 </w:t>
            </w:r>
          </w:p>
        </w:tc>
        <w:tc>
          <w:tcPr>
            <w:tcW w:w="473" w:type="dxa"/>
            <w:tcBorders>
              <w:top w:val="nil"/>
              <w:left w:val="nil"/>
              <w:bottom w:val="single" w:sz="4" w:space="0" w:color="auto"/>
              <w:right w:val="nil"/>
            </w:tcBorders>
            <w:noWrap/>
            <w:vAlign w:val="center"/>
            <w:hideMark/>
          </w:tcPr>
          <w:p w14:paraId="2E4D0957"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 </w:t>
            </w:r>
          </w:p>
        </w:tc>
        <w:tc>
          <w:tcPr>
            <w:tcW w:w="473" w:type="dxa"/>
            <w:tcBorders>
              <w:top w:val="nil"/>
              <w:left w:val="nil"/>
              <w:bottom w:val="single" w:sz="4" w:space="0" w:color="auto"/>
              <w:right w:val="nil"/>
            </w:tcBorders>
            <w:noWrap/>
            <w:vAlign w:val="center"/>
            <w:hideMark/>
          </w:tcPr>
          <w:p w14:paraId="5C6C215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 </w:t>
            </w:r>
          </w:p>
        </w:tc>
        <w:tc>
          <w:tcPr>
            <w:tcW w:w="473" w:type="dxa"/>
            <w:tcBorders>
              <w:top w:val="nil"/>
              <w:left w:val="nil"/>
              <w:bottom w:val="single" w:sz="4" w:space="0" w:color="auto"/>
              <w:right w:val="nil"/>
            </w:tcBorders>
            <w:noWrap/>
            <w:vAlign w:val="center"/>
            <w:hideMark/>
          </w:tcPr>
          <w:p w14:paraId="3B4766E0"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 </w:t>
            </w:r>
          </w:p>
        </w:tc>
        <w:tc>
          <w:tcPr>
            <w:tcW w:w="473" w:type="dxa"/>
            <w:tcBorders>
              <w:top w:val="nil"/>
              <w:left w:val="nil"/>
              <w:bottom w:val="single" w:sz="4" w:space="0" w:color="auto"/>
              <w:right w:val="nil"/>
            </w:tcBorders>
            <w:noWrap/>
            <w:vAlign w:val="center"/>
            <w:hideMark/>
          </w:tcPr>
          <w:p w14:paraId="3D4268F4"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 </w:t>
            </w:r>
          </w:p>
        </w:tc>
        <w:tc>
          <w:tcPr>
            <w:tcW w:w="473" w:type="dxa"/>
            <w:tcBorders>
              <w:top w:val="nil"/>
              <w:left w:val="nil"/>
              <w:bottom w:val="single" w:sz="4" w:space="0" w:color="auto"/>
              <w:right w:val="nil"/>
            </w:tcBorders>
            <w:noWrap/>
            <w:vAlign w:val="center"/>
            <w:hideMark/>
          </w:tcPr>
          <w:p w14:paraId="37C140B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 </w:t>
            </w:r>
          </w:p>
        </w:tc>
        <w:tc>
          <w:tcPr>
            <w:tcW w:w="473" w:type="dxa"/>
            <w:tcBorders>
              <w:top w:val="nil"/>
              <w:left w:val="nil"/>
              <w:bottom w:val="single" w:sz="4" w:space="0" w:color="auto"/>
              <w:right w:val="nil"/>
            </w:tcBorders>
            <w:noWrap/>
            <w:vAlign w:val="center"/>
            <w:hideMark/>
          </w:tcPr>
          <w:p w14:paraId="0BDC91C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 </w:t>
            </w:r>
          </w:p>
        </w:tc>
        <w:tc>
          <w:tcPr>
            <w:tcW w:w="473" w:type="dxa"/>
            <w:tcBorders>
              <w:top w:val="nil"/>
              <w:left w:val="nil"/>
              <w:bottom w:val="single" w:sz="4" w:space="0" w:color="auto"/>
              <w:right w:val="nil"/>
            </w:tcBorders>
            <w:noWrap/>
            <w:vAlign w:val="center"/>
            <w:hideMark/>
          </w:tcPr>
          <w:p w14:paraId="27D195AD"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 </w:t>
            </w:r>
          </w:p>
        </w:tc>
        <w:tc>
          <w:tcPr>
            <w:tcW w:w="473" w:type="dxa"/>
            <w:tcBorders>
              <w:top w:val="nil"/>
              <w:left w:val="nil"/>
              <w:bottom w:val="single" w:sz="4" w:space="0" w:color="auto"/>
              <w:right w:val="nil"/>
            </w:tcBorders>
            <w:noWrap/>
            <w:vAlign w:val="center"/>
            <w:hideMark/>
          </w:tcPr>
          <w:p w14:paraId="2E67D68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 </w:t>
            </w:r>
          </w:p>
        </w:tc>
        <w:tc>
          <w:tcPr>
            <w:tcW w:w="473" w:type="dxa"/>
            <w:tcBorders>
              <w:top w:val="nil"/>
              <w:left w:val="nil"/>
              <w:bottom w:val="single" w:sz="4" w:space="0" w:color="auto"/>
              <w:right w:val="nil"/>
            </w:tcBorders>
            <w:noWrap/>
            <w:vAlign w:val="center"/>
            <w:hideMark/>
          </w:tcPr>
          <w:p w14:paraId="609DDA39"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 </w:t>
            </w:r>
          </w:p>
        </w:tc>
        <w:tc>
          <w:tcPr>
            <w:tcW w:w="473" w:type="dxa"/>
            <w:tcBorders>
              <w:top w:val="nil"/>
              <w:left w:val="nil"/>
              <w:bottom w:val="single" w:sz="4" w:space="0" w:color="auto"/>
              <w:right w:val="nil"/>
            </w:tcBorders>
            <w:noWrap/>
            <w:vAlign w:val="center"/>
            <w:hideMark/>
          </w:tcPr>
          <w:p w14:paraId="22C9AD1A"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 </w:t>
            </w:r>
          </w:p>
        </w:tc>
        <w:tc>
          <w:tcPr>
            <w:tcW w:w="473" w:type="dxa"/>
            <w:tcBorders>
              <w:top w:val="nil"/>
              <w:left w:val="nil"/>
              <w:bottom w:val="single" w:sz="4" w:space="0" w:color="auto"/>
              <w:right w:val="nil"/>
            </w:tcBorders>
            <w:noWrap/>
            <w:vAlign w:val="center"/>
            <w:hideMark/>
          </w:tcPr>
          <w:p w14:paraId="2E02839B"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 </w:t>
            </w:r>
          </w:p>
        </w:tc>
        <w:tc>
          <w:tcPr>
            <w:tcW w:w="473" w:type="dxa"/>
            <w:tcBorders>
              <w:top w:val="nil"/>
              <w:left w:val="nil"/>
              <w:bottom w:val="single" w:sz="4" w:space="0" w:color="auto"/>
              <w:right w:val="nil"/>
            </w:tcBorders>
            <w:noWrap/>
            <w:vAlign w:val="center"/>
            <w:hideMark/>
          </w:tcPr>
          <w:p w14:paraId="317F9DE3"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r w:rsidRPr="00F6387B">
              <w:rPr>
                <w:rFonts w:ascii="Aptos Narrow" w:eastAsia="Times New Roman" w:hAnsi="Aptos Narrow" w:cs="Times New Roman"/>
                <w:color w:val="000000"/>
                <w:kern w:val="0"/>
                <w:sz w:val="20"/>
                <w:szCs w:val="20"/>
                <w14:ligatures w14:val="none"/>
              </w:rPr>
              <w:t> </w:t>
            </w:r>
          </w:p>
        </w:tc>
      </w:tr>
      <w:tr w:rsidR="007121FC" w:rsidRPr="00F6387B" w14:paraId="5D5D0CBE" w14:textId="77777777" w:rsidTr="00851E52">
        <w:trPr>
          <w:trHeight w:val="828"/>
        </w:trPr>
        <w:tc>
          <w:tcPr>
            <w:tcW w:w="15785" w:type="dxa"/>
            <w:gridSpan w:val="29"/>
            <w:tcBorders>
              <w:top w:val="single" w:sz="4" w:space="0" w:color="auto"/>
              <w:left w:val="nil"/>
              <w:bottom w:val="nil"/>
              <w:right w:val="nil"/>
            </w:tcBorders>
            <w:vAlign w:val="center"/>
          </w:tcPr>
          <w:p w14:paraId="2517C510" w14:textId="77777777" w:rsidR="007121FC" w:rsidRPr="000C1E5C" w:rsidRDefault="007121FC" w:rsidP="00851E52">
            <w:pPr>
              <w:spacing w:before="60" w:after="0"/>
              <w:rPr>
                <w:iCs/>
              </w:rPr>
            </w:pPr>
            <w:r w:rsidRPr="000C1E5C">
              <w:rPr>
                <w:rFonts w:ascii="Aptos Narrow" w:hAnsi="Aptos Narrow"/>
                <w:iCs/>
                <w:sz w:val="16"/>
              </w:rPr>
              <w:t>Note: Y = yes; C = cannot tell; N = no.</w:t>
            </w:r>
          </w:p>
          <w:p w14:paraId="1BEFCF75" w14:textId="77777777" w:rsidR="007121FC" w:rsidRPr="00993B7B" w:rsidRDefault="007121FC" w:rsidP="00851E52"/>
          <w:p w14:paraId="59F66A68" w14:textId="77777777" w:rsidR="007121FC" w:rsidRPr="00F6387B" w:rsidRDefault="007121FC" w:rsidP="00851E52">
            <w:pPr>
              <w:spacing w:after="0" w:line="240" w:lineRule="auto"/>
              <w:jc w:val="center"/>
              <w:rPr>
                <w:rFonts w:ascii="Aptos Narrow" w:eastAsia="Times New Roman" w:hAnsi="Aptos Narrow" w:cs="Times New Roman"/>
                <w:color w:val="000000"/>
                <w:kern w:val="0"/>
                <w:sz w:val="20"/>
                <w:szCs w:val="20"/>
                <w14:ligatures w14:val="none"/>
              </w:rPr>
            </w:pPr>
          </w:p>
        </w:tc>
      </w:tr>
    </w:tbl>
    <w:p w14:paraId="6BA67121" w14:textId="77777777" w:rsidR="00DC2479" w:rsidRDefault="00DC2479"/>
    <w:sectPr w:rsidR="00DC24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dvP8585">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1FC"/>
    <w:rsid w:val="0055731C"/>
    <w:rsid w:val="005B6877"/>
    <w:rsid w:val="007121FC"/>
    <w:rsid w:val="00AA0C39"/>
    <w:rsid w:val="00DC24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C2785"/>
  <w15:chartTrackingRefBased/>
  <w15:docId w15:val="{4DD2F11E-F0A7-4D87-BD4D-43512ECC4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1FC"/>
    <w:rPr>
      <w:rFonts w:eastAsiaTheme="minorEastAsia"/>
      <w:lang w:val="en-HK" w:eastAsia="zh-CN"/>
    </w:rPr>
  </w:style>
  <w:style w:type="paragraph" w:styleId="Heading1">
    <w:name w:val="heading 1"/>
    <w:basedOn w:val="Normal"/>
    <w:next w:val="Normal"/>
    <w:link w:val="Heading1Char"/>
    <w:uiPriority w:val="9"/>
    <w:qFormat/>
    <w:rsid w:val="007121FC"/>
    <w:pPr>
      <w:keepNext/>
      <w:keepLines/>
      <w:spacing w:before="360" w:after="80"/>
      <w:outlineLvl w:val="0"/>
    </w:pPr>
    <w:rPr>
      <w:rFonts w:asciiTheme="majorHAnsi" w:eastAsiaTheme="majorEastAsia" w:hAnsiTheme="majorHAnsi" w:cstheme="majorBidi"/>
      <w:color w:val="0F4761" w:themeColor="accent1" w:themeShade="BF"/>
      <w:sz w:val="40"/>
      <w:szCs w:val="40"/>
      <w:lang w:val="en-IN" w:eastAsia="en-US"/>
    </w:rPr>
  </w:style>
  <w:style w:type="paragraph" w:styleId="Heading2">
    <w:name w:val="heading 2"/>
    <w:basedOn w:val="Normal"/>
    <w:next w:val="Normal"/>
    <w:link w:val="Heading2Char"/>
    <w:uiPriority w:val="9"/>
    <w:semiHidden/>
    <w:unhideWhenUsed/>
    <w:qFormat/>
    <w:rsid w:val="007121FC"/>
    <w:pPr>
      <w:keepNext/>
      <w:keepLines/>
      <w:spacing w:before="160" w:after="80"/>
      <w:outlineLvl w:val="1"/>
    </w:pPr>
    <w:rPr>
      <w:rFonts w:asciiTheme="majorHAnsi" w:eastAsiaTheme="majorEastAsia" w:hAnsiTheme="majorHAnsi" w:cstheme="majorBidi"/>
      <w:color w:val="0F4761" w:themeColor="accent1" w:themeShade="BF"/>
      <w:sz w:val="32"/>
      <w:szCs w:val="32"/>
      <w:lang w:val="en-IN" w:eastAsia="en-US"/>
    </w:rPr>
  </w:style>
  <w:style w:type="paragraph" w:styleId="Heading3">
    <w:name w:val="heading 3"/>
    <w:basedOn w:val="Normal"/>
    <w:next w:val="Normal"/>
    <w:link w:val="Heading3Char"/>
    <w:uiPriority w:val="9"/>
    <w:semiHidden/>
    <w:unhideWhenUsed/>
    <w:qFormat/>
    <w:rsid w:val="007121FC"/>
    <w:pPr>
      <w:keepNext/>
      <w:keepLines/>
      <w:spacing w:before="160" w:after="80"/>
      <w:outlineLvl w:val="2"/>
    </w:pPr>
    <w:rPr>
      <w:rFonts w:eastAsiaTheme="majorEastAsia" w:cstheme="majorBidi"/>
      <w:color w:val="0F4761" w:themeColor="accent1" w:themeShade="BF"/>
      <w:sz w:val="28"/>
      <w:szCs w:val="28"/>
      <w:lang w:val="en-IN" w:eastAsia="en-US"/>
    </w:rPr>
  </w:style>
  <w:style w:type="paragraph" w:styleId="Heading4">
    <w:name w:val="heading 4"/>
    <w:basedOn w:val="Normal"/>
    <w:next w:val="Normal"/>
    <w:link w:val="Heading4Char"/>
    <w:uiPriority w:val="9"/>
    <w:semiHidden/>
    <w:unhideWhenUsed/>
    <w:qFormat/>
    <w:rsid w:val="007121FC"/>
    <w:pPr>
      <w:keepNext/>
      <w:keepLines/>
      <w:spacing w:before="80" w:after="40"/>
      <w:outlineLvl w:val="3"/>
    </w:pPr>
    <w:rPr>
      <w:rFonts w:eastAsiaTheme="majorEastAsia" w:cstheme="majorBidi"/>
      <w:i/>
      <w:iCs/>
      <w:color w:val="0F4761" w:themeColor="accent1" w:themeShade="BF"/>
      <w:lang w:val="en-IN" w:eastAsia="en-US"/>
    </w:rPr>
  </w:style>
  <w:style w:type="paragraph" w:styleId="Heading5">
    <w:name w:val="heading 5"/>
    <w:basedOn w:val="Normal"/>
    <w:next w:val="Normal"/>
    <w:link w:val="Heading5Char"/>
    <w:uiPriority w:val="9"/>
    <w:semiHidden/>
    <w:unhideWhenUsed/>
    <w:qFormat/>
    <w:rsid w:val="007121FC"/>
    <w:pPr>
      <w:keepNext/>
      <w:keepLines/>
      <w:spacing w:before="80" w:after="40"/>
      <w:outlineLvl w:val="4"/>
    </w:pPr>
    <w:rPr>
      <w:rFonts w:eastAsiaTheme="majorEastAsia" w:cstheme="majorBidi"/>
      <w:color w:val="0F4761" w:themeColor="accent1" w:themeShade="BF"/>
      <w:lang w:val="en-IN" w:eastAsia="en-US"/>
    </w:rPr>
  </w:style>
  <w:style w:type="paragraph" w:styleId="Heading6">
    <w:name w:val="heading 6"/>
    <w:basedOn w:val="Normal"/>
    <w:next w:val="Normal"/>
    <w:link w:val="Heading6Char"/>
    <w:uiPriority w:val="9"/>
    <w:semiHidden/>
    <w:unhideWhenUsed/>
    <w:qFormat/>
    <w:rsid w:val="007121FC"/>
    <w:pPr>
      <w:keepNext/>
      <w:keepLines/>
      <w:spacing w:before="40" w:after="0"/>
      <w:outlineLvl w:val="5"/>
    </w:pPr>
    <w:rPr>
      <w:rFonts w:eastAsiaTheme="majorEastAsia" w:cstheme="majorBidi"/>
      <w:i/>
      <w:iCs/>
      <w:color w:val="595959" w:themeColor="text1" w:themeTint="A6"/>
      <w:lang w:val="en-IN" w:eastAsia="en-US"/>
    </w:rPr>
  </w:style>
  <w:style w:type="paragraph" w:styleId="Heading7">
    <w:name w:val="heading 7"/>
    <w:basedOn w:val="Normal"/>
    <w:next w:val="Normal"/>
    <w:link w:val="Heading7Char"/>
    <w:uiPriority w:val="9"/>
    <w:semiHidden/>
    <w:unhideWhenUsed/>
    <w:qFormat/>
    <w:rsid w:val="007121FC"/>
    <w:pPr>
      <w:keepNext/>
      <w:keepLines/>
      <w:spacing w:before="40" w:after="0"/>
      <w:outlineLvl w:val="6"/>
    </w:pPr>
    <w:rPr>
      <w:rFonts w:eastAsiaTheme="majorEastAsia" w:cstheme="majorBidi"/>
      <w:color w:val="595959" w:themeColor="text1" w:themeTint="A6"/>
      <w:lang w:val="en-IN" w:eastAsia="en-US"/>
    </w:rPr>
  </w:style>
  <w:style w:type="paragraph" w:styleId="Heading8">
    <w:name w:val="heading 8"/>
    <w:basedOn w:val="Normal"/>
    <w:next w:val="Normal"/>
    <w:link w:val="Heading8Char"/>
    <w:uiPriority w:val="9"/>
    <w:semiHidden/>
    <w:unhideWhenUsed/>
    <w:qFormat/>
    <w:rsid w:val="007121FC"/>
    <w:pPr>
      <w:keepNext/>
      <w:keepLines/>
      <w:spacing w:after="0"/>
      <w:outlineLvl w:val="7"/>
    </w:pPr>
    <w:rPr>
      <w:rFonts w:eastAsiaTheme="majorEastAsia" w:cstheme="majorBidi"/>
      <w:i/>
      <w:iCs/>
      <w:color w:val="272727" w:themeColor="text1" w:themeTint="D8"/>
      <w:lang w:val="en-IN" w:eastAsia="en-US"/>
    </w:rPr>
  </w:style>
  <w:style w:type="paragraph" w:styleId="Heading9">
    <w:name w:val="heading 9"/>
    <w:basedOn w:val="Normal"/>
    <w:next w:val="Normal"/>
    <w:link w:val="Heading9Char"/>
    <w:uiPriority w:val="9"/>
    <w:semiHidden/>
    <w:unhideWhenUsed/>
    <w:qFormat/>
    <w:rsid w:val="007121FC"/>
    <w:pPr>
      <w:keepNext/>
      <w:keepLines/>
      <w:spacing w:after="0"/>
      <w:outlineLvl w:val="8"/>
    </w:pPr>
    <w:rPr>
      <w:rFonts w:eastAsiaTheme="majorEastAsia" w:cstheme="majorBidi"/>
      <w:color w:val="272727" w:themeColor="text1" w:themeTint="D8"/>
      <w:lang w:val="en-I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1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1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1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1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1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1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1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1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1FC"/>
    <w:rPr>
      <w:rFonts w:eastAsiaTheme="majorEastAsia" w:cstheme="majorBidi"/>
      <w:color w:val="272727" w:themeColor="text1" w:themeTint="D8"/>
    </w:rPr>
  </w:style>
  <w:style w:type="paragraph" w:styleId="Title">
    <w:name w:val="Title"/>
    <w:basedOn w:val="Normal"/>
    <w:next w:val="Normal"/>
    <w:link w:val="TitleChar"/>
    <w:uiPriority w:val="10"/>
    <w:qFormat/>
    <w:rsid w:val="007121FC"/>
    <w:pPr>
      <w:spacing w:after="80" w:line="240" w:lineRule="auto"/>
      <w:contextualSpacing/>
    </w:pPr>
    <w:rPr>
      <w:rFonts w:asciiTheme="majorHAnsi" w:eastAsiaTheme="majorEastAsia" w:hAnsiTheme="majorHAnsi" w:cstheme="majorBidi"/>
      <w:spacing w:val="-10"/>
      <w:kern w:val="28"/>
      <w:sz w:val="56"/>
      <w:szCs w:val="56"/>
      <w:lang w:val="en-IN" w:eastAsia="en-US"/>
    </w:rPr>
  </w:style>
  <w:style w:type="character" w:customStyle="1" w:styleId="TitleChar">
    <w:name w:val="Title Char"/>
    <w:basedOn w:val="DefaultParagraphFont"/>
    <w:link w:val="Title"/>
    <w:uiPriority w:val="10"/>
    <w:rsid w:val="007121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1FC"/>
    <w:pPr>
      <w:numPr>
        <w:ilvl w:val="1"/>
      </w:numPr>
    </w:pPr>
    <w:rPr>
      <w:rFonts w:eastAsiaTheme="majorEastAsia" w:cstheme="majorBidi"/>
      <w:color w:val="595959" w:themeColor="text1" w:themeTint="A6"/>
      <w:spacing w:val="15"/>
      <w:sz w:val="28"/>
      <w:szCs w:val="28"/>
      <w:lang w:val="en-IN" w:eastAsia="en-US"/>
    </w:rPr>
  </w:style>
  <w:style w:type="character" w:customStyle="1" w:styleId="SubtitleChar">
    <w:name w:val="Subtitle Char"/>
    <w:basedOn w:val="DefaultParagraphFont"/>
    <w:link w:val="Subtitle"/>
    <w:uiPriority w:val="11"/>
    <w:rsid w:val="007121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1FC"/>
    <w:pPr>
      <w:spacing w:before="160"/>
      <w:jc w:val="center"/>
    </w:pPr>
    <w:rPr>
      <w:rFonts w:eastAsiaTheme="minorHAnsi"/>
      <w:i/>
      <w:iCs/>
      <w:color w:val="404040" w:themeColor="text1" w:themeTint="BF"/>
      <w:lang w:val="en-IN" w:eastAsia="en-US"/>
    </w:rPr>
  </w:style>
  <w:style w:type="character" w:customStyle="1" w:styleId="QuoteChar">
    <w:name w:val="Quote Char"/>
    <w:basedOn w:val="DefaultParagraphFont"/>
    <w:link w:val="Quote"/>
    <w:uiPriority w:val="29"/>
    <w:rsid w:val="007121FC"/>
    <w:rPr>
      <w:i/>
      <w:iCs/>
      <w:color w:val="404040" w:themeColor="text1" w:themeTint="BF"/>
    </w:rPr>
  </w:style>
  <w:style w:type="paragraph" w:styleId="ListParagraph">
    <w:name w:val="List Paragraph"/>
    <w:basedOn w:val="Normal"/>
    <w:uiPriority w:val="34"/>
    <w:qFormat/>
    <w:rsid w:val="007121FC"/>
    <w:pPr>
      <w:ind w:left="720"/>
      <w:contextualSpacing/>
    </w:pPr>
    <w:rPr>
      <w:rFonts w:eastAsiaTheme="minorHAnsi"/>
      <w:lang w:val="en-IN" w:eastAsia="en-US"/>
    </w:rPr>
  </w:style>
  <w:style w:type="character" w:styleId="IntenseEmphasis">
    <w:name w:val="Intense Emphasis"/>
    <w:basedOn w:val="DefaultParagraphFont"/>
    <w:uiPriority w:val="21"/>
    <w:qFormat/>
    <w:rsid w:val="007121FC"/>
    <w:rPr>
      <w:i/>
      <w:iCs/>
      <w:color w:val="0F4761" w:themeColor="accent1" w:themeShade="BF"/>
    </w:rPr>
  </w:style>
  <w:style w:type="paragraph" w:styleId="IntenseQuote">
    <w:name w:val="Intense Quote"/>
    <w:basedOn w:val="Normal"/>
    <w:next w:val="Normal"/>
    <w:link w:val="IntenseQuoteChar"/>
    <w:uiPriority w:val="30"/>
    <w:qFormat/>
    <w:rsid w:val="007121FC"/>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lang w:val="en-IN" w:eastAsia="en-US"/>
    </w:rPr>
  </w:style>
  <w:style w:type="character" w:customStyle="1" w:styleId="IntenseQuoteChar">
    <w:name w:val="Intense Quote Char"/>
    <w:basedOn w:val="DefaultParagraphFont"/>
    <w:link w:val="IntenseQuote"/>
    <w:uiPriority w:val="30"/>
    <w:rsid w:val="007121FC"/>
    <w:rPr>
      <w:i/>
      <w:iCs/>
      <w:color w:val="0F4761" w:themeColor="accent1" w:themeShade="BF"/>
    </w:rPr>
  </w:style>
  <w:style w:type="character" w:styleId="IntenseReference">
    <w:name w:val="Intense Reference"/>
    <w:basedOn w:val="DefaultParagraphFont"/>
    <w:uiPriority w:val="32"/>
    <w:qFormat/>
    <w:rsid w:val="007121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14796</Words>
  <Characters>84342</Characters>
  <Application>Microsoft Office Word</Application>
  <DocSecurity>0</DocSecurity>
  <Lines>702</Lines>
  <Paragraphs>197</Paragraphs>
  <ScaleCrop>false</ScaleCrop>
  <Company/>
  <LinksUpToDate>false</LinksUpToDate>
  <CharactersWithSpaces>98941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2026-08-18T17:27:00Z</dcterms:created>
  <dcterms:modified xsi:type="dcterms:W3CDTF">2026-08-18T17:28:00Z</dcterms:modified>
</cp:coreProperties>
</file>