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32404" w14:textId="77777777" w:rsidR="00681792" w:rsidRDefault="00681792" w:rsidP="00681792">
      <w:pPr>
        <w:spacing w:after="0" w:line="480" w:lineRule="auto"/>
        <w:jc w:val="both"/>
        <w:rPr>
          <w:rFonts w:ascii="Arial" w:hAnsi="Arial" w:cs="Arial"/>
          <w:b/>
          <w:sz w:val="24"/>
          <w:szCs w:val="20"/>
          <w:lang w:val="en-US"/>
        </w:rPr>
      </w:pPr>
      <w:r>
        <w:rPr>
          <w:rFonts w:ascii="Arial" w:hAnsi="Arial" w:cs="Arial"/>
          <w:b/>
          <w:sz w:val="24"/>
          <w:szCs w:val="20"/>
          <w:lang w:val="en-US"/>
        </w:rPr>
        <w:t>Supplementary Information</w:t>
      </w:r>
    </w:p>
    <w:p w14:paraId="51498A37" w14:textId="77777777" w:rsidR="00681792" w:rsidRDefault="00681792" w:rsidP="00681792">
      <w:pPr>
        <w:spacing w:after="0" w:line="48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0D4834E1" w14:textId="77777777" w:rsidR="00681792" w:rsidRPr="005E141C" w:rsidRDefault="00681792" w:rsidP="00681792">
      <w:pPr>
        <w:spacing w:after="0"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Supplementary</w:t>
      </w:r>
      <w:r w:rsidRPr="005E141C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F</w:t>
      </w:r>
      <w:r w:rsidRPr="005E141C">
        <w:rPr>
          <w:rFonts w:ascii="Arial" w:hAnsi="Arial" w:cs="Arial"/>
          <w:sz w:val="20"/>
          <w:szCs w:val="20"/>
          <w:lang w:val="en-US"/>
        </w:rPr>
        <w:t>ile 1</w:t>
      </w:r>
      <w:r>
        <w:rPr>
          <w:rFonts w:ascii="Arial" w:hAnsi="Arial" w:cs="Arial"/>
          <w:sz w:val="20"/>
          <w:szCs w:val="20"/>
          <w:lang w:val="en-US"/>
        </w:rPr>
        <w:t>:</w:t>
      </w:r>
      <w:r w:rsidRPr="005E141C">
        <w:rPr>
          <w:rFonts w:ascii="Arial" w:hAnsi="Arial" w:cs="Arial"/>
          <w:sz w:val="20"/>
          <w:szCs w:val="20"/>
          <w:lang w:val="en-US"/>
        </w:rPr>
        <w:t xml:space="preserve"> </w:t>
      </w:r>
      <w:r w:rsidRPr="007B1CDD">
        <w:rPr>
          <w:rFonts w:ascii="Arial" w:hAnsi="Arial" w:cs="Arial"/>
          <w:sz w:val="20"/>
          <w:szCs w:val="20"/>
          <w:lang w:val="en-US"/>
        </w:rPr>
        <w:t>Table S1</w:t>
      </w:r>
      <w:r>
        <w:rPr>
          <w:rFonts w:ascii="Arial" w:hAnsi="Arial" w:cs="Arial"/>
          <w:sz w:val="20"/>
          <w:szCs w:val="20"/>
          <w:lang w:val="en-US"/>
        </w:rPr>
        <w:t>.</w:t>
      </w:r>
      <w:r w:rsidRPr="007B1CDD">
        <w:rPr>
          <w:rFonts w:ascii="Arial" w:hAnsi="Arial" w:cs="Arial"/>
          <w:sz w:val="20"/>
          <w:szCs w:val="20"/>
          <w:lang w:val="en-US"/>
        </w:rPr>
        <w:t xml:space="preserve"> Variables collected during the baseline assessment at the index primary care visit</w:t>
      </w:r>
      <w:r>
        <w:rPr>
          <w:rFonts w:ascii="Arial" w:hAnsi="Arial" w:cs="Arial"/>
          <w:sz w:val="20"/>
          <w:szCs w:val="20"/>
          <w:lang w:val="en-US"/>
        </w:rPr>
        <w:t xml:space="preserve">. </w:t>
      </w:r>
      <w:r w:rsidRPr="005E141C">
        <w:rPr>
          <w:rFonts w:ascii="Arial" w:hAnsi="Arial" w:cs="Arial"/>
          <w:sz w:val="20"/>
          <w:szCs w:val="20"/>
          <w:lang w:val="en-US"/>
        </w:rPr>
        <w:t>Table S2</w:t>
      </w:r>
      <w:r>
        <w:rPr>
          <w:rFonts w:ascii="Arial" w:hAnsi="Arial" w:cs="Arial"/>
          <w:sz w:val="20"/>
          <w:szCs w:val="20"/>
          <w:lang w:val="en-US"/>
        </w:rPr>
        <w:t>.</w:t>
      </w:r>
      <w:r w:rsidRPr="005E141C">
        <w:rPr>
          <w:rFonts w:ascii="Arial" w:hAnsi="Arial" w:cs="Arial"/>
          <w:sz w:val="20"/>
          <w:szCs w:val="20"/>
          <w:lang w:val="en-US"/>
        </w:rPr>
        <w:t xml:space="preserve"> </w:t>
      </w:r>
      <w:r w:rsidRPr="007B1CDD">
        <w:rPr>
          <w:rFonts w:ascii="Arial" w:hAnsi="Arial" w:cs="Arial"/>
          <w:sz w:val="20"/>
          <w:szCs w:val="20"/>
          <w:lang w:val="en-US"/>
        </w:rPr>
        <w:t>Diagnostic accuracy of the COVID-19/Flu A+B/RSV/hRV/hMPV Ag Rapid Test (Xiamen Winbio Biotechnology; Xiamen, China) declared by the manufacturer and determined in the present study</w:t>
      </w:r>
      <w:r>
        <w:rPr>
          <w:rFonts w:ascii="Arial" w:hAnsi="Arial" w:cs="Arial"/>
          <w:sz w:val="20"/>
          <w:szCs w:val="20"/>
          <w:lang w:val="en-US"/>
        </w:rPr>
        <w:t>.</w:t>
      </w:r>
      <w:r w:rsidRPr="005E141C">
        <w:rPr>
          <w:lang w:val="en-US"/>
        </w:rPr>
        <w:t xml:space="preserve"> </w:t>
      </w:r>
      <w:r w:rsidRPr="005E141C">
        <w:rPr>
          <w:rFonts w:ascii="Arial" w:hAnsi="Arial" w:cs="Arial"/>
          <w:sz w:val="20"/>
          <w:szCs w:val="20"/>
          <w:lang w:val="en-US"/>
        </w:rPr>
        <w:t>Table S3</w:t>
      </w:r>
      <w:r>
        <w:rPr>
          <w:rFonts w:ascii="Arial" w:hAnsi="Arial" w:cs="Arial"/>
          <w:sz w:val="20"/>
          <w:szCs w:val="20"/>
          <w:lang w:val="en-US"/>
        </w:rPr>
        <w:t>.</w:t>
      </w:r>
      <w:r w:rsidRPr="005E141C">
        <w:rPr>
          <w:rFonts w:ascii="Arial" w:hAnsi="Arial" w:cs="Arial"/>
          <w:sz w:val="20"/>
          <w:szCs w:val="20"/>
          <w:lang w:val="en-US"/>
        </w:rPr>
        <w:t xml:space="preserve"> </w:t>
      </w:r>
      <w:r w:rsidRPr="007B1CDD">
        <w:rPr>
          <w:rFonts w:ascii="Arial" w:hAnsi="Arial" w:cs="Arial"/>
          <w:sz w:val="20"/>
          <w:szCs w:val="20"/>
          <w:lang w:val="en-US"/>
        </w:rPr>
        <w:t>Sensitivity of the COVID-19/Flu A+B/RSV/hRV/hMPV Ag Rapid Test (Xiamen Winbio Biotechnology; Xiamen, China), by cycle threshold determined by the standard-of-care real-time polymerase chain reaction and swab delay</w:t>
      </w:r>
      <w:r>
        <w:rPr>
          <w:rFonts w:ascii="Arial" w:hAnsi="Arial" w:cs="Arial"/>
          <w:sz w:val="20"/>
          <w:szCs w:val="20"/>
          <w:lang w:val="en-US"/>
        </w:rPr>
        <w:t xml:space="preserve">. </w:t>
      </w:r>
      <w:r w:rsidRPr="005E141C">
        <w:rPr>
          <w:rFonts w:ascii="Arial" w:hAnsi="Arial" w:cs="Arial"/>
          <w:sz w:val="20"/>
          <w:szCs w:val="20"/>
          <w:lang w:val="en-US"/>
        </w:rPr>
        <w:t>Table S4</w:t>
      </w:r>
      <w:r>
        <w:rPr>
          <w:rFonts w:ascii="Arial" w:hAnsi="Arial" w:cs="Arial"/>
          <w:sz w:val="20"/>
          <w:szCs w:val="20"/>
          <w:lang w:val="en-US"/>
        </w:rPr>
        <w:t>.</w:t>
      </w:r>
      <w:r w:rsidRPr="005E141C">
        <w:rPr>
          <w:rFonts w:ascii="Arial" w:hAnsi="Arial" w:cs="Arial"/>
          <w:sz w:val="20"/>
          <w:szCs w:val="20"/>
          <w:lang w:val="en-US"/>
        </w:rPr>
        <w:t xml:space="preserve"> </w:t>
      </w:r>
      <w:r w:rsidRPr="007B1CDD">
        <w:rPr>
          <w:rFonts w:ascii="Arial" w:hAnsi="Arial" w:cs="Arial"/>
          <w:sz w:val="20"/>
          <w:szCs w:val="20"/>
          <w:lang w:val="en-US"/>
        </w:rPr>
        <w:t>Prescription of antibiotics among adults with acute respiratory infection, by class (</w:t>
      </w:r>
      <w:r w:rsidRPr="007B1CDD">
        <w:rPr>
          <w:rFonts w:ascii="Arial" w:hAnsi="Arial" w:cs="Arial"/>
          <w:i/>
          <w:sz w:val="20"/>
          <w:szCs w:val="20"/>
          <w:lang w:val="en-US"/>
        </w:rPr>
        <w:t>N</w:t>
      </w:r>
      <w:r w:rsidRPr="007B1CDD">
        <w:rPr>
          <w:rFonts w:ascii="Arial" w:hAnsi="Arial" w:cs="Arial"/>
          <w:sz w:val="20"/>
          <w:szCs w:val="20"/>
          <w:lang w:val="en-US"/>
        </w:rPr>
        <w:t xml:space="preserve"> = 240); Genoa (Italy), 2025/2026 respiratory season</w:t>
      </w:r>
      <w:r>
        <w:rPr>
          <w:rFonts w:ascii="Arial" w:hAnsi="Arial" w:cs="Arial"/>
          <w:sz w:val="20"/>
          <w:szCs w:val="20"/>
          <w:lang w:val="en-US"/>
        </w:rPr>
        <w:t>.</w:t>
      </w:r>
      <w:r w:rsidRPr="005E141C">
        <w:rPr>
          <w:lang w:val="en-US"/>
        </w:rPr>
        <w:t xml:space="preserve"> </w:t>
      </w:r>
      <w:r w:rsidRPr="005E141C">
        <w:rPr>
          <w:rFonts w:ascii="Arial" w:hAnsi="Arial" w:cs="Arial"/>
          <w:sz w:val="20"/>
          <w:szCs w:val="20"/>
          <w:lang w:val="en-US"/>
        </w:rPr>
        <w:t>Table S5</w:t>
      </w:r>
      <w:r>
        <w:rPr>
          <w:rFonts w:ascii="Arial" w:hAnsi="Arial" w:cs="Arial"/>
          <w:sz w:val="20"/>
          <w:szCs w:val="20"/>
          <w:lang w:val="en-US"/>
        </w:rPr>
        <w:t>.</w:t>
      </w:r>
      <w:r w:rsidRPr="005E141C">
        <w:rPr>
          <w:rFonts w:ascii="Arial" w:hAnsi="Arial" w:cs="Arial"/>
          <w:sz w:val="20"/>
          <w:szCs w:val="20"/>
          <w:lang w:val="en-US"/>
        </w:rPr>
        <w:t xml:space="preserve"> </w:t>
      </w:r>
      <w:r w:rsidRPr="007B1CDD">
        <w:rPr>
          <w:rFonts w:ascii="Arial" w:hAnsi="Arial" w:cs="Arial"/>
          <w:sz w:val="20"/>
          <w:szCs w:val="20"/>
          <w:lang w:val="en-US"/>
        </w:rPr>
        <w:t>Univariable and multivariable modified Poisson regression analysis of the association between antibiotic prescriptions and testing positive for at least one virus on the rapid antigen detection test (</w:t>
      </w:r>
      <w:r w:rsidRPr="007B1CDD">
        <w:rPr>
          <w:rFonts w:ascii="Arial" w:hAnsi="Arial" w:cs="Arial"/>
          <w:i/>
          <w:sz w:val="20"/>
          <w:szCs w:val="20"/>
          <w:lang w:val="en-US"/>
        </w:rPr>
        <w:t>N</w:t>
      </w:r>
      <w:r w:rsidRPr="007B1CDD">
        <w:rPr>
          <w:rFonts w:ascii="Arial" w:hAnsi="Arial" w:cs="Arial"/>
          <w:sz w:val="20"/>
          <w:szCs w:val="20"/>
          <w:lang w:val="en-US"/>
        </w:rPr>
        <w:t xml:space="preserve"> = 675); Genoa (Italy), 2025/2026 respiratory season</w:t>
      </w:r>
      <w:r>
        <w:rPr>
          <w:rFonts w:ascii="Arial" w:hAnsi="Arial" w:cs="Arial"/>
          <w:sz w:val="20"/>
          <w:szCs w:val="20"/>
          <w:lang w:val="en-US"/>
        </w:rPr>
        <w:t xml:space="preserve">. </w:t>
      </w:r>
      <w:r w:rsidRPr="007B1CDD">
        <w:rPr>
          <w:rFonts w:ascii="Arial" w:hAnsi="Arial" w:cs="Arial"/>
          <w:sz w:val="20"/>
          <w:szCs w:val="20"/>
          <w:lang w:val="en-US"/>
        </w:rPr>
        <w:t>Table S6</w:t>
      </w:r>
      <w:r>
        <w:rPr>
          <w:rFonts w:ascii="Arial" w:hAnsi="Arial" w:cs="Arial"/>
          <w:sz w:val="20"/>
          <w:szCs w:val="20"/>
          <w:lang w:val="en-US"/>
        </w:rPr>
        <w:t>.</w:t>
      </w:r>
      <w:r w:rsidRPr="007B1CDD">
        <w:rPr>
          <w:rFonts w:ascii="Arial" w:hAnsi="Arial" w:cs="Arial"/>
          <w:sz w:val="20"/>
          <w:szCs w:val="20"/>
          <w:lang w:val="en-US"/>
        </w:rPr>
        <w:t xml:space="preserve"> Sensitivity analysis by applying univariable and multivariable generalized estimating equations Poisson regression analysis of the association between antibiotic prescriptions and testing positive for at least one virus on a rapid antigen detection test (</w:t>
      </w:r>
      <w:r w:rsidRPr="007B1CDD">
        <w:rPr>
          <w:rFonts w:ascii="Arial" w:hAnsi="Arial" w:cs="Arial"/>
          <w:i/>
          <w:sz w:val="20"/>
          <w:szCs w:val="20"/>
          <w:lang w:val="en-US"/>
        </w:rPr>
        <w:t>N</w:t>
      </w:r>
      <w:r w:rsidRPr="007B1CDD">
        <w:rPr>
          <w:rFonts w:ascii="Arial" w:hAnsi="Arial" w:cs="Arial"/>
          <w:sz w:val="20"/>
          <w:szCs w:val="20"/>
          <w:lang w:val="en-US"/>
        </w:rPr>
        <w:t xml:space="preserve"> = 675); Genoa (Italy), 2025/2026 respiratory season</w:t>
      </w:r>
      <w:r>
        <w:rPr>
          <w:rFonts w:ascii="Arial" w:hAnsi="Arial" w:cs="Arial"/>
          <w:sz w:val="20"/>
          <w:szCs w:val="20"/>
          <w:lang w:val="en-US"/>
        </w:rPr>
        <w:t>.</w:t>
      </w:r>
      <w:r w:rsidRPr="007B1CDD">
        <w:rPr>
          <w:lang w:val="en-US"/>
        </w:rPr>
        <w:t xml:space="preserve"> </w:t>
      </w:r>
      <w:r w:rsidRPr="007B1CDD">
        <w:rPr>
          <w:rFonts w:ascii="Arial" w:hAnsi="Arial" w:cs="Arial"/>
          <w:sz w:val="20"/>
          <w:szCs w:val="20"/>
          <w:lang w:val="en-US"/>
        </w:rPr>
        <w:t>Table S7</w:t>
      </w:r>
      <w:r>
        <w:rPr>
          <w:rFonts w:ascii="Arial" w:hAnsi="Arial" w:cs="Arial"/>
          <w:sz w:val="20"/>
          <w:szCs w:val="20"/>
          <w:lang w:val="en-US"/>
        </w:rPr>
        <w:t>.</w:t>
      </w:r>
      <w:r w:rsidRPr="007B1CDD">
        <w:rPr>
          <w:rFonts w:ascii="Arial" w:hAnsi="Arial" w:cs="Arial"/>
          <w:sz w:val="20"/>
          <w:szCs w:val="20"/>
          <w:lang w:val="en-US"/>
        </w:rPr>
        <w:t xml:space="preserve"> Adjusted relative risks for antibiotic prescriptions by specific viral pathogen identified via rapid antigen detection test (</w:t>
      </w:r>
      <w:r w:rsidRPr="007B1CDD">
        <w:rPr>
          <w:rFonts w:ascii="Arial" w:hAnsi="Arial" w:cs="Arial"/>
          <w:i/>
          <w:sz w:val="20"/>
          <w:szCs w:val="20"/>
          <w:lang w:val="en-US"/>
        </w:rPr>
        <w:t>N</w:t>
      </w:r>
      <w:r w:rsidRPr="007B1CDD">
        <w:rPr>
          <w:rFonts w:ascii="Arial" w:hAnsi="Arial" w:cs="Arial"/>
          <w:sz w:val="20"/>
          <w:szCs w:val="20"/>
          <w:lang w:val="en-US"/>
        </w:rPr>
        <w:t xml:space="preserve"> = 667); Genoa (Italy), 2025/2026 respiratory season</w:t>
      </w:r>
      <w:r>
        <w:rPr>
          <w:rFonts w:ascii="Arial" w:hAnsi="Arial" w:cs="Arial"/>
          <w:sz w:val="20"/>
          <w:szCs w:val="20"/>
          <w:lang w:val="en-US"/>
        </w:rPr>
        <w:t>.</w:t>
      </w:r>
    </w:p>
    <w:p w14:paraId="26214780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792"/>
    <w:rsid w:val="000C4033"/>
    <w:rsid w:val="00173ED8"/>
    <w:rsid w:val="002F50B1"/>
    <w:rsid w:val="004B42CB"/>
    <w:rsid w:val="005F2B46"/>
    <w:rsid w:val="00681792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  <w:rsid w:val="00ED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67787"/>
  <w15:chartTrackingRefBased/>
  <w15:docId w15:val="{0E9DFBA4-3D18-4EBF-A5AB-FFD1EEA73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792"/>
    <w:pPr>
      <w:spacing w:line="259" w:lineRule="auto"/>
    </w:pPr>
    <w:rPr>
      <w:kern w:val="0"/>
      <w:sz w:val="22"/>
      <w:szCs w:val="22"/>
      <w:lang w:val="it-I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179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179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179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179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179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179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179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179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179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17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17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17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17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17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17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17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17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17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17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817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179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817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179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817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1792"/>
    <w:pPr>
      <w:spacing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817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17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17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17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2026-08-06T17:27:00Z</dcterms:created>
  <dcterms:modified xsi:type="dcterms:W3CDTF">2026-08-06T17:28:00Z</dcterms:modified>
</cp:coreProperties>
</file>