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C3BD" w14:textId="77777777" w:rsidR="00791AC9" w:rsidRPr="007D4C8D" w:rsidRDefault="00791AC9" w:rsidP="00791AC9">
      <w:pPr>
        <w:pStyle w:val="1"/>
        <w:rPr>
          <w:rFonts w:asciiTheme="minorHAnsi" w:eastAsiaTheme="minorHAnsi" w:hAnsiTheme="minorHAnsi"/>
          <w:color w:val="auto"/>
          <w:sz w:val="28"/>
          <w:szCs w:val="28"/>
        </w:rPr>
      </w:pPr>
      <w:r w:rsidRPr="007D4C8D">
        <w:rPr>
          <w:rFonts w:asciiTheme="minorHAnsi" w:eastAsiaTheme="minorHAnsi" w:hAnsiTheme="minorHAnsi"/>
          <w:color w:val="auto"/>
          <w:sz w:val="28"/>
          <w:szCs w:val="28"/>
        </w:rPr>
        <w:t>Supplementary Materials</w:t>
      </w:r>
    </w:p>
    <w:p w14:paraId="48AC1ABA" w14:textId="77777777" w:rsidR="00791AC9" w:rsidRPr="007D4C8D" w:rsidRDefault="00791AC9" w:rsidP="00791AC9">
      <w:pPr>
        <w:pStyle w:val="2"/>
        <w:rPr>
          <w:rFonts w:asciiTheme="minorHAnsi" w:eastAsiaTheme="minorHAnsi" w:hAnsiTheme="minorHAnsi"/>
          <w:color w:val="auto"/>
          <w:sz w:val="24"/>
          <w:szCs w:val="24"/>
        </w:rPr>
      </w:pPr>
      <w:r w:rsidRPr="007D4C8D">
        <w:rPr>
          <w:rFonts w:asciiTheme="minorHAnsi" w:eastAsiaTheme="minorHAnsi" w:hAnsiTheme="minorHAnsi"/>
          <w:color w:val="auto"/>
          <w:sz w:val="24"/>
          <w:szCs w:val="24"/>
        </w:rPr>
        <w:t>Supplementary Table S1. Gene Testing Subgroup Baseline Characteristics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160"/>
      </w:tblGrid>
      <w:tr w:rsidR="00791AC9" w:rsidRPr="00791AC9" w14:paraId="7374D5D8" w14:textId="77777777" w:rsidTr="005D5CFB">
        <w:trPr>
          <w:jc w:val="center"/>
        </w:trPr>
        <w:tc>
          <w:tcPr>
            <w:tcW w:w="2880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8A2F29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Variable</w:t>
            </w:r>
          </w:p>
        </w:tc>
        <w:tc>
          <w:tcPr>
            <w:tcW w:w="2160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3FE65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Overall (N=684)</w:t>
            </w:r>
          </w:p>
        </w:tc>
      </w:tr>
      <w:tr w:rsidR="00791AC9" w:rsidRPr="00791AC9" w14:paraId="2C841247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CC6CA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 xml:space="preserve">Age (years), </w:t>
            </w:r>
            <w:proofErr w:type="spellStart"/>
            <w:r w:rsidRPr="00791AC9">
              <w:rPr>
                <w:rFonts w:asciiTheme="minorEastAsia" w:hAnsiTheme="minorEastAsia"/>
                <w:sz w:val="18"/>
              </w:rPr>
              <w:t>mean±SD</w:t>
            </w:r>
            <w:proofErr w:type="spellEnd"/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A30F0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60.9±9.9</w:t>
            </w:r>
          </w:p>
        </w:tc>
      </w:tr>
      <w:tr w:rsidR="00791AC9" w:rsidRPr="00791AC9" w14:paraId="24783A17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BDF100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Male,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D38A94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254 (37.1)</w:t>
            </w:r>
          </w:p>
        </w:tc>
      </w:tr>
      <w:tr w:rsidR="00791AC9" w:rsidRPr="00791AC9" w14:paraId="515D103C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595488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TNM IA,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0CA68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529 (77.3)</w:t>
            </w:r>
          </w:p>
        </w:tc>
      </w:tr>
      <w:tr w:rsidR="00791AC9" w:rsidRPr="00791AC9" w14:paraId="44B92A83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44B86B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TNM IB,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3CCE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55 (8.0)</w:t>
            </w:r>
          </w:p>
        </w:tc>
      </w:tr>
      <w:tr w:rsidR="00791AC9" w:rsidRPr="00791AC9" w14:paraId="2DE4065B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A0C6F3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TNM IIA,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FD0635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13 (1.9)</w:t>
            </w:r>
          </w:p>
        </w:tc>
      </w:tr>
      <w:tr w:rsidR="00791AC9" w:rsidRPr="00791AC9" w14:paraId="0CC74CF6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D4A881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TNM IIB,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510F5E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34 (5.0)</w:t>
            </w:r>
          </w:p>
        </w:tc>
      </w:tr>
      <w:tr w:rsidR="00791AC9" w:rsidRPr="00791AC9" w14:paraId="044AB6EF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E03B9A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TNM IIIA,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5B72AA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15 (2.2)</w:t>
            </w:r>
          </w:p>
        </w:tc>
      </w:tr>
      <w:tr w:rsidR="00791AC9" w:rsidRPr="00791AC9" w14:paraId="1B55958B" w14:textId="77777777" w:rsidTr="005D5CFB">
        <w:trPr>
          <w:jc w:val="center"/>
        </w:trPr>
        <w:tc>
          <w:tcPr>
            <w:tcW w:w="288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5893C4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Recurrence, n (%)</w:t>
            </w:r>
          </w:p>
        </w:tc>
        <w:tc>
          <w:tcPr>
            <w:tcW w:w="216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298EB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231 (33.8)</w:t>
            </w:r>
          </w:p>
        </w:tc>
      </w:tr>
    </w:tbl>
    <w:p w14:paraId="3D56C7D8" w14:textId="77777777" w:rsidR="00791AC9" w:rsidRPr="00791AC9" w:rsidRDefault="00791AC9" w:rsidP="00791AC9">
      <w:pPr>
        <w:rPr>
          <w:rFonts w:asciiTheme="minorEastAsia" w:hAnsiTheme="minorEastAsia"/>
        </w:rPr>
      </w:pPr>
    </w:p>
    <w:p w14:paraId="453D74D9" w14:textId="77777777" w:rsidR="00791AC9" w:rsidRPr="007D4C8D" w:rsidRDefault="00791AC9" w:rsidP="00791AC9">
      <w:pPr>
        <w:pStyle w:val="2"/>
        <w:rPr>
          <w:rFonts w:asciiTheme="minorHAnsi" w:eastAsiaTheme="minorHAnsi" w:hAnsiTheme="minorHAnsi"/>
          <w:color w:val="auto"/>
          <w:sz w:val="24"/>
          <w:szCs w:val="24"/>
        </w:rPr>
      </w:pPr>
      <w:r w:rsidRPr="007D4C8D">
        <w:rPr>
          <w:rFonts w:asciiTheme="minorHAnsi" w:eastAsiaTheme="minorHAnsi" w:hAnsiTheme="minorHAnsi"/>
          <w:color w:val="auto"/>
          <w:sz w:val="24"/>
          <w:szCs w:val="24"/>
        </w:rPr>
        <w:t>Supplementary Table S2. Comparison of NLR, PLR, and SII for Recurrence Prediction</w:t>
      </w:r>
    </w:p>
    <w:p w14:paraId="61B87854" w14:textId="77777777" w:rsidR="00791AC9" w:rsidRPr="00791AC9" w:rsidRDefault="00791AC9" w:rsidP="00791AC9">
      <w:pPr>
        <w:rPr>
          <w:rFonts w:asciiTheme="minorEastAsia" w:hAnsiTheme="minorEastAsia"/>
        </w:rPr>
      </w:pPr>
      <w:r w:rsidRPr="00791AC9">
        <w:rPr>
          <w:rFonts w:asciiTheme="minorEastAsia" w:hAnsiTheme="minorEastAsia"/>
          <w:i/>
        </w:rPr>
        <w:t>N=1,132 patients with complete data for all three markers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152"/>
        <w:gridCol w:w="864"/>
        <w:gridCol w:w="1440"/>
        <w:gridCol w:w="1296"/>
        <w:gridCol w:w="1152"/>
        <w:gridCol w:w="1152"/>
      </w:tblGrid>
      <w:tr w:rsidR="00791AC9" w:rsidRPr="00791AC9" w14:paraId="4093997F" w14:textId="77777777" w:rsidTr="005D5CFB">
        <w:trPr>
          <w:jc w:val="center"/>
        </w:trPr>
        <w:tc>
          <w:tcPr>
            <w:tcW w:w="1152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CED2400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Marker</w:t>
            </w:r>
          </w:p>
        </w:tc>
        <w:tc>
          <w:tcPr>
            <w:tcW w:w="864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8B0D03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AUC</w:t>
            </w:r>
          </w:p>
        </w:tc>
        <w:tc>
          <w:tcPr>
            <w:tcW w:w="1440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7EED0D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95% CI</w:t>
            </w:r>
          </w:p>
        </w:tc>
        <w:tc>
          <w:tcPr>
            <w:tcW w:w="1296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58F811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Optimal Cutoff</w:t>
            </w:r>
          </w:p>
        </w:tc>
        <w:tc>
          <w:tcPr>
            <w:tcW w:w="1152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31970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Sensitivity</w:t>
            </w:r>
          </w:p>
        </w:tc>
        <w:tc>
          <w:tcPr>
            <w:tcW w:w="1152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E7C45EE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Specificity</w:t>
            </w:r>
          </w:p>
        </w:tc>
      </w:tr>
      <w:tr w:rsidR="00791AC9" w:rsidRPr="00791AC9" w14:paraId="1EACDACA" w14:textId="77777777" w:rsidTr="005D5CFB">
        <w:trPr>
          <w:jc w:val="center"/>
        </w:trPr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747566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NLR</w:t>
            </w:r>
          </w:p>
        </w:tc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C8C93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0.591</w:t>
            </w:r>
          </w:p>
        </w:tc>
        <w:tc>
          <w:tcPr>
            <w:tcW w:w="144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DBD989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0.547–0.635</w:t>
            </w:r>
          </w:p>
        </w:tc>
        <w:tc>
          <w:tcPr>
            <w:tcW w:w="12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352A19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2.34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9CC5F1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0.536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62859E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0.616</w:t>
            </w:r>
          </w:p>
        </w:tc>
      </w:tr>
      <w:tr w:rsidR="00791AC9" w:rsidRPr="00791AC9" w14:paraId="7EB6FE8E" w14:textId="77777777" w:rsidTr="005D5CFB">
        <w:trPr>
          <w:jc w:val="center"/>
        </w:trPr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52296F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PLR</w:t>
            </w:r>
          </w:p>
        </w:tc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0C6E0D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0.554</w:t>
            </w:r>
          </w:p>
        </w:tc>
        <w:tc>
          <w:tcPr>
            <w:tcW w:w="144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E6C3AF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0.508–0.598</w:t>
            </w:r>
          </w:p>
        </w:tc>
        <w:tc>
          <w:tcPr>
            <w:tcW w:w="12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EDFE0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135.98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37D45F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0.570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DB1B6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0.528</w:t>
            </w:r>
          </w:p>
        </w:tc>
      </w:tr>
      <w:tr w:rsidR="00791AC9" w:rsidRPr="00791AC9" w14:paraId="28D71B1B" w14:textId="77777777" w:rsidTr="005D5CFB">
        <w:trPr>
          <w:jc w:val="center"/>
        </w:trPr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D507A02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SII</w:t>
            </w:r>
          </w:p>
        </w:tc>
        <w:tc>
          <w:tcPr>
            <w:tcW w:w="864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65724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0.566</w:t>
            </w:r>
          </w:p>
        </w:tc>
        <w:tc>
          <w:tcPr>
            <w:tcW w:w="144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DDAF37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0.520–0.610</w:t>
            </w:r>
          </w:p>
        </w:tc>
        <w:tc>
          <w:tcPr>
            <w:tcW w:w="129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9784E8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433.76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D28D66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0.698</w:t>
            </w:r>
          </w:p>
        </w:tc>
        <w:tc>
          <w:tcPr>
            <w:tcW w:w="1152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876915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0.423</w:t>
            </w:r>
          </w:p>
        </w:tc>
      </w:tr>
    </w:tbl>
    <w:p w14:paraId="5F37916E" w14:textId="77777777" w:rsidR="00791AC9" w:rsidRPr="00791AC9" w:rsidRDefault="00791AC9" w:rsidP="00791AC9">
      <w:pPr>
        <w:rPr>
          <w:rFonts w:asciiTheme="minorEastAsia" w:hAnsiTheme="minorEastAsia"/>
        </w:rPr>
      </w:pPr>
    </w:p>
    <w:p w14:paraId="71D312C2" w14:textId="77777777" w:rsidR="00791AC9" w:rsidRPr="00791AC9" w:rsidRDefault="00791AC9" w:rsidP="00791AC9">
      <w:pPr>
        <w:spacing w:before="120" w:after="60"/>
        <w:rPr>
          <w:rFonts w:asciiTheme="minorEastAsia" w:hAnsiTheme="minorEastAsia"/>
        </w:rPr>
      </w:pPr>
      <w:r w:rsidRPr="00791AC9">
        <w:rPr>
          <w:rFonts w:asciiTheme="minorEastAsia" w:hAnsiTheme="minorEastAsia"/>
          <w:b/>
          <w:sz w:val="20"/>
        </w:rPr>
        <w:t>DeLong Test for AUC Comparisons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728"/>
        <w:gridCol w:w="1008"/>
        <w:gridCol w:w="1008"/>
      </w:tblGrid>
      <w:tr w:rsidR="00791AC9" w:rsidRPr="00791AC9" w14:paraId="5DF3AE8C" w14:textId="77777777" w:rsidTr="005D5CFB">
        <w:trPr>
          <w:jc w:val="center"/>
        </w:trPr>
        <w:tc>
          <w:tcPr>
            <w:tcW w:w="1728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838899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lastRenderedPageBreak/>
              <w:t>Comparison</w:t>
            </w:r>
          </w:p>
        </w:tc>
        <w:tc>
          <w:tcPr>
            <w:tcW w:w="1008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C339E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Z value</w:t>
            </w:r>
          </w:p>
        </w:tc>
        <w:tc>
          <w:tcPr>
            <w:tcW w:w="1008" w:type="dxa"/>
            <w:shd w:val="clear" w:color="auto" w:fill="D9E2F3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50CAB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b/>
                <w:sz w:val="18"/>
              </w:rPr>
              <w:t>P value</w:t>
            </w:r>
          </w:p>
        </w:tc>
      </w:tr>
      <w:tr w:rsidR="00791AC9" w:rsidRPr="00791AC9" w14:paraId="1AC17298" w14:textId="77777777" w:rsidTr="005D5CFB">
        <w:trPr>
          <w:jc w:val="center"/>
        </w:trPr>
        <w:tc>
          <w:tcPr>
            <w:tcW w:w="172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7C1410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NLR vs. PLR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1A9688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1.5744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0DCEC0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0.1154</w:t>
            </w:r>
          </w:p>
        </w:tc>
      </w:tr>
      <w:tr w:rsidR="00791AC9" w:rsidRPr="00791AC9" w14:paraId="6BD36937" w14:textId="77777777" w:rsidTr="005D5CFB">
        <w:trPr>
          <w:jc w:val="center"/>
        </w:trPr>
        <w:tc>
          <w:tcPr>
            <w:tcW w:w="172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55F8B4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NLR vs. SII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32CFCF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1.3716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5AF76F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0.1702</w:t>
            </w:r>
          </w:p>
        </w:tc>
      </w:tr>
      <w:tr w:rsidR="00791AC9" w:rsidRPr="00791AC9" w14:paraId="4A7AF292" w14:textId="77777777" w:rsidTr="005D5CFB">
        <w:trPr>
          <w:jc w:val="center"/>
        </w:trPr>
        <w:tc>
          <w:tcPr>
            <w:tcW w:w="172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8419E" w14:textId="77777777" w:rsidR="00791AC9" w:rsidRPr="00791AC9" w:rsidRDefault="00791AC9" w:rsidP="005D5CFB">
            <w:pPr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PLR vs. SII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A0DC3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-0.7108</w:t>
            </w:r>
          </w:p>
        </w:tc>
        <w:tc>
          <w:tcPr>
            <w:tcW w:w="10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D6EB0A1" w14:textId="77777777" w:rsidR="00791AC9" w:rsidRPr="00791AC9" w:rsidRDefault="00791AC9" w:rsidP="005D5CFB">
            <w:pPr>
              <w:jc w:val="center"/>
              <w:rPr>
                <w:rFonts w:asciiTheme="minorEastAsia" w:hAnsiTheme="minorEastAsia"/>
              </w:rPr>
            </w:pPr>
            <w:r w:rsidRPr="00791AC9">
              <w:rPr>
                <w:rFonts w:asciiTheme="minorEastAsia" w:hAnsiTheme="minorEastAsia"/>
                <w:sz w:val="18"/>
              </w:rPr>
              <w:t>0.4772</w:t>
            </w:r>
          </w:p>
        </w:tc>
      </w:tr>
    </w:tbl>
    <w:p w14:paraId="3FB392C5" w14:textId="77777777" w:rsidR="00791AC9" w:rsidRDefault="00791AC9" w:rsidP="00791AC9">
      <w:pPr>
        <w:rPr>
          <w:rFonts w:asciiTheme="minorHAnsi" w:eastAsiaTheme="minorHAnsi" w:hAnsiTheme="minorHAnsi"/>
          <w:sz w:val="32"/>
          <w:szCs w:val="28"/>
        </w:rPr>
      </w:pPr>
    </w:p>
    <w:p w14:paraId="45A78734" w14:textId="77777777" w:rsidR="00791AC9" w:rsidRDefault="00791AC9" w:rsidP="00791AC9">
      <w:pPr>
        <w:rPr>
          <w:rFonts w:asciiTheme="minorHAnsi" w:eastAsiaTheme="minorHAnsi" w:hAnsiTheme="minorHAnsi" w:hint="eastAsia"/>
          <w:sz w:val="32"/>
          <w:szCs w:val="28"/>
          <w:lang w:eastAsia="zh-CN"/>
        </w:rPr>
      </w:pPr>
    </w:p>
    <w:p w14:paraId="69B89C09" w14:textId="46FAAA2F" w:rsidR="00791AC9" w:rsidRPr="007D4C8D" w:rsidRDefault="00791AC9" w:rsidP="00791AC9">
      <w:pPr>
        <w:rPr>
          <w:rFonts w:asciiTheme="minorHAnsi" w:eastAsiaTheme="minorHAnsi" w:hAnsiTheme="minorHAnsi"/>
          <w:b/>
          <w:bCs/>
          <w:sz w:val="28"/>
          <w:szCs w:val="24"/>
        </w:rPr>
      </w:pPr>
      <w:r w:rsidRPr="007D4C8D">
        <w:rPr>
          <w:rFonts w:asciiTheme="minorHAnsi" w:eastAsiaTheme="minorHAnsi" w:hAnsiTheme="minorHAnsi"/>
          <w:b/>
          <w:bCs/>
          <w:sz w:val="28"/>
          <w:szCs w:val="24"/>
        </w:rPr>
        <w:t>Supplementary Figure</w:t>
      </w:r>
    </w:p>
    <w:p w14:paraId="0480C71F" w14:textId="77777777" w:rsidR="00791AC9" w:rsidRPr="00791AC9" w:rsidRDefault="00791AC9" w:rsidP="00791AC9">
      <w:pPr>
        <w:rPr>
          <w:rFonts w:asciiTheme="minorHAnsi" w:eastAsiaTheme="minorHAnsi" w:hAnsiTheme="minorHAnsi"/>
          <w:b/>
          <w:bCs/>
          <w:lang w:eastAsia="zh-CN"/>
        </w:rPr>
      </w:pPr>
      <w:r w:rsidRPr="00791AC9">
        <w:rPr>
          <w:rFonts w:asciiTheme="minorHAnsi" w:eastAsiaTheme="minorHAnsi" w:hAnsiTheme="minorHAnsi" w:hint="eastAsia"/>
          <w:b/>
          <w:bCs/>
          <w:lang w:eastAsia="zh-CN"/>
        </w:rPr>
        <w:t>FigureG1</w:t>
      </w:r>
    </w:p>
    <w:p w14:paraId="4EA3381C" w14:textId="0A4E9A44" w:rsidR="00791AC9" w:rsidRDefault="00791AC9" w:rsidP="00791AC9">
      <w:r w:rsidRPr="00791AC9">
        <w:t xml:space="preserve"> </w:t>
      </w:r>
      <w:r>
        <w:rPr>
          <w:noProof/>
        </w:rPr>
        <w:drawing>
          <wp:inline distT="0" distB="0" distL="0" distR="0" wp14:anchorId="7702CEE1" wp14:editId="53EEF98C">
            <wp:extent cx="4075158" cy="4414355"/>
            <wp:effectExtent l="0" t="0" r="1905" b="5715"/>
            <wp:docPr id="868808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158" cy="441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3C20F" w14:textId="053D9615" w:rsidR="00791AC9" w:rsidRPr="00791AC9" w:rsidRDefault="00791AC9" w:rsidP="00791AC9">
      <w:pPr>
        <w:rPr>
          <w:rFonts w:asciiTheme="minorHAnsi" w:eastAsiaTheme="minorHAnsi" w:hAnsiTheme="minorHAnsi"/>
          <w:b/>
          <w:bCs/>
          <w:lang w:eastAsia="zh-CN"/>
        </w:rPr>
      </w:pPr>
      <w:r w:rsidRPr="00791AC9">
        <w:rPr>
          <w:rFonts w:asciiTheme="minorHAnsi" w:eastAsiaTheme="minorHAnsi" w:hAnsiTheme="minorHAnsi" w:hint="eastAsia"/>
          <w:b/>
          <w:bCs/>
          <w:lang w:eastAsia="zh-CN"/>
        </w:rPr>
        <w:lastRenderedPageBreak/>
        <w:t>FigureG</w:t>
      </w:r>
      <w:r>
        <w:rPr>
          <w:rFonts w:asciiTheme="minorHAnsi" w:eastAsiaTheme="minorHAnsi" w:hAnsiTheme="minorHAnsi" w:hint="eastAsia"/>
          <w:b/>
          <w:bCs/>
          <w:lang w:eastAsia="zh-CN"/>
        </w:rPr>
        <w:t>2</w:t>
      </w:r>
    </w:p>
    <w:p w14:paraId="676F31F6" w14:textId="7DE8366E" w:rsidR="00791AC9" w:rsidRDefault="00791AC9" w:rsidP="00791AC9">
      <w:pPr>
        <w:rPr>
          <w:rFonts w:asciiTheme="minorHAnsi" w:eastAsiaTheme="minorHAnsi" w:hAnsiTheme="minorHAnsi"/>
          <w:sz w:val="32"/>
          <w:szCs w:val="28"/>
          <w:lang w:eastAsia="zh-CN"/>
        </w:rPr>
      </w:pPr>
      <w:r>
        <w:rPr>
          <w:noProof/>
        </w:rPr>
        <w:drawing>
          <wp:inline distT="0" distB="0" distL="0" distR="0" wp14:anchorId="4D9D0FCE" wp14:editId="195E5BA8">
            <wp:extent cx="4318000" cy="3060065"/>
            <wp:effectExtent l="0" t="0" r="6350" b="6985"/>
            <wp:docPr id="21032151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70F5A" w14:textId="16BA7535" w:rsidR="00791AC9" w:rsidRPr="00791AC9" w:rsidRDefault="00791AC9" w:rsidP="00791AC9">
      <w:pPr>
        <w:rPr>
          <w:rFonts w:asciiTheme="minorHAnsi" w:eastAsiaTheme="minorHAnsi" w:hAnsiTheme="minorHAnsi"/>
          <w:b/>
          <w:bCs/>
          <w:lang w:eastAsia="zh-CN"/>
        </w:rPr>
      </w:pPr>
      <w:r w:rsidRPr="00791AC9">
        <w:rPr>
          <w:rFonts w:asciiTheme="minorHAnsi" w:eastAsiaTheme="minorHAnsi" w:hAnsiTheme="minorHAnsi" w:hint="eastAsia"/>
          <w:b/>
          <w:bCs/>
          <w:lang w:eastAsia="zh-CN"/>
        </w:rPr>
        <w:t>FigureG</w:t>
      </w:r>
      <w:r>
        <w:rPr>
          <w:rFonts w:asciiTheme="minorHAnsi" w:eastAsiaTheme="minorHAnsi" w:hAnsiTheme="minorHAnsi" w:hint="eastAsia"/>
          <w:b/>
          <w:bCs/>
          <w:lang w:eastAsia="zh-CN"/>
        </w:rPr>
        <w:t>3</w:t>
      </w:r>
    </w:p>
    <w:p w14:paraId="6C66F7B9" w14:textId="2344BB7A" w:rsidR="00791AC9" w:rsidRDefault="00791AC9" w:rsidP="00791AC9">
      <w:pPr>
        <w:rPr>
          <w:rFonts w:asciiTheme="minorHAnsi" w:eastAsiaTheme="minorHAnsi" w:hAnsiTheme="minorHAnsi"/>
          <w:sz w:val="32"/>
          <w:szCs w:val="28"/>
          <w:lang w:eastAsia="zh-CN"/>
        </w:rPr>
      </w:pPr>
      <w:r>
        <w:rPr>
          <w:noProof/>
        </w:rPr>
        <w:drawing>
          <wp:inline distT="0" distB="0" distL="0" distR="0" wp14:anchorId="0AEBB963" wp14:editId="29B17EE8">
            <wp:extent cx="5761355" cy="3599180"/>
            <wp:effectExtent l="0" t="0" r="0" b="1270"/>
            <wp:docPr id="13460845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90B84" w14:textId="7C890A3E" w:rsidR="00791AC9" w:rsidRPr="00791AC9" w:rsidRDefault="00791AC9" w:rsidP="00791AC9">
      <w:pPr>
        <w:rPr>
          <w:rFonts w:asciiTheme="minorHAnsi" w:eastAsiaTheme="minorHAnsi" w:hAnsiTheme="minorHAnsi"/>
          <w:b/>
          <w:bCs/>
          <w:lang w:eastAsia="zh-CN"/>
        </w:rPr>
      </w:pPr>
      <w:r w:rsidRPr="00791AC9">
        <w:rPr>
          <w:rFonts w:asciiTheme="minorHAnsi" w:eastAsiaTheme="minorHAnsi" w:hAnsiTheme="minorHAnsi" w:hint="eastAsia"/>
          <w:b/>
          <w:bCs/>
          <w:lang w:eastAsia="zh-CN"/>
        </w:rPr>
        <w:lastRenderedPageBreak/>
        <w:t>FigureG</w:t>
      </w:r>
      <w:r>
        <w:rPr>
          <w:rFonts w:asciiTheme="minorHAnsi" w:eastAsiaTheme="minorHAnsi" w:hAnsiTheme="minorHAnsi" w:hint="eastAsia"/>
          <w:b/>
          <w:bCs/>
          <w:lang w:eastAsia="zh-CN"/>
        </w:rPr>
        <w:t>4</w:t>
      </w:r>
      <w:r w:rsidRPr="00791AC9">
        <w:t xml:space="preserve"> </w:t>
      </w:r>
      <w:r>
        <w:rPr>
          <w:noProof/>
        </w:rPr>
        <w:drawing>
          <wp:inline distT="0" distB="0" distL="0" distR="0" wp14:anchorId="4AEDC64D" wp14:editId="305AE289">
            <wp:extent cx="5761355" cy="3958590"/>
            <wp:effectExtent l="0" t="0" r="0" b="3810"/>
            <wp:docPr id="10111752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95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6B8B9" w14:textId="77777777" w:rsidR="00791AC9" w:rsidRPr="00791AC9" w:rsidRDefault="00791AC9" w:rsidP="00791AC9">
      <w:pPr>
        <w:rPr>
          <w:rFonts w:asciiTheme="minorHAnsi" w:eastAsiaTheme="minorHAnsi" w:hAnsiTheme="minorHAnsi" w:hint="eastAsia"/>
          <w:sz w:val="32"/>
          <w:szCs w:val="28"/>
          <w:lang w:eastAsia="zh-CN"/>
        </w:rPr>
      </w:pPr>
    </w:p>
    <w:p w14:paraId="6A46ECAB" w14:textId="77777777" w:rsidR="00791AC9" w:rsidRPr="007D4C8D" w:rsidRDefault="00791AC9" w:rsidP="00791AC9">
      <w:pPr>
        <w:pStyle w:val="2"/>
        <w:rPr>
          <w:rFonts w:asciiTheme="minorHAnsi" w:eastAsiaTheme="minorHAnsi" w:hAnsiTheme="minorHAnsi"/>
          <w:b/>
          <w:bCs/>
          <w:color w:val="auto"/>
          <w:sz w:val="28"/>
          <w:szCs w:val="28"/>
        </w:rPr>
      </w:pPr>
      <w:r w:rsidRPr="007D4C8D">
        <w:rPr>
          <w:rFonts w:asciiTheme="minorHAnsi" w:eastAsiaTheme="minorHAnsi" w:hAnsiTheme="minorHAnsi"/>
          <w:b/>
          <w:bCs/>
          <w:color w:val="auto"/>
          <w:sz w:val="28"/>
          <w:szCs w:val="28"/>
        </w:rPr>
        <w:t>Supplementary Figure Legends</w:t>
      </w:r>
    </w:p>
    <w:p w14:paraId="3DF24F70" w14:textId="77777777" w:rsidR="00791AC9" w:rsidRPr="007D4C8D" w:rsidRDefault="00791AC9" w:rsidP="00791AC9">
      <w:pPr>
        <w:spacing w:before="80" w:after="80"/>
        <w:rPr>
          <w:rFonts w:asciiTheme="minorHAnsi" w:eastAsiaTheme="minorHAnsi" w:hAnsiTheme="minorHAnsi"/>
          <w:iCs/>
        </w:rPr>
      </w:pPr>
      <w:r w:rsidRPr="007D4C8D">
        <w:rPr>
          <w:rFonts w:asciiTheme="minorHAnsi" w:eastAsiaTheme="minorHAnsi" w:hAnsiTheme="minorHAnsi"/>
          <w:iCs/>
          <w:sz w:val="20"/>
        </w:rPr>
        <w:t>Figure G1. EGFR-mutant subgroup analysis. Kaplan-Meier curves for high vs. low NLR (median split) within the EGFR-mutant population (n=438).</w:t>
      </w:r>
    </w:p>
    <w:p w14:paraId="13DE4412" w14:textId="77777777" w:rsidR="00791AC9" w:rsidRPr="007D4C8D" w:rsidRDefault="00791AC9" w:rsidP="00791AC9">
      <w:pPr>
        <w:spacing w:before="80" w:after="80"/>
        <w:rPr>
          <w:rFonts w:asciiTheme="minorHAnsi" w:eastAsiaTheme="minorHAnsi" w:hAnsiTheme="minorHAnsi"/>
          <w:iCs/>
        </w:rPr>
      </w:pPr>
      <w:r w:rsidRPr="007D4C8D">
        <w:rPr>
          <w:rFonts w:asciiTheme="minorHAnsi" w:eastAsiaTheme="minorHAnsi" w:hAnsiTheme="minorHAnsi"/>
          <w:iCs/>
          <w:sz w:val="20"/>
        </w:rPr>
        <w:t>Figure G2. Recurrence rate by gene mutation group. Bar chart showing EGFR (32.6%), KRAS (32.7%), ALK (44.4%), and tested wildtype (28.6%).</w:t>
      </w:r>
    </w:p>
    <w:p w14:paraId="50E62BD9" w14:textId="77777777" w:rsidR="00791AC9" w:rsidRPr="007D4C8D" w:rsidRDefault="00791AC9" w:rsidP="00791AC9">
      <w:pPr>
        <w:spacing w:before="80" w:after="80"/>
        <w:rPr>
          <w:rFonts w:asciiTheme="minorHAnsi" w:eastAsiaTheme="minorHAnsi" w:hAnsiTheme="minorHAnsi"/>
          <w:iCs/>
        </w:rPr>
      </w:pPr>
      <w:r w:rsidRPr="007D4C8D">
        <w:rPr>
          <w:rFonts w:asciiTheme="minorHAnsi" w:eastAsiaTheme="minorHAnsi" w:hAnsiTheme="minorHAnsi"/>
          <w:iCs/>
          <w:sz w:val="20"/>
        </w:rPr>
        <w:t>Figure G3. NLR hazard ratio across gene subgroups. Forest plot showing adjusted HR (95% CI) for NLR in each subgroup.</w:t>
      </w:r>
    </w:p>
    <w:p w14:paraId="292CFE59" w14:textId="77777777" w:rsidR="00791AC9" w:rsidRPr="007D4C8D" w:rsidRDefault="00791AC9" w:rsidP="00791AC9">
      <w:pPr>
        <w:spacing w:before="80" w:after="80"/>
        <w:rPr>
          <w:rFonts w:asciiTheme="minorHAnsi" w:eastAsiaTheme="minorHAnsi" w:hAnsiTheme="minorHAnsi"/>
          <w:iCs/>
        </w:rPr>
      </w:pPr>
      <w:r w:rsidRPr="007D4C8D">
        <w:rPr>
          <w:rFonts w:asciiTheme="minorHAnsi" w:eastAsiaTheme="minorHAnsi" w:hAnsiTheme="minorHAnsi"/>
          <w:iCs/>
          <w:sz w:val="20"/>
        </w:rPr>
        <w:lastRenderedPageBreak/>
        <w:t>Figure G4. EGFR subtype analysis. (A) Recurrence rate comparison: 19-Del (36.2%) vs. L858R (28.7%). (B) Kaplan-Meier curves by EGFR subtype.</w:t>
      </w:r>
    </w:p>
    <w:p w14:paraId="2ACD4794" w14:textId="4C1FBE42" w:rsidR="00E15092" w:rsidRPr="00791AC9" w:rsidRDefault="00E15092">
      <w:pPr>
        <w:rPr>
          <w:rFonts w:asciiTheme="minorEastAsia" w:hAnsiTheme="minorEastAsia"/>
        </w:rPr>
      </w:pPr>
    </w:p>
    <w:sectPr w:rsidR="00E15092" w:rsidRPr="00791AC9" w:rsidSect="00791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A7308" w14:textId="77777777" w:rsidR="00607B0B" w:rsidRDefault="00607B0B" w:rsidP="00791AC9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C0EA3F6" w14:textId="77777777" w:rsidR="00607B0B" w:rsidRDefault="00607B0B" w:rsidP="00791AC9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F384" w14:textId="77777777" w:rsidR="00607B0B" w:rsidRDefault="00607B0B" w:rsidP="00791AC9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45267901" w14:textId="77777777" w:rsidR="00607B0B" w:rsidRDefault="00607B0B" w:rsidP="00791AC9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92"/>
    <w:rsid w:val="00607B0B"/>
    <w:rsid w:val="00791AC9"/>
    <w:rsid w:val="007D4C8D"/>
    <w:rsid w:val="00D472DC"/>
    <w:rsid w:val="00E1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19E3A"/>
  <w15:chartTrackingRefBased/>
  <w15:docId w15:val="{619EFEC5-94DE-4866-B0AB-D23C977D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AC9"/>
    <w:pPr>
      <w:spacing w:after="0" w:line="48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5092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E15092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092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092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092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2F5496" w:themeColor="accent1" w:themeShade="BF"/>
      <w:kern w:val="2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092"/>
    <w:pPr>
      <w:keepNext/>
      <w:keepLines/>
      <w:widowControl w:val="0"/>
      <w:spacing w:before="40" w:line="278" w:lineRule="auto"/>
      <w:outlineLvl w:val="5"/>
    </w:pPr>
    <w:rPr>
      <w:rFonts w:asciiTheme="minorHAnsi" w:hAnsiTheme="minorHAnsi" w:cstheme="majorBidi"/>
      <w:b/>
      <w:bCs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092"/>
    <w:pPr>
      <w:keepNext/>
      <w:keepLines/>
      <w:widowControl w:val="0"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092"/>
    <w:pPr>
      <w:keepNext/>
      <w:keepLines/>
      <w:widowControl w:val="0"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092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09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E150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50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509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509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1509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509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509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509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509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15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092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150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5092"/>
    <w:pPr>
      <w:widowControl w:val="0"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150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5092"/>
    <w:pPr>
      <w:widowControl w:val="0"/>
      <w:spacing w:after="160" w:line="278" w:lineRule="auto"/>
      <w:ind w:left="720"/>
      <w:contextualSpacing/>
    </w:pPr>
    <w:rPr>
      <w:rFonts w:asciiTheme="minorHAnsi" w:hAnsiTheme="minorHAnsi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E150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509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150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1509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1AC9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asciiTheme="minorHAnsi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91A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91AC9"/>
    <w:pPr>
      <w:widowControl w:val="0"/>
      <w:tabs>
        <w:tab w:val="center" w:pos="4153"/>
        <w:tab w:val="right" w:pos="8306"/>
      </w:tabs>
      <w:snapToGrid w:val="0"/>
      <w:spacing w:after="160" w:line="240" w:lineRule="auto"/>
    </w:pPr>
    <w:rPr>
      <w:rFonts w:asciiTheme="minorHAnsi" w:hAnsiTheme="minorHAnsi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91AC9"/>
    <w:rPr>
      <w:sz w:val="18"/>
      <w:szCs w:val="18"/>
    </w:rPr>
  </w:style>
  <w:style w:type="table" w:styleId="af2">
    <w:name w:val="Table Grid"/>
    <w:basedOn w:val="a1"/>
    <w:uiPriority w:val="59"/>
    <w:rsid w:val="00791AC9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205</Words>
  <Characters>1231</Characters>
  <Application>Microsoft Office Word</Application>
  <DocSecurity>0</DocSecurity>
  <Lines>32</Lines>
  <Paragraphs>19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shang liu</dc:creator>
  <cp:keywords/>
  <dc:description/>
  <cp:lastModifiedBy>shang liu</cp:lastModifiedBy>
  <cp:revision>3</cp:revision>
  <dcterms:created xsi:type="dcterms:W3CDTF">2026-06-29T11:29:00Z</dcterms:created>
  <dcterms:modified xsi:type="dcterms:W3CDTF">2026-06-29T11:34:00Z</dcterms:modified>
</cp:coreProperties>
</file>