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4F5847">
      <w:pP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auto"/>
          <w:kern w:val="2"/>
          <w:sz w:val="21"/>
          <w:szCs w:val="22"/>
          <w:highlight w:val="none"/>
          <w:vertAlign w:val="baseline"/>
          <w:lang w:val="en-US" w:eastAsia="zh-CN" w:bidi="ar-SA"/>
        </w:rPr>
      </w:pPr>
      <w:bookmarkStart w:id="0" w:name="_GoBack"/>
      <w:bookmarkEnd w:id="0"/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auto"/>
          <w:kern w:val="2"/>
          <w:sz w:val="21"/>
          <w:szCs w:val="22"/>
          <w:highlight w:val="none"/>
          <w:vertAlign w:val="baseline"/>
          <w:lang w:val="en-US" w:eastAsia="zh-CN" w:bidi="ar-SA"/>
        </w:rPr>
        <w:t>Figure 1.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auto"/>
          <w:kern w:val="2"/>
          <w:sz w:val="21"/>
          <w:szCs w:val="22"/>
          <w:highlight w:val="none"/>
          <w:vertAlign w:val="baseline"/>
          <w:lang w:val="en-US" w:eastAsia="zh-CN" w:bidi="ar-SA"/>
        </w:rPr>
        <w:t xml:space="preserve"> Pathogen genome coverage maps of the virus-positive patients. (A) P3; (B) P5; (C) P9; (D) P10; (E) P11; (F, G) P12; (H) P13.</w:t>
      </w:r>
    </w:p>
    <w:p w14:paraId="B22FC3AF">
      <w:pPr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drawing>
          <wp:inline distT="0" distB="0" distL="114300" distR="114300">
            <wp:extent cx="5273675" cy="5273675"/>
            <wp:effectExtent l="0" t="0" r="14605" b="14605"/>
            <wp:docPr id="1" name="图片 1" descr="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527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F8F35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4D0A4254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72304EB2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2ACC7D0A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517C7108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7502CBA6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08BB27CA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34E1AD36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427259D6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21CB03A1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3A77360A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338575CB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3D9F4CB5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37379A55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7A451E2E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000562B6">
      <w:pPr>
        <w:rPr>
          <w:rFonts w:hint="eastAsia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Table S1:</w:t>
      </w:r>
      <w:r>
        <w:rPr>
          <w:rFonts w:hint="default" w:ascii="Times New Roman" w:hAnsi="Times New Roman" w:cs="Times New Roman"/>
          <w:lang w:val="en-US" w:eastAsia="zh-CN"/>
        </w:rPr>
        <w:t xml:space="preserve"> Compliance with criteria for determining clinical relevance in virus-positive patients.</w:t>
      </w:r>
    </w:p>
    <w:tbl>
      <w:tblPr>
        <w:tblStyle w:val="3"/>
        <w:tblW w:w="1066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4"/>
        <w:gridCol w:w="1167"/>
        <w:gridCol w:w="2597"/>
        <w:gridCol w:w="3039"/>
        <w:gridCol w:w="1385"/>
        <w:gridCol w:w="1576"/>
      </w:tblGrid>
      <w:tr w14:paraId="78405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904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FD67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Patient</w:t>
            </w:r>
            <w:r>
              <w:rPr>
                <w:rFonts w:hint="eastAsia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 no.</w:t>
            </w:r>
          </w:p>
        </w:tc>
        <w:tc>
          <w:tcPr>
            <w:tcW w:w="116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BC0D8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ISPD peritonitis</w:t>
            </w:r>
          </w:p>
        </w:tc>
        <w:tc>
          <w:tcPr>
            <w:tcW w:w="259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36F7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Routine microbiology</w:t>
            </w:r>
          </w:p>
        </w:tc>
        <w:tc>
          <w:tcPr>
            <w:tcW w:w="3039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6C068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hc-tNGS</w:t>
            </w:r>
            <w:r>
              <w:rPr>
                <w:rFonts w:hint="eastAsia" w:ascii="Times New Roman" w:hAnsi="Times New Roman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findings</w:t>
            </w:r>
          </w:p>
          <w:p w14:paraId="6D5281C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(</w:t>
            </w:r>
            <w:r>
              <w:rPr>
                <w:rFonts w:hint="eastAsia" w:ascii="Times New Roman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Sequence number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,</w:t>
            </w:r>
            <w:r>
              <w:rPr>
                <w:rFonts w:hint="eastAsia" w:ascii="Times New Roman" w:hAnsi="Times New Roman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宋体" w:eastAsia="宋体" w:cs="宋体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relative abundance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)</w:t>
            </w:r>
          </w:p>
        </w:tc>
        <w:tc>
          <w:tcPr>
            <w:tcW w:w="1385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324AF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Response to antiviral therapy</w:t>
            </w:r>
          </w:p>
        </w:tc>
        <w:tc>
          <w:tcPr>
            <w:tcW w:w="157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C9A1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Final interpretation</w:t>
            </w:r>
          </w:p>
        </w:tc>
      </w:tr>
      <w:tr w14:paraId="372E4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0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440C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116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8F0B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Times New Roman" w:hAnsi="Segoe UI" w:eastAsia="宋体" w:cs="Segoe UI"/>
                <w:i w:val="0"/>
                <w:iCs w:val="0"/>
                <w:color w:val="3C3C58"/>
                <w:sz w:val="21"/>
                <w:szCs w:val="21"/>
                <w:u w:val="none"/>
              </w:rPr>
            </w:pPr>
            <w:r>
              <w:rPr>
                <w:rFonts w:hint="default" w:ascii="Times New Roman" w:hAnsi="Segoe UI" w:eastAsia="宋体" w:cs="Segoe UI"/>
                <w:i w:val="0"/>
                <w:iCs w:val="0"/>
                <w:color w:val="3C3C58"/>
                <w:kern w:val="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W w:w="259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BFFFB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  <w:t>Culture negative</w:t>
            </w:r>
          </w:p>
        </w:tc>
        <w:tc>
          <w:tcPr>
            <w:tcW w:w="303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A96F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CMV (65, 100%)</w:t>
            </w:r>
          </w:p>
        </w:tc>
        <w:tc>
          <w:tcPr>
            <w:tcW w:w="138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C3AC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Segoe UI" w:eastAsia="宋体" w:cs="Segoe UI"/>
                <w:i w:val="0"/>
                <w:iCs w:val="0"/>
                <w:color w:val="3C3C58"/>
                <w:sz w:val="21"/>
                <w:szCs w:val="21"/>
                <w:u w:val="none"/>
              </w:rPr>
            </w:pPr>
            <w:r>
              <w:rPr>
                <w:rFonts w:hint="default" w:ascii="Times New Roman" w:hAnsi="Segoe UI" w:eastAsia="宋体" w:cs="Segoe UI"/>
                <w:i w:val="0"/>
                <w:iCs w:val="0"/>
                <w:color w:val="3C3C58"/>
                <w:kern w:val="0"/>
                <w:sz w:val="21"/>
                <w:szCs w:val="21"/>
                <w:u w:val="none"/>
                <w:lang w:val="en-US" w:eastAsia="zh-CN"/>
              </w:rPr>
              <w:t>Clinical remission</w:t>
            </w:r>
          </w:p>
        </w:tc>
        <w:tc>
          <w:tcPr>
            <w:tcW w:w="157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C6E69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Segoe UI" w:eastAsia="宋体" w:cs="Segoe UI"/>
                <w:i w:val="0"/>
                <w:iCs w:val="0"/>
                <w:color w:val="3C3C58"/>
                <w:sz w:val="21"/>
                <w:szCs w:val="21"/>
                <w:u w:val="none"/>
              </w:rPr>
            </w:pPr>
            <w:r>
              <w:rPr>
                <w:rFonts w:hint="default" w:ascii="Times New Roman" w:hAnsi="Segoe UI" w:eastAsia="宋体" w:cs="Segoe UI"/>
                <w:i w:val="0"/>
                <w:iCs w:val="0"/>
                <w:color w:val="3C3C58"/>
                <w:kern w:val="0"/>
                <w:sz w:val="21"/>
                <w:szCs w:val="21"/>
                <w:u w:val="none"/>
                <w:lang w:val="en-US" w:eastAsia="zh-CN"/>
              </w:rPr>
              <w:t>Fulfilled</w:t>
            </w:r>
          </w:p>
        </w:tc>
      </w:tr>
      <w:tr w14:paraId="48F97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3E63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4763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Segoe UI" w:eastAsia="宋体" w:cs="Segoe UI"/>
                <w:i w:val="0"/>
                <w:iCs w:val="0"/>
                <w:color w:val="3C3C58"/>
                <w:sz w:val="21"/>
                <w:szCs w:val="21"/>
                <w:u w:val="none"/>
              </w:rPr>
            </w:pPr>
            <w:r>
              <w:rPr>
                <w:rFonts w:hint="default" w:ascii="Times New Roman" w:hAnsi="Segoe UI" w:eastAsia="宋体" w:cs="Segoe UI"/>
                <w:i w:val="0"/>
                <w:iCs w:val="0"/>
                <w:color w:val="3C3C58"/>
                <w:kern w:val="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65308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Poor response to antibiotics（Refractory peritonitis）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8BA93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EBV (244, 100%)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18F0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Segoe UI" w:eastAsia="宋体" w:cs="Segoe UI"/>
                <w:i w:val="0"/>
                <w:iCs w:val="0"/>
                <w:color w:val="3C3C58"/>
                <w:sz w:val="21"/>
                <w:szCs w:val="21"/>
                <w:u w:val="none"/>
              </w:rPr>
            </w:pPr>
            <w:r>
              <w:rPr>
                <w:rFonts w:hint="default" w:ascii="Times New Roman" w:hAnsi="Segoe UI" w:eastAsia="宋体" w:cs="Segoe UI"/>
                <w:i w:val="0"/>
                <w:iCs w:val="0"/>
                <w:color w:val="3C3C58"/>
                <w:kern w:val="0"/>
                <w:sz w:val="21"/>
                <w:szCs w:val="21"/>
                <w:u w:val="none"/>
                <w:lang w:val="en-US" w:eastAsia="zh-CN"/>
              </w:rPr>
              <w:t>Clinical remission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F7FC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Segoe UI" w:eastAsia="宋体" w:cs="Segoe UI"/>
                <w:i w:val="0"/>
                <w:iCs w:val="0"/>
                <w:color w:val="3C3C58"/>
                <w:sz w:val="21"/>
                <w:szCs w:val="21"/>
                <w:u w:val="none"/>
              </w:rPr>
            </w:pPr>
            <w:r>
              <w:rPr>
                <w:rFonts w:hint="default" w:ascii="Times New Roman" w:hAnsi="Segoe UI" w:eastAsia="宋体" w:cs="Segoe UI"/>
                <w:i w:val="0"/>
                <w:iCs w:val="0"/>
                <w:color w:val="3C3C58"/>
                <w:kern w:val="0"/>
                <w:sz w:val="21"/>
                <w:szCs w:val="21"/>
                <w:u w:val="none"/>
                <w:lang w:val="en-US" w:eastAsia="zh-CN"/>
              </w:rPr>
              <w:t>Fulfilled</w:t>
            </w:r>
          </w:p>
        </w:tc>
      </w:tr>
      <w:tr w14:paraId="10BE3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DC67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FE913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Segoe UI" w:eastAsia="宋体" w:cs="Segoe UI"/>
                <w:i w:val="0"/>
                <w:iCs w:val="0"/>
                <w:color w:val="3C3C58"/>
                <w:sz w:val="21"/>
                <w:szCs w:val="21"/>
                <w:u w:val="none"/>
              </w:rPr>
            </w:pPr>
            <w:r>
              <w:rPr>
                <w:rFonts w:hint="default" w:ascii="Times New Roman" w:hAnsi="Segoe UI" w:eastAsia="宋体" w:cs="Segoe UI"/>
                <w:i w:val="0"/>
                <w:iCs w:val="0"/>
                <w:color w:val="3C3C58"/>
                <w:kern w:val="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10391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  <w:t>Culture negative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472D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EBV (510, 98.01%)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3C3F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Segoe UI" w:eastAsia="宋体" w:cs="Segoe UI"/>
                <w:i w:val="0"/>
                <w:iCs w:val="0"/>
                <w:color w:val="3C3C58"/>
                <w:sz w:val="21"/>
                <w:szCs w:val="21"/>
                <w:u w:val="none"/>
              </w:rPr>
            </w:pPr>
            <w:r>
              <w:rPr>
                <w:rFonts w:hint="default" w:ascii="Times New Roman" w:hAnsi="Segoe UI" w:eastAsia="宋体" w:cs="Segoe UI"/>
                <w:i w:val="0"/>
                <w:iCs w:val="0"/>
                <w:color w:val="3C3C58"/>
                <w:kern w:val="0"/>
                <w:sz w:val="21"/>
                <w:szCs w:val="21"/>
                <w:u w:val="none"/>
                <w:lang w:val="en-US" w:eastAsia="zh-CN"/>
              </w:rPr>
              <w:t>Clinical remission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C8B1B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Segoe UI" w:eastAsia="宋体" w:cs="Segoe UI"/>
                <w:i w:val="0"/>
                <w:iCs w:val="0"/>
                <w:color w:val="3C3C58"/>
                <w:sz w:val="21"/>
                <w:szCs w:val="21"/>
                <w:u w:val="none"/>
              </w:rPr>
            </w:pPr>
            <w:r>
              <w:rPr>
                <w:rFonts w:hint="default" w:ascii="Times New Roman" w:hAnsi="Segoe UI" w:eastAsia="宋体" w:cs="Segoe UI"/>
                <w:i w:val="0"/>
                <w:iCs w:val="0"/>
                <w:color w:val="3C3C58"/>
                <w:kern w:val="0"/>
                <w:sz w:val="21"/>
                <w:szCs w:val="21"/>
                <w:u w:val="none"/>
                <w:lang w:val="en-US" w:eastAsia="zh-CN"/>
              </w:rPr>
              <w:t>Fulfilled</w:t>
            </w:r>
          </w:p>
        </w:tc>
      </w:tr>
      <w:tr w14:paraId="7C81B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2E3D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BC18C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Segoe UI" w:eastAsia="宋体" w:cs="Segoe UI"/>
                <w:i w:val="0"/>
                <w:iCs w:val="0"/>
                <w:color w:val="3C3C58"/>
                <w:sz w:val="21"/>
                <w:szCs w:val="21"/>
                <w:u w:val="none"/>
              </w:rPr>
            </w:pPr>
            <w:r>
              <w:rPr>
                <w:rFonts w:hint="default" w:ascii="Times New Roman" w:hAnsi="Segoe UI" w:eastAsia="宋体" w:cs="Segoe UI"/>
                <w:i w:val="0"/>
                <w:iCs w:val="0"/>
                <w:color w:val="3C3C58"/>
                <w:kern w:val="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13A2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Poor response to antibiotics（Refractory peritonitis）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CF9A6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HHV-7 (375, 89.27%)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BAE4B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Segoe UI" w:eastAsia="宋体" w:cs="Segoe UI"/>
                <w:i w:val="0"/>
                <w:iCs w:val="0"/>
                <w:color w:val="3C3C58"/>
                <w:sz w:val="21"/>
                <w:szCs w:val="21"/>
                <w:u w:val="none"/>
              </w:rPr>
            </w:pPr>
            <w:r>
              <w:rPr>
                <w:rFonts w:hint="default" w:ascii="Times New Roman" w:hAnsi="Segoe UI" w:eastAsia="宋体" w:cs="Segoe UI"/>
                <w:i w:val="0"/>
                <w:iCs w:val="0"/>
                <w:color w:val="3C3C58"/>
                <w:kern w:val="0"/>
                <w:sz w:val="21"/>
                <w:szCs w:val="21"/>
                <w:u w:val="none"/>
                <w:lang w:val="en-US" w:eastAsia="zh-CN"/>
              </w:rPr>
              <w:t>Clinical remission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0B44B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Segoe UI" w:eastAsia="宋体" w:cs="Segoe UI"/>
                <w:i w:val="0"/>
                <w:iCs w:val="0"/>
                <w:color w:val="3C3C58"/>
                <w:sz w:val="21"/>
                <w:szCs w:val="21"/>
                <w:u w:val="none"/>
              </w:rPr>
            </w:pPr>
            <w:r>
              <w:rPr>
                <w:rFonts w:hint="default" w:ascii="Times New Roman" w:hAnsi="Segoe UI" w:eastAsia="宋体" w:cs="Segoe UI"/>
                <w:i w:val="0"/>
                <w:iCs w:val="0"/>
                <w:color w:val="3C3C58"/>
                <w:kern w:val="0"/>
                <w:sz w:val="21"/>
                <w:szCs w:val="21"/>
                <w:u w:val="none"/>
                <w:lang w:val="en-US" w:eastAsia="zh-CN"/>
              </w:rPr>
              <w:t>Fulfilled</w:t>
            </w:r>
          </w:p>
        </w:tc>
      </w:tr>
      <w:tr w14:paraId="5F64A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414FA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11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7A24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Segoe UI" w:eastAsia="宋体" w:cs="Segoe UI"/>
                <w:i w:val="0"/>
                <w:iCs w:val="0"/>
                <w:color w:val="3C3C58"/>
                <w:sz w:val="21"/>
                <w:szCs w:val="21"/>
                <w:u w:val="none"/>
              </w:rPr>
            </w:pPr>
            <w:r>
              <w:rPr>
                <w:rFonts w:hint="default" w:ascii="Times New Roman" w:hAnsi="Segoe UI" w:eastAsia="宋体" w:cs="Segoe UI"/>
                <w:i w:val="0"/>
                <w:iCs w:val="0"/>
                <w:color w:val="3C3C58"/>
                <w:kern w:val="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51C7D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Poor response to antibiotics（Relapsing peritonitis）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537A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HHV-6B dominant (67707, 99%)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, Escherichia coli (401, 30.98%)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6C35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Segoe UI" w:eastAsia="宋体" w:cs="Segoe UI"/>
                <w:i w:val="0"/>
                <w:iCs w:val="0"/>
                <w:color w:val="3C3C58"/>
                <w:sz w:val="21"/>
                <w:szCs w:val="21"/>
                <w:u w:val="none"/>
              </w:rPr>
            </w:pPr>
            <w:r>
              <w:rPr>
                <w:rFonts w:hint="default" w:ascii="Times New Roman" w:hAnsi="Segoe UI" w:eastAsia="宋体" w:cs="Segoe UI"/>
                <w:i w:val="0"/>
                <w:iCs w:val="0"/>
                <w:color w:val="3C3C58"/>
                <w:kern w:val="0"/>
                <w:sz w:val="21"/>
                <w:szCs w:val="21"/>
                <w:u w:val="none"/>
                <w:lang w:val="en-US" w:eastAsia="zh-CN"/>
              </w:rPr>
              <w:t>Clinical remission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B07D0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Segoe UI" w:eastAsia="宋体" w:cs="Segoe UI"/>
                <w:i w:val="0"/>
                <w:iCs w:val="0"/>
                <w:color w:val="3C3C58"/>
                <w:sz w:val="21"/>
                <w:szCs w:val="21"/>
                <w:u w:val="none"/>
              </w:rPr>
            </w:pPr>
            <w:r>
              <w:rPr>
                <w:rFonts w:hint="default" w:ascii="Times New Roman" w:hAnsi="Segoe UI" w:eastAsia="宋体" w:cs="Segoe UI"/>
                <w:i w:val="0"/>
                <w:iCs w:val="0"/>
                <w:color w:val="3C3C58"/>
                <w:kern w:val="0"/>
                <w:sz w:val="21"/>
                <w:szCs w:val="21"/>
                <w:u w:val="none"/>
                <w:lang w:val="en-US" w:eastAsia="zh-CN"/>
              </w:rPr>
              <w:t>Fulfilled</w:t>
            </w:r>
          </w:p>
        </w:tc>
      </w:tr>
      <w:tr w14:paraId="11DE9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AFA81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32A2F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Segoe UI" w:eastAsia="宋体" w:cs="Segoe UI"/>
                <w:i w:val="0"/>
                <w:iCs w:val="0"/>
                <w:color w:val="3C3C58"/>
                <w:sz w:val="21"/>
                <w:szCs w:val="21"/>
                <w:u w:val="none"/>
              </w:rPr>
            </w:pPr>
            <w:r>
              <w:rPr>
                <w:rFonts w:hint="default" w:ascii="Times New Roman" w:hAnsi="Segoe UI" w:eastAsia="宋体" w:cs="Segoe UI"/>
                <w:i w:val="0"/>
                <w:iCs w:val="0"/>
                <w:color w:val="3C3C58"/>
                <w:kern w:val="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DB10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  <w:t>Culture negative</w:t>
            </w: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A6B2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Corynebacterium lipophiloflavum dominant (21686, 80.89%)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, EBV (20, 53%), CMV (16, 42%)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BAB7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Remission without antiviral treatment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1F39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Segoe UI" w:eastAsia="宋体" w:cs="Segoe UI"/>
                <w:i w:val="0"/>
                <w:iCs w:val="0"/>
                <w:color w:val="3C3C58"/>
                <w:sz w:val="21"/>
                <w:szCs w:val="21"/>
                <w:u w:val="none"/>
              </w:rPr>
            </w:pPr>
            <w:r>
              <w:rPr>
                <w:rFonts w:hint="default" w:ascii="Times New Roman" w:hAnsi="Segoe UI" w:eastAsia="宋体" w:cs="Segoe UI"/>
                <w:i w:val="0"/>
                <w:iCs w:val="0"/>
                <w:color w:val="3C3C58"/>
                <w:kern w:val="0"/>
                <w:sz w:val="21"/>
                <w:szCs w:val="21"/>
                <w:u w:val="none"/>
                <w:lang w:val="en-US" w:eastAsia="zh-CN"/>
              </w:rPr>
              <w:t>Unfulfilled</w:t>
            </w:r>
          </w:p>
        </w:tc>
      </w:tr>
      <w:tr w14:paraId="2227D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0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19E0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13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B9DEF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Segoe UI" w:eastAsia="宋体" w:cs="Segoe UI"/>
                <w:i w:val="0"/>
                <w:iCs w:val="0"/>
                <w:color w:val="3C3C58"/>
                <w:sz w:val="21"/>
                <w:szCs w:val="21"/>
                <w:u w:val="none"/>
              </w:rPr>
            </w:pPr>
            <w:r>
              <w:rPr>
                <w:rFonts w:hint="default" w:ascii="Times New Roman" w:hAnsi="Segoe UI" w:eastAsia="宋体" w:cs="Segoe UI"/>
                <w:i w:val="0"/>
                <w:iCs w:val="0"/>
                <w:color w:val="3C3C58"/>
                <w:kern w:val="0"/>
                <w:sz w:val="21"/>
                <w:szCs w:val="21"/>
                <w:u w:val="none"/>
                <w:lang w:val="en-US" w:eastAsia="zh-CN"/>
              </w:rPr>
              <w:t>Yes</w:t>
            </w:r>
          </w:p>
        </w:tc>
        <w:tc>
          <w:tcPr>
            <w:tcW w:w="259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B4982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Poor response to antibiotics（Relapsing peritonitis）</w:t>
            </w:r>
          </w:p>
        </w:tc>
        <w:tc>
          <w:tcPr>
            <w:tcW w:w="303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0F7C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CMV dominant (111, 93%)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, Staphylococcus epidermidis (101, 34%)</w:t>
            </w:r>
          </w:p>
        </w:tc>
        <w:tc>
          <w:tcPr>
            <w:tcW w:w="138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BC452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Segoe UI" w:eastAsia="宋体" w:cs="Segoe UI"/>
                <w:i w:val="0"/>
                <w:iCs w:val="0"/>
                <w:color w:val="3C3C58"/>
                <w:sz w:val="21"/>
                <w:szCs w:val="21"/>
                <w:u w:val="none"/>
              </w:rPr>
            </w:pPr>
            <w:r>
              <w:rPr>
                <w:rFonts w:hint="default" w:ascii="Times New Roman" w:hAnsi="Segoe UI" w:eastAsia="宋体" w:cs="Segoe UI"/>
                <w:i w:val="0"/>
                <w:iCs w:val="0"/>
                <w:color w:val="3C3C58"/>
                <w:kern w:val="0"/>
                <w:sz w:val="21"/>
                <w:szCs w:val="21"/>
                <w:u w:val="none"/>
                <w:lang w:val="en-US" w:eastAsia="zh-CN"/>
              </w:rPr>
              <w:t>Clinical remission</w:t>
            </w:r>
          </w:p>
        </w:tc>
        <w:tc>
          <w:tcPr>
            <w:tcW w:w="157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A2592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Segoe UI" w:eastAsia="宋体" w:cs="Segoe UI"/>
                <w:i w:val="0"/>
                <w:iCs w:val="0"/>
                <w:color w:val="3C3C58"/>
                <w:sz w:val="21"/>
                <w:szCs w:val="21"/>
                <w:u w:val="none"/>
              </w:rPr>
            </w:pPr>
            <w:r>
              <w:rPr>
                <w:rFonts w:hint="default" w:ascii="Times New Roman" w:hAnsi="Segoe UI" w:eastAsia="宋体" w:cs="Segoe UI"/>
                <w:i w:val="0"/>
                <w:iCs w:val="0"/>
                <w:color w:val="3C3C58"/>
                <w:kern w:val="0"/>
                <w:sz w:val="21"/>
                <w:szCs w:val="21"/>
                <w:u w:val="none"/>
                <w:lang w:val="en-US" w:eastAsia="zh-CN"/>
              </w:rPr>
              <w:t>Fulfilled</w:t>
            </w:r>
          </w:p>
        </w:tc>
      </w:tr>
    </w:tbl>
    <w:p w14:paraId="1FB07DCF">
      <w:pPr>
        <w:rPr>
          <w:rFonts w:hint="default" w:ascii="Times New Roman" w:hAnsi="Times New Roman" w:cs="Times New Roman"/>
          <w:lang w:val="en-US" w:eastAsia="zh-CN"/>
        </w:rPr>
      </w:pPr>
    </w:p>
    <w:p w14:paraId="75CD5AE1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0332B7E4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52D33AF9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72F0794E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p w14:paraId="7786259F">
      <w:pPr>
        <w:rPr>
          <w:rFonts w:hint="eastAsia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Table S2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:</w:t>
      </w:r>
      <w:r>
        <w:rPr>
          <w:rFonts w:hint="default" w:ascii="Times New Roman" w:hAnsi="Times New Roman" w:cs="Times New Roman"/>
          <w:lang w:val="en-US" w:eastAsia="zh-CN"/>
        </w:rPr>
        <w:t xml:space="preserve"> Comparison of various indicators between the virus-positive group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 xml:space="preserve">and </w:t>
      </w:r>
      <w:r>
        <w:rPr>
          <w:rFonts w:hint="eastAsia" w:ascii="Times New Roman" w:hAnsi="Times New Roman" w:cs="Times New Roman"/>
          <w:lang w:val="en-US" w:eastAsia="zh-CN"/>
        </w:rPr>
        <w:t xml:space="preserve">the </w:t>
      </w:r>
      <w:r>
        <w:rPr>
          <w:rFonts w:hint="default" w:ascii="Times New Roman" w:hAnsi="Times New Roman" w:cs="Times New Roman"/>
          <w:lang w:val="en-US" w:eastAsia="zh-CN"/>
        </w:rPr>
        <w:t>virus-negative group.</w:t>
      </w:r>
    </w:p>
    <w:tbl>
      <w:tblPr>
        <w:tblStyle w:val="3"/>
        <w:tblW w:w="951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5"/>
        <w:gridCol w:w="2760"/>
        <w:gridCol w:w="2544"/>
        <w:gridCol w:w="924"/>
      </w:tblGrid>
      <w:tr w14:paraId="3D4E2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328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08F6B57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Characteristic</w:t>
            </w:r>
          </w:p>
        </w:tc>
        <w:tc>
          <w:tcPr>
            <w:tcW w:w="276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CB459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V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irus-positive Group</w:t>
            </w:r>
          </w:p>
        </w:tc>
        <w:tc>
          <w:tcPr>
            <w:tcW w:w="254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CD708F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V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irus-negative Group</w:t>
            </w:r>
          </w:p>
        </w:tc>
        <w:tc>
          <w:tcPr>
            <w:tcW w:w="92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D9F33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 value</w:t>
            </w:r>
          </w:p>
        </w:tc>
      </w:tr>
      <w:tr w14:paraId="118E1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5ECE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Age, years</w:t>
            </w:r>
          </w:p>
        </w:tc>
        <w:tc>
          <w:tcPr>
            <w:tcW w:w="276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73C3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58 [48-66.5]</w:t>
            </w:r>
          </w:p>
        </w:tc>
        <w:tc>
          <w:tcPr>
            <w:tcW w:w="254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9786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55 [53-61.5]</w:t>
            </w:r>
          </w:p>
        </w:tc>
        <w:tc>
          <w:tcPr>
            <w:tcW w:w="92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7D1D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</w:t>
            </w:r>
          </w:p>
        </w:tc>
      </w:tr>
      <w:tr w14:paraId="21C06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17D4A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Sex, male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DE9A3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 (57%)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04E0D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 (57%)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C5445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</w:tr>
      <w:tr w14:paraId="68D59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99A2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Duration of dialysis, months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AF4B6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36 [15-62.5]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1C68A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32 [26-78]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D57C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</w:tr>
      <w:tr w14:paraId="14101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C09C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Comorbid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311BA4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33594E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912E61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7870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21D0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Previous immunosuppressants using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1643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 (14.3%)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11685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 (14.3%)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495567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</w:tr>
      <w:tr w14:paraId="0BCE2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3CBD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Previous peritonitis, times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5311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 [0-1.5]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BA0C9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 [0-1]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7D35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</w:tr>
      <w:tr w14:paraId="71F0F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0CEA1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Laboratory tests, serum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B0D4AB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32B2E1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A15027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B6C1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FC69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CRP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, mg/L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B8873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19.7 [16.12-43.82]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526F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173.51 [38.57-185.48]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517A3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0.0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</w:t>
            </w:r>
          </w:p>
        </w:tc>
      </w:tr>
      <w:tr w14:paraId="183F5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35CBB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WBC count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, 10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/L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E5C3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 [4.76-6.79]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AED27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9.72 [8.20-15.04]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6B5A8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0.0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</w:tr>
      <w:tr w14:paraId="65C39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9FFF0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Neutrophil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 count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, 10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/L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56E1A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4.6 [3.28-5.31]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DB57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7.19 [5.92-12.79]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A571E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0.06</w:t>
            </w:r>
          </w:p>
        </w:tc>
      </w:tr>
      <w:tr w14:paraId="18439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1BF25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Lymphocyte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 count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, 10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L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468D5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0.77 [0.61-0.81]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DC958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1.48 [0.50-1.62]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9D170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</w:t>
            </w:r>
          </w:p>
        </w:tc>
      </w:tr>
      <w:tr w14:paraId="3EF8C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D2603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Monocyte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 count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, 10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/L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8FE04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0.44 [0.38-0.49]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A666B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0.68 [0.34-0.83]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C74FD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0.3</w:t>
            </w:r>
          </w:p>
        </w:tc>
      </w:tr>
      <w:tr w14:paraId="1D953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E0B1F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Creatinine, mg/dL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FDCE9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714.97 [635.76-846.75]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C1A4D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793.17 [731.99-922.13]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8D88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</w:t>
            </w:r>
          </w:p>
        </w:tc>
      </w:tr>
      <w:tr w14:paraId="564AB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824F3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GFR, mL/min/1.73 m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/>
              </w:rPr>
              <w:t>2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BFBC9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6(IQR, 4.5-6.5)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DDA3E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 [4-5]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F67DC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</w:t>
            </w:r>
          </w:p>
        </w:tc>
      </w:tr>
      <w:tr w14:paraId="35BBE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4CFA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Albumin, g/dL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E135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26.4 [25.7-29]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CFC1C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28.8 [24.2-31.85]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2C1D3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</w:tr>
      <w:tr w14:paraId="1E101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01681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Laboratory tests, effluent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D6387D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9B77AE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5027A1">
            <w:pPr>
              <w:snapToGrid w:val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9791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A86CC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Day 1 effluent WBC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 count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/L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7A720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2052 [375-6225]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33CF0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1448 [315-4558]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F2598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</w:tr>
      <w:tr w14:paraId="2CA7C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3FBA2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Day 1 effluent PMN proportion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70B82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0.81 [0.47-0.86]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D9E9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0.85 [0.74-0.94]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30DB8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0.2</w:t>
            </w:r>
          </w:p>
        </w:tc>
      </w:tr>
      <w:tr w14:paraId="01C94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7FB06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Day 1 effluent 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GLU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, mmol/L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75C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17.23 [15.7-20.18]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2795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34.05 [22.42-41.54]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FB7EC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.06</w:t>
            </w:r>
          </w:p>
        </w:tc>
      </w:tr>
      <w:tr w14:paraId="0A483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3A899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Day 1 effluent 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LDH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, U/L</w:t>
            </w:r>
          </w:p>
        </w:tc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A3B0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32.2 [27.75-33.05]</w:t>
            </w:r>
          </w:p>
        </w:tc>
        <w:tc>
          <w:tcPr>
            <w:tcW w:w="2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FCB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110.4 [35.45-226.4]</w:t>
            </w: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43467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0.02</w:t>
            </w:r>
          </w:p>
        </w:tc>
      </w:tr>
      <w:tr w14:paraId="538C6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5EB7D54D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Day 1 effluent 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ADA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, U/L</w:t>
            </w:r>
          </w:p>
        </w:tc>
        <w:tc>
          <w:tcPr>
            <w:tcW w:w="276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11FE6D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 [2-2]</w:t>
            </w:r>
          </w:p>
        </w:tc>
        <w:tc>
          <w:tcPr>
            <w:tcW w:w="254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41F47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 [1-3]</w:t>
            </w:r>
          </w:p>
        </w:tc>
        <w:tc>
          <w:tcPr>
            <w:tcW w:w="92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1675994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.9</w:t>
            </w:r>
          </w:p>
        </w:tc>
      </w:tr>
    </w:tbl>
    <w:p w14:paraId="7417E69C">
      <w:pPr>
        <w:rPr>
          <w:rFonts w:hint="eastAsia"/>
          <w:lang w:val="en-US" w:eastAsia="zh-CN"/>
        </w:rPr>
      </w:pPr>
    </w:p>
    <w:p w14:paraId="164BAA47">
      <w:pPr>
        <w:rPr>
          <w:rFonts w:hint="eastAsia"/>
          <w:lang w:val="en-US" w:eastAsia="zh-CN"/>
        </w:rPr>
      </w:pPr>
    </w:p>
    <w:p w14:paraId="1B473832">
      <w:pPr>
        <w:keepNext w:val="0"/>
        <w:keepLines w:val="0"/>
        <w:widowControl/>
        <w:suppressLineNumbers w:val="0"/>
        <w:snapToGrid w:val="0"/>
        <w:jc w:val="left"/>
        <w:textAlignment w:val="center"/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1"/>
          <w:szCs w:val="21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/>
        </w:rPr>
        <w:t>Table S3: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21"/>
          <w:szCs w:val="21"/>
          <w:u w:val="none"/>
          <w:lang w:val="en-US" w:eastAsia="zh-CN"/>
        </w:rPr>
        <w:t xml:space="preserve"> Comparison of various indicators between the pure viral infection group and the bacterial-viral mixed infection group.</w:t>
      </w:r>
    </w:p>
    <w:tbl>
      <w:tblPr>
        <w:tblStyle w:val="3"/>
        <w:tblW w:w="878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8"/>
        <w:gridCol w:w="2733"/>
        <w:gridCol w:w="2737"/>
      </w:tblGrid>
      <w:tr w14:paraId="1689E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3318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BCE6E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Characteristic</w:t>
            </w:r>
          </w:p>
        </w:tc>
        <w:tc>
          <w:tcPr>
            <w:tcW w:w="2733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07387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ure viral infection group</w:t>
            </w:r>
          </w:p>
        </w:tc>
        <w:tc>
          <w:tcPr>
            <w:tcW w:w="273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CBDDA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B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  <w:t>acterial-viral mixed infection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  <w:t>group</w:t>
            </w:r>
          </w:p>
        </w:tc>
      </w:tr>
      <w:tr w14:paraId="17566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1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528DD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Age, years</w:t>
            </w:r>
          </w:p>
        </w:tc>
        <w:tc>
          <w:tcPr>
            <w:tcW w:w="273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8A645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48 [38-54.25]</w:t>
            </w:r>
          </w:p>
        </w:tc>
        <w:tc>
          <w:tcPr>
            <w:tcW w:w="273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E272C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68 [66.5-75.5]</w:t>
            </w:r>
          </w:p>
        </w:tc>
      </w:tr>
      <w:tr w14:paraId="27F90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9AEF3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Sex, male</w:t>
            </w: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CBF09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 (50%)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6C5FC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 (66%)</w:t>
            </w:r>
          </w:p>
        </w:tc>
      </w:tr>
      <w:tr w14:paraId="54208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78E85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Duration of dialysis, months</w:t>
            </w: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63A74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21 [5.25-40.25]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EAA1A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72 [48-72]</w:t>
            </w:r>
          </w:p>
        </w:tc>
      </w:tr>
      <w:tr w14:paraId="5E78E0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80F16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Comorbid</w:t>
            </w: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B2672E">
            <w:pPr>
              <w:snapToGrid w:val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210067">
            <w:pPr>
              <w:snapToGrid w:val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58D2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7AE4B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Previous immunosuppressants using</w:t>
            </w: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7D280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 (25%)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FF5FA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 (33.3%)</w:t>
            </w:r>
          </w:p>
        </w:tc>
      </w:tr>
      <w:tr w14:paraId="76D83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10221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Previous peritonitis, times</w:t>
            </w: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3CBA4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 [0-0]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42CBE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 [1.5-2.5]</w:t>
            </w:r>
          </w:p>
        </w:tc>
      </w:tr>
      <w:tr w14:paraId="14F40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A9BF0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Laboratory tests, serum</w:t>
            </w: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B75D2C">
            <w:pPr>
              <w:snapToGrid w:val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F085B0">
            <w:pPr>
              <w:snapToGrid w:val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66C8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3FFF9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CRP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, mg/L</w:t>
            </w: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80035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22.01 [14.45-34.77]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ECA9C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19.7 [16.82-68.48]</w:t>
            </w:r>
          </w:p>
        </w:tc>
      </w:tr>
      <w:tr w14:paraId="6E346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9AA06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WBC count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, 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/L</w:t>
            </w: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708EB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6.34 [5.84-6.73]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E775F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4.14 [3.88-6.31]</w:t>
            </w:r>
          </w:p>
        </w:tc>
      </w:tr>
      <w:tr w14:paraId="32C6A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0308B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Neutrophil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 count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, 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/L</w:t>
            </w: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ACFDD1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4.93 [4.32-5.29]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E1175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3.1 [3.07-5.24]</w:t>
            </w:r>
          </w:p>
        </w:tc>
      </w:tr>
      <w:tr w14:paraId="37035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834A6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Lymphocyte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 count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, 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/L</w:t>
            </w: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1E60D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0.81 [0.79-0.95]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920E7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0.6 [0.49-0.61]</w:t>
            </w:r>
          </w:p>
        </w:tc>
      </w:tr>
      <w:tr w14:paraId="5FB91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E2A51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Monocyte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 count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, 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/L</w:t>
            </w: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02B89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0.47 [0.44-0.51]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22723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0.34 [0.27-0.41]</w:t>
            </w:r>
          </w:p>
        </w:tc>
      </w:tr>
      <w:tr w14:paraId="37031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0C1A2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Creatinine, mg/dL</w:t>
            </w: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5F8F7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846.75 [794.35-966.75]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EEAA5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602.74 [576.39-635.76]</w:t>
            </w:r>
          </w:p>
        </w:tc>
      </w:tr>
      <w:tr w14:paraId="2722F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0B38A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GFR, mL/min/1.73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/>
              </w:rPr>
              <w:t>2</w:t>
            </w: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FE742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4.5 [4-5.5]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FB9B4C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 [6-6.5]</w:t>
            </w:r>
          </w:p>
        </w:tc>
      </w:tr>
      <w:tr w14:paraId="085F6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86FC3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Albumin, g/dL</w:t>
            </w: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115AE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25.7 [25.28-25.88]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AF7C1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31.3 [29-33.9]</w:t>
            </w:r>
          </w:p>
        </w:tc>
      </w:tr>
      <w:tr w14:paraId="33C58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272A04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Laboratory tests, effluent</w:t>
            </w: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B6BED8">
            <w:pPr>
              <w:snapToGrid w:val="0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D38C18">
            <w:pPr>
              <w:snapToGrid w:val="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A757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F5A8A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Day 1 effluent WBC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 count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,10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vertAlign w:val="superscript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/L</w:t>
            </w: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4B6CB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1245 [406.5-2104]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551B53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10190 [5205-11946.5]</w:t>
            </w:r>
          </w:p>
        </w:tc>
      </w:tr>
      <w:tr w14:paraId="7774E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6B18F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Day 1 effluent PMN proportion</w:t>
            </w: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2E1222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0.55 [0.29-0.83]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692CA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0.85 [0.75-0.88]</w:t>
            </w:r>
          </w:p>
        </w:tc>
      </w:tr>
      <w:tr w14:paraId="5F1CF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41CBA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Day 1 effluent 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GLU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, mmol/L</w:t>
            </w: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549A9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16.22 [14.56-18.69]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5CA009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17.3 [16.75-23.67]</w:t>
            </w:r>
          </w:p>
        </w:tc>
      </w:tr>
      <w:tr w14:paraId="18C70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06EFF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Day 1 effluent 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LDH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, U/L</w:t>
            </w:r>
          </w:p>
        </w:tc>
        <w:tc>
          <w:tcPr>
            <w:tcW w:w="2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37D3DF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30.8 [27.8-32.25]</w:t>
            </w:r>
          </w:p>
        </w:tc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A0DF07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33.7 [29.9-38.1]</w:t>
            </w:r>
          </w:p>
        </w:tc>
      </w:tr>
      <w:tr w14:paraId="071BD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1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73FBD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 xml:space="preserve">Day 1 effluent </w:t>
            </w:r>
            <w:r>
              <w:rPr>
                <w:rFonts w:hint="eastAsia" w:ascii="Times New Roman" w:hAnsi="Times New Roman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ADA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, U/L</w:t>
            </w:r>
          </w:p>
        </w:tc>
        <w:tc>
          <w:tcPr>
            <w:tcW w:w="273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59904A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 [1.75-2.25]</w:t>
            </w:r>
          </w:p>
        </w:tc>
        <w:tc>
          <w:tcPr>
            <w:tcW w:w="273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9D78B0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 [2-2]</w:t>
            </w:r>
          </w:p>
        </w:tc>
      </w:tr>
    </w:tbl>
    <w:p w14:paraId="27C80514">
      <w:pPr>
        <w:rPr>
          <w:rFonts w:hint="default" w:ascii="Times New Roman" w:hAnsi="Times New Roman" w:cs="Times New Roman"/>
          <w:lang w:val="en-US" w:eastAsia="zh-CN"/>
        </w:rPr>
      </w:pPr>
    </w:p>
    <w:p w14:paraId="A14F73FF">
      <w:pPr>
        <w:spacing w:line="240" w:lineRule="auto"/>
        <w:jc w:val="both"/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auto"/>
          <w:kern w:val="2"/>
          <w:sz w:val="21"/>
          <w:szCs w:val="22"/>
          <w:highlight w:val="none"/>
          <w:vertAlign w:val="baseline"/>
          <w:lang w:val="en-US" w:eastAsia="zh-CN" w:bidi="ar-SA"/>
        </w:rPr>
        <w:t>Table S4.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auto"/>
          <w:kern w:val="2"/>
          <w:sz w:val="21"/>
          <w:szCs w:val="22"/>
          <w:highlight w:val="none"/>
          <w:vertAlign w:val="baseline"/>
          <w:lang w:val="en-US" w:eastAsia="zh-CN" w:bidi="ar-SA"/>
        </w:rPr>
        <w:t xml:space="preserve"> Comprehensive treatment regimens for the complicated PDAP patients (n = 14). </w:t>
      </w:r>
    </w:p>
    <w:tbl>
      <w:tblPr>
        <w:tblStyle w:val="3"/>
        <w:tblpPr w:leftFromText="180" w:rightFromText="180" w:vertAnchor="text" w:horzAnchor="page" w:tblpX="678" w:tblpY="299"/>
        <w:tblOverlap w:val="never"/>
        <w:tblW w:w="10058" w:type="dxa"/>
        <w:tblInd w:w="0" w:type="dxa"/>
        <w:shd w:val="clear" w:color="FFFFFF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4473"/>
        <w:gridCol w:w="4712"/>
      </w:tblGrid>
      <w:tr w14:paraId="461F59E7">
        <w:tblPrEx>
          <w:shd w:val="clear" w:color="FFFFFF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873" w:type="dxa"/>
            <w:vMerge w:val="restart"/>
            <w:tcBorders>
              <w:top w:val="single" w:color="000000" w:sz="12" w:space="0"/>
              <w:bottom w:val="single" w:color="000000" w:sz="6" w:space="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E158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Patient no.</w:t>
            </w:r>
          </w:p>
        </w:tc>
        <w:tc>
          <w:tcPr>
            <w:tcW w:w="9185" w:type="dxa"/>
            <w:gridSpan w:val="2"/>
            <w:tcBorders>
              <w:top w:val="single" w:color="000000" w:sz="12" w:space="0"/>
              <w:bottom w:val="single" w:color="000000" w:sz="4" w:space="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FE95B19A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Comprehensive treatment regimens</w:t>
            </w:r>
          </w:p>
        </w:tc>
      </w:tr>
      <w:tr w14:paraId="6B1799A3">
        <w:tblPrEx>
          <w:shd w:val="clear" w:color="FFFFFF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873" w:type="dxa"/>
            <w:vMerge w:val="continue"/>
            <w:tcBorders>
              <w:top w:val="single" w:color="000000" w:sz="12" w:space="0"/>
              <w:bottom w:val="single" w:color="000000" w:sz="6" w:space="0"/>
            </w:tcBorders>
            <w:shd w:val="clear" w:color="FFFFFF" w:fill="FFFFFF"/>
            <w:vAlign w:val="center"/>
          </w:tcPr>
          <w:p w14:paraId="514AC11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</w:p>
        </w:tc>
        <w:tc>
          <w:tcPr>
            <w:tcW w:w="4473" w:type="dxa"/>
            <w:tcBorders>
              <w:top w:val="single" w:color="000000" w:sz="4" w:space="0"/>
              <w:bottom w:val="single" w:color="000000" w:sz="6" w:space="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F492933A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Initial treatment regimens</w:t>
            </w:r>
          </w:p>
        </w:tc>
        <w:tc>
          <w:tcPr>
            <w:tcW w:w="4712" w:type="dxa"/>
            <w:tcBorders>
              <w:top w:val="single" w:color="000000" w:sz="4" w:space="0"/>
              <w:bottom w:val="single" w:color="000000" w:sz="6" w:space="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F3B2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Revised treatment regimens</w:t>
            </w:r>
          </w:p>
        </w:tc>
      </w:tr>
      <w:tr w14:paraId="534380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tcBorders>
              <w:top w:val="single" w:color="000000" w:sz="6" w:space="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202DD3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473" w:type="dxa"/>
            <w:tcBorders>
              <w:top w:val="single" w:color="000000" w:sz="6" w:space="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F4CB0BB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IP Ceftriaxone 2g Qd+ Cefazolin 1g Bid</w:t>
            </w:r>
          </w:p>
        </w:tc>
        <w:tc>
          <w:tcPr>
            <w:tcW w:w="4712" w:type="dxa"/>
            <w:tcBorders>
              <w:top w:val="single" w:color="000000" w:sz="6" w:space="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D924E46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PO Voriconazole 0.2g Bid</w:t>
            </w:r>
          </w:p>
        </w:tc>
      </w:tr>
      <w:tr w14:paraId="5EF72B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A41945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4473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E985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IP Ceftriaxone 2g Qd+ Cefazolin 1g Bid</w:t>
            </w:r>
          </w:p>
        </w:tc>
        <w:tc>
          <w:tcPr>
            <w:tcW w:w="4712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F3380C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 xml:space="preserve">IP Meropenem 1g Qd+Vancomycin 1g Q72h, </w:t>
            </w:r>
          </w:p>
          <w:p w14:paraId="F3A04D2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PO Voriconazole 0.2g Bid</w:t>
            </w:r>
          </w:p>
        </w:tc>
      </w:tr>
      <w:tr w14:paraId="7BB140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7371A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4473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B90C9E3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IP Ceftriaxone 2g Qd+ Cefazolin 1g Bid</w:t>
            </w:r>
          </w:p>
        </w:tc>
        <w:tc>
          <w:tcPr>
            <w:tcW w:w="4712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FA14DD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IP Ceftriaxone 2g Qd+ Cefazolin 1g Bid, PO Valganciclovir 0.45g Bid+Voriconazole 0.2g Bid</w:t>
            </w:r>
          </w:p>
        </w:tc>
      </w:tr>
      <w:tr w14:paraId="0EF9D6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3CFE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4473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FB2E6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IP Ceftriaxone 2g Qd+ Cefazolin 1g Bid</w:t>
            </w:r>
          </w:p>
        </w:tc>
        <w:tc>
          <w:tcPr>
            <w:tcW w:w="4712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E9FF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IP Meropenem 1g Qd+Vancomycin 1g Q72h, PO Voriconazole 0.2g Bid</w:t>
            </w:r>
          </w:p>
        </w:tc>
      </w:tr>
      <w:tr w14:paraId="5991B9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8DB8883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4473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DD40F0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IP Meropenem 1g Qd+ Vancomycin 1g Q72h, PO Voriconazole 0.2g Bid</w:t>
            </w:r>
          </w:p>
        </w:tc>
        <w:tc>
          <w:tcPr>
            <w:tcW w:w="4712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871DEAC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IP Meropenem 1g Qd+ Vancomycin 1g Q72h, PO Valganciclovir 0.45g Bid+ Voriconazole 0.2g Bid</w:t>
            </w:r>
          </w:p>
        </w:tc>
      </w:tr>
      <w:tr w14:paraId="411241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A9B8B7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4473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99F0DF2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IP Ceftriaxone 2g Qd+ Cefazolin 1g Bid</w:t>
            </w:r>
          </w:p>
        </w:tc>
        <w:tc>
          <w:tcPr>
            <w:tcW w:w="4712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92A2DEDA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IP Vancomycin 1g Q72h+ Linazolamide 0.6g Bid</w:t>
            </w:r>
          </w:p>
        </w:tc>
      </w:tr>
      <w:tr w14:paraId="4B2898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68FD10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4473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ECCEAE4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IP Meropenem 1g Qd+ Vancomycin 1g Q72h, PO Voriconazole 0.2g Bid</w:t>
            </w:r>
          </w:p>
        </w:tc>
        <w:tc>
          <w:tcPr>
            <w:tcW w:w="4712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ED6C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IP Meropenem 1g Qd+ Vancomycin 1g Q72h, PO Voriconazole 0.2g Bid</w:t>
            </w:r>
          </w:p>
        </w:tc>
      </w:tr>
      <w:tr w14:paraId="1040A4BE">
        <w:tblPrEx>
          <w:shd w:val="clear" w:color="FFFFFF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B65E4AFA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9185" w:type="dxa"/>
            <w:gridSpan w:val="2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F22A7A2C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IP Meropenem 1g Qd, PO Voriconazole 0.2g Bid</w:t>
            </w:r>
          </w:p>
        </w:tc>
      </w:tr>
      <w:tr w14:paraId="53F0FD7F">
        <w:tblPrEx>
          <w:shd w:val="clear" w:color="FFFFFF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3DB685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4473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BF7E706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IP Ceftriaxone 2g Qd+ Cefazolin 1g Bid</w:t>
            </w:r>
          </w:p>
        </w:tc>
        <w:tc>
          <w:tcPr>
            <w:tcW w:w="4712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C0C39E3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IP Ceftriaxone 2g Qd+ Cefazolin 1g Bid, PO Voriconazole 0.2g Bid+ Valganciclovir 0.45g Bid</w:t>
            </w:r>
          </w:p>
        </w:tc>
      </w:tr>
      <w:tr w14:paraId="60AF3D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7E2C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4473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8D9A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IP Meropenem 1g Qd+ Vancomycin 1g Q72h, PO Voriconazole 0.2g Bid</w:t>
            </w:r>
          </w:p>
        </w:tc>
        <w:tc>
          <w:tcPr>
            <w:tcW w:w="4712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FD2F8A6E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IP Meropenem 1g Qd+ Vancomycin 1g Q72h, PO Voriconazole 0.2g Bid+ Valganciclovir 0.45g Bid</w:t>
            </w:r>
          </w:p>
        </w:tc>
      </w:tr>
      <w:tr w14:paraId="77D5BC5E">
        <w:tblPrEx>
          <w:shd w:val="clear" w:color="FFFFFF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73" w:type="dxa"/>
            <w:vMerge w:val="restart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C3424E3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11</w:t>
            </w:r>
          </w:p>
        </w:tc>
        <w:tc>
          <w:tcPr>
            <w:tcW w:w="4473" w:type="dxa"/>
            <w:vMerge w:val="restart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70E493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IP Ceftriaxone 2g Qd+ Cefazolin 1g Bid</w:t>
            </w:r>
          </w:p>
        </w:tc>
        <w:tc>
          <w:tcPr>
            <w:tcW w:w="4712" w:type="dxa"/>
            <w:vMerge w:val="restart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D3347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IP Meropenem 1g Qd, PO Valganciclovir 0.45g Bid+ Voriconazole 0.2g Bid</w:t>
            </w:r>
          </w:p>
        </w:tc>
      </w:tr>
      <w:tr w14:paraId="174C58F3">
        <w:tblPrEx>
          <w:shd w:val="clear" w:color="FFFFFF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73" w:type="dxa"/>
            <w:vMerge w:val="continue"/>
            <w:shd w:val="clear" w:color="FFFFFF" w:fill="FFFFFF"/>
            <w:vAlign w:val="center"/>
          </w:tcPr>
          <w:p w14:paraId="02ED1F8A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</w:p>
        </w:tc>
        <w:tc>
          <w:tcPr>
            <w:tcW w:w="4473" w:type="dxa"/>
            <w:vMerge w:val="continue"/>
            <w:shd w:val="clear" w:color="FFFFFF" w:fill="FFFFFF"/>
            <w:vAlign w:val="center"/>
          </w:tcPr>
          <w:p w14:paraId="08F8AC7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</w:p>
        </w:tc>
        <w:tc>
          <w:tcPr>
            <w:tcW w:w="4712" w:type="dxa"/>
            <w:vMerge w:val="continue"/>
            <w:shd w:val="clear" w:color="FFFFFF" w:fill="FFFFFF"/>
            <w:vAlign w:val="center"/>
          </w:tcPr>
          <w:p w14:paraId="29845F30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</w:p>
        </w:tc>
      </w:tr>
      <w:tr w14:paraId="31E8C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8AED30D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12</w:t>
            </w:r>
          </w:p>
        </w:tc>
        <w:tc>
          <w:tcPr>
            <w:tcW w:w="9185" w:type="dxa"/>
            <w:gridSpan w:val="2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5D5CB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IP Ceftriaxone 2g Qd+ Cefazolin 1g Bid</w:t>
            </w:r>
          </w:p>
        </w:tc>
      </w:tr>
      <w:tr w14:paraId="6BC0C7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C71D398A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13</w:t>
            </w:r>
          </w:p>
        </w:tc>
        <w:tc>
          <w:tcPr>
            <w:tcW w:w="4473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AE0FF2D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IP Ceftriaxone 2g Qd+ Cefazolin 1g Bid</w:t>
            </w:r>
          </w:p>
        </w:tc>
        <w:tc>
          <w:tcPr>
            <w:tcW w:w="4712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2C672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IP Vancomycin 1g Q72h, PO Voriconazole 0.2g Bid+ Valganciclovir 0.45g Bid</w:t>
            </w:r>
          </w:p>
        </w:tc>
      </w:tr>
      <w:tr w14:paraId="58293B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3" w:type="dxa"/>
            <w:tcBorders>
              <w:bottom w:val="single" w:color="000000" w:sz="12" w:space="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9F0B4298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14</w:t>
            </w:r>
          </w:p>
        </w:tc>
        <w:tc>
          <w:tcPr>
            <w:tcW w:w="4473" w:type="dxa"/>
            <w:tcBorders>
              <w:bottom w:val="single" w:color="000000" w:sz="12" w:space="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8F27CA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IP Ceftriaxone 2g Qd+ Cefazolin 1g Bid</w:t>
            </w:r>
          </w:p>
        </w:tc>
        <w:tc>
          <w:tcPr>
            <w:tcW w:w="4712" w:type="dxa"/>
            <w:tcBorders>
              <w:bottom w:val="single" w:color="000000" w:sz="12" w:space="0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D8AE1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IP Meropenem 1g Qd, PO Voriconazole 0.2g Bid</w:t>
            </w:r>
          </w:p>
        </w:tc>
      </w:tr>
    </w:tbl>
    <w:p w14:paraId="08302564">
      <w:pPr>
        <w:spacing w:line="240" w:lineRule="auto"/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auto"/>
          <w:kern w:val="2"/>
          <w:sz w:val="21"/>
          <w:szCs w:val="22"/>
          <w:highlight w:val="none"/>
          <w:vertAlign w:val="baseline"/>
          <w:lang w:val="en-US" w:eastAsia="zh-CN" w:bidi="ar-SA"/>
        </w:rPr>
        <w:t>Abbreviation: IP, intraperitoneal; Qd, once a day; Bid, twice a day; PO, oral administration.</w:t>
      </w:r>
    </w:p>
    <w:p w14:paraId="32A91487">
      <w:pPr>
        <w:rPr>
          <w:rFonts w:hint="default" w:ascii="Times New Roman" w:hAnsi="Times New Roman" w:cs="Times New Roman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714E0BB3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Table S5:</w:t>
      </w:r>
      <w:r>
        <w:rPr>
          <w:rFonts w:hint="default" w:ascii="Times New Roman" w:hAnsi="Times New Roman" w:cs="Times New Roman"/>
          <w:lang w:val="en-US" w:eastAsia="zh-CN"/>
        </w:rPr>
        <w:t xml:space="preserve"> Summary of previously reported cases of confirmed or suspected virus-associated peritonitis.</w:t>
      </w:r>
    </w:p>
    <w:p w14:paraId="294A9EFB">
      <w:pPr>
        <w:rPr>
          <w:rFonts w:hint="default" w:ascii="Times New Roman" w:hAnsi="Times New Roman" w:cs="Times New Roman"/>
          <w:b/>
          <w:bCs/>
          <w:lang w:val="en-US" w:eastAsia="zh-CN"/>
        </w:rPr>
      </w:pPr>
    </w:p>
    <w:tbl>
      <w:tblPr>
        <w:tblStyle w:val="3"/>
        <w:tblpPr w:leftFromText="180" w:rightFromText="180" w:vertAnchor="text" w:horzAnchor="page" w:tblpXSpec="center" w:tblpY="33"/>
        <w:tblOverlap w:val="never"/>
        <w:tblW w:w="15713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864"/>
        <w:gridCol w:w="1158"/>
        <w:gridCol w:w="1386"/>
        <w:gridCol w:w="1008"/>
        <w:gridCol w:w="1560"/>
        <w:gridCol w:w="1560"/>
        <w:gridCol w:w="1344"/>
        <w:gridCol w:w="672"/>
        <w:gridCol w:w="3888"/>
        <w:gridCol w:w="1586"/>
      </w:tblGrid>
      <w:tr w14:paraId="1C2F27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687" w:type="dxa"/>
            <w:vMerge w:val="restart"/>
            <w:tcBorders>
              <w:top w:val="single" w:color="000000" w:sz="12" w:space="0"/>
              <w:bottom w:val="single" w:color="000000" w:sz="12" w:space="0"/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3818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Case, year</w:t>
            </w:r>
          </w:p>
        </w:tc>
        <w:tc>
          <w:tcPr>
            <w:tcW w:w="864" w:type="dxa"/>
            <w:vMerge w:val="restart"/>
            <w:tcBorders>
              <w:top w:val="single" w:color="000000" w:sz="12" w:space="0"/>
              <w:bottom w:val="single" w:color="000000" w:sz="12" w:space="0"/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9B8D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Patient age (years)/sex</w:t>
            </w:r>
          </w:p>
        </w:tc>
        <w:tc>
          <w:tcPr>
            <w:tcW w:w="1158" w:type="dxa"/>
            <w:vMerge w:val="restart"/>
            <w:tcBorders>
              <w:top w:val="single" w:color="000000" w:sz="12" w:space="0"/>
              <w:bottom w:val="single" w:color="000000" w:sz="12" w:space="0"/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542D9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Previous peritonitis, times</w:t>
            </w:r>
          </w:p>
        </w:tc>
        <w:tc>
          <w:tcPr>
            <w:tcW w:w="1386" w:type="dxa"/>
            <w:vMerge w:val="restart"/>
            <w:tcBorders>
              <w:top w:val="single" w:color="000000" w:sz="12" w:space="0"/>
              <w:bottom w:val="single" w:color="000000" w:sz="12" w:space="0"/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64803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PDAP species</w:t>
            </w:r>
          </w:p>
        </w:tc>
        <w:tc>
          <w:tcPr>
            <w:tcW w:w="1008" w:type="dxa"/>
            <w:vMerge w:val="restart"/>
            <w:tcBorders>
              <w:top w:val="single" w:color="000000" w:sz="12" w:space="0"/>
              <w:bottom w:val="single" w:color="000000" w:sz="12" w:space="0"/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0B9C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Viral species</w:t>
            </w:r>
          </w:p>
        </w:tc>
        <w:tc>
          <w:tcPr>
            <w:tcW w:w="1560" w:type="dxa"/>
            <w:vMerge w:val="restart"/>
            <w:tcBorders>
              <w:top w:val="single" w:color="000000" w:sz="12" w:space="0"/>
              <w:bottom w:val="single" w:color="000000" w:sz="12" w:space="0"/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95B3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Diagnostic methods</w:t>
            </w:r>
          </w:p>
        </w:tc>
        <w:tc>
          <w:tcPr>
            <w:tcW w:w="1560" w:type="dxa"/>
            <w:vMerge w:val="restart"/>
            <w:tcBorders>
              <w:top w:val="single" w:color="000000" w:sz="12" w:space="0"/>
              <w:bottom w:val="single" w:color="000000" w:sz="12" w:space="0"/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8113F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Clinical manifestations</w:t>
            </w:r>
          </w:p>
        </w:tc>
        <w:tc>
          <w:tcPr>
            <w:tcW w:w="2016" w:type="dxa"/>
            <w:gridSpan w:val="2"/>
            <w:tcBorders>
              <w:top w:val="single" w:color="000000" w:sz="12" w:space="0"/>
              <w:bottom w:val="single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A223C">
            <w:pPr>
              <w:spacing w:line="24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Effluent laboratory tests</w:t>
            </w:r>
          </w:p>
        </w:tc>
        <w:tc>
          <w:tcPr>
            <w:tcW w:w="3888" w:type="dxa"/>
            <w:vMerge w:val="restart"/>
            <w:tcBorders>
              <w:top w:val="single" w:color="auto" w:sz="12" w:space="0"/>
              <w:bottom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DC011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Treatment regimens</w:t>
            </w:r>
          </w:p>
        </w:tc>
        <w:tc>
          <w:tcPr>
            <w:tcW w:w="1586" w:type="dxa"/>
            <w:vMerge w:val="restart"/>
            <w:tcBorders>
              <w:top w:val="single" w:color="auto" w:sz="12" w:space="0"/>
              <w:bottom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7EF5C">
            <w:pPr>
              <w:spacing w:line="240" w:lineRule="auto"/>
              <w:jc w:val="left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Outcomes and prognosis</w:t>
            </w:r>
          </w:p>
        </w:tc>
      </w:tr>
      <w:tr w14:paraId="44104EE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687" w:type="dxa"/>
            <w:vMerge w:val="continue"/>
            <w:tcBorders>
              <w:top w:val="single" w:color="000000" w:sz="12" w:space="0"/>
              <w:bottom w:val="single" w:color="000000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7D91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864" w:type="dxa"/>
            <w:vMerge w:val="continue"/>
            <w:tcBorders>
              <w:top w:val="single" w:color="000000" w:sz="12" w:space="0"/>
              <w:bottom w:val="single" w:color="000000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726D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1158" w:type="dxa"/>
            <w:vMerge w:val="continue"/>
            <w:tcBorders>
              <w:top w:val="single" w:color="000000" w:sz="12" w:space="0"/>
              <w:bottom w:val="single" w:color="000000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A6CAD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1386" w:type="dxa"/>
            <w:vMerge w:val="continue"/>
            <w:tcBorders>
              <w:top w:val="single" w:color="000000" w:sz="12" w:space="0"/>
              <w:bottom w:val="single" w:color="000000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3474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1008" w:type="dxa"/>
            <w:vMerge w:val="continue"/>
            <w:tcBorders>
              <w:top w:val="single" w:color="000000" w:sz="12" w:space="0"/>
              <w:bottom w:val="single" w:color="000000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475DD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12" w:space="0"/>
              <w:bottom w:val="single" w:color="000000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7ECBBF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1560" w:type="dxa"/>
            <w:vMerge w:val="continue"/>
            <w:tcBorders>
              <w:top w:val="single" w:color="000000" w:sz="12" w:space="0"/>
              <w:bottom w:val="single" w:color="000000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2292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344" w:type="dxa"/>
            <w:tcBorders>
              <w:top w:val="single" w:color="auto" w:sz="6" w:space="0"/>
              <w:bottom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16D8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WBC</w:t>
            </w:r>
          </w:p>
          <w:p w14:paraId="4F32ADC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(cells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/mm³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）</w:t>
            </w:r>
          </w:p>
        </w:tc>
        <w:tc>
          <w:tcPr>
            <w:tcW w:w="672" w:type="dxa"/>
            <w:tcBorders>
              <w:top w:val="single" w:color="auto" w:sz="6" w:space="0"/>
              <w:bottom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C0DB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PMN</w:t>
            </w:r>
          </w:p>
        </w:tc>
        <w:tc>
          <w:tcPr>
            <w:tcW w:w="3888" w:type="dxa"/>
            <w:vMerge w:val="continue"/>
            <w:tcBorders>
              <w:top w:val="single" w:color="auto" w:sz="4" w:space="0"/>
              <w:bottom w:val="single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206F0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86" w:type="dxa"/>
            <w:vMerge w:val="continue"/>
            <w:tcBorders>
              <w:top w:val="single" w:color="auto" w:sz="4" w:space="0"/>
              <w:bottom w:val="single" w:color="auto" w:sz="6" w:space="0"/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79296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1F0C14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dxa"/>
            <w:tcBorders>
              <w:top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F13AE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Struijk, 1986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superscript"/>
                <w:lang w:val="en-US" w:eastAsia="zh-CN" w:bidi="ar-SA"/>
              </w:rPr>
              <w:t>[16]</w:t>
            </w:r>
          </w:p>
        </w:tc>
        <w:tc>
          <w:tcPr>
            <w:tcW w:w="864" w:type="dxa"/>
            <w:tcBorders>
              <w:top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6EB19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42/female</w:t>
            </w:r>
          </w:p>
        </w:tc>
        <w:tc>
          <w:tcPr>
            <w:tcW w:w="1158" w:type="dxa"/>
            <w:tcBorders>
              <w:top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C5234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1386" w:type="dxa"/>
            <w:tcBorders>
              <w:top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1E1BA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lang w:val="en-US" w:eastAsia="zh-CN"/>
              </w:rPr>
              <w:t>Culture negative and refractory PDAP</w:t>
            </w:r>
          </w:p>
        </w:tc>
        <w:tc>
          <w:tcPr>
            <w:tcW w:w="1008" w:type="dxa"/>
            <w:tcBorders>
              <w:top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1866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</w:rPr>
              <w:t>Echovirus 11</w:t>
            </w:r>
          </w:p>
        </w:tc>
        <w:tc>
          <w:tcPr>
            <w:tcW w:w="1560" w:type="dxa"/>
            <w:tcBorders>
              <w:top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9BACC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Viral culture in effluent</w:t>
            </w:r>
          </w:p>
        </w:tc>
        <w:tc>
          <w:tcPr>
            <w:tcW w:w="1560" w:type="dxa"/>
            <w:tcBorders>
              <w:top w:val="single" w:color="000000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D4C84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C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loudy dialysis effluent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abdominal pain </w:t>
            </w:r>
          </w:p>
        </w:tc>
        <w:tc>
          <w:tcPr>
            <w:tcW w:w="1344" w:type="dxa"/>
            <w:tcBorders>
              <w:top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568FC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100</w:t>
            </w:r>
          </w:p>
        </w:tc>
        <w:tc>
          <w:tcPr>
            <w:tcW w:w="672" w:type="dxa"/>
            <w:tcBorders>
              <w:top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12869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-</w:t>
            </w:r>
          </w:p>
        </w:tc>
        <w:tc>
          <w:tcPr>
            <w:tcW w:w="3888" w:type="dxa"/>
            <w:tcBorders>
              <w:top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C7474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Initially, 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c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ephradine was ineffective after 5 days; the antibiotic was subsequently discontinued.</w:t>
            </w:r>
          </w:p>
        </w:tc>
        <w:tc>
          <w:tcPr>
            <w:tcW w:w="1586" w:type="dxa"/>
            <w:tcBorders>
              <w:top w:val="single" w:color="auto" w:sz="6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EC6DC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Recovered after 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9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 days, with no recurrence</w:t>
            </w:r>
          </w:p>
        </w:tc>
      </w:tr>
      <w:tr w14:paraId="4FA822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8F489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Lewis, 1991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superscript"/>
                <w:lang w:val="en-US" w:eastAsia="zh-CN" w:bidi="ar-SA"/>
              </w:rPr>
              <w:t>[17]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72B41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45/female</w:t>
            </w:r>
          </w:p>
        </w:tc>
        <w:tc>
          <w:tcPr>
            <w:tcW w:w="115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81F2C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29B4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lang w:val="en-US" w:eastAsia="zh-CN"/>
              </w:rPr>
              <w:t>Culture negative, refractory and relapsing PDAP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5F94D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lang w:val="en-US" w:eastAsia="zh-CN"/>
              </w:rPr>
              <w:t>CMV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5182C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Viral culture in effluent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EA2D3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C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loudy dialysis effluent</w:t>
            </w:r>
          </w:p>
        </w:tc>
        <w:tc>
          <w:tcPr>
            <w:tcW w:w="134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F64E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20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67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A6B71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10%</w:t>
            </w:r>
          </w:p>
        </w:tc>
        <w:tc>
          <w:tcPr>
            <w:tcW w:w="388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A5CA2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IP antibiotics (specifics unknown)</w:t>
            </w:r>
          </w:p>
        </w:tc>
        <w:tc>
          <w:tcPr>
            <w:tcW w:w="158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735A0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Removal of PD catheter</w:t>
            </w:r>
          </w:p>
        </w:tc>
      </w:tr>
      <w:tr w14:paraId="6815E50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C6E1B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Yakulis, 1999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superscript"/>
                <w:lang w:val="en-US" w:eastAsia="zh-CN" w:bidi="ar-SA"/>
              </w:rPr>
              <w:t>[18]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61C28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60/female</w:t>
            </w:r>
          </w:p>
        </w:tc>
        <w:tc>
          <w:tcPr>
            <w:tcW w:w="115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165EF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0287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  <w:t>Culture negative and refractory PDAP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D818F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lang w:val="en-US" w:eastAsia="zh-CN"/>
              </w:rPr>
              <w:t>HSV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C3B2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lang w:val="en-US"/>
              </w:rPr>
              <w:t>Histology, immunohistochemistry and electron microscopy done on omental biopsy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D0314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C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loudy dialysis effluent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abdominal pain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d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iarrhea, nausea</w:t>
            </w:r>
          </w:p>
        </w:tc>
        <w:tc>
          <w:tcPr>
            <w:tcW w:w="134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FD28E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100</w:t>
            </w:r>
          </w:p>
        </w:tc>
        <w:tc>
          <w:tcPr>
            <w:tcW w:w="67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0079A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2%</w:t>
            </w:r>
          </w:p>
        </w:tc>
        <w:tc>
          <w:tcPr>
            <w:tcW w:w="388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041CF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Initially, IV vancomycin and gentamicin 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were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 ineffective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 after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 15 days; subsequently, surgery was performed (exploration and necrotic peritoneal resection); on day 26, IV acyclovir 150 mg 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Qd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 was administered.</w:t>
            </w:r>
          </w:p>
        </w:tc>
        <w:tc>
          <w:tcPr>
            <w:tcW w:w="158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F9614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Death</w:t>
            </w:r>
          </w:p>
        </w:tc>
      </w:tr>
      <w:tr w14:paraId="712934F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dxa"/>
            <w:tcBorders>
              <w:tl2br w:val="nil"/>
              <w:tr2bl w:val="nil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EFEF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Liesker, 2006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superscript"/>
                <w:lang w:val="en-US" w:eastAsia="zh-CN" w:bidi="ar-SA"/>
              </w:rPr>
              <w:t>[19]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DC25D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30/female</w:t>
            </w:r>
          </w:p>
        </w:tc>
        <w:tc>
          <w:tcPr>
            <w:tcW w:w="1158" w:type="dxa"/>
            <w:tcBorders>
              <w:tl2br w:val="nil"/>
              <w:tr2bl w:val="nil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C5C14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S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everal times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DC7D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lang w:val="en-US" w:eastAsia="zh-CN"/>
              </w:rPr>
              <w:t>Culture negative PDAP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8BA1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lang w:val="en-US" w:eastAsia="zh-CN"/>
              </w:rPr>
              <w:t>HSV-2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0A99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Viral culture in effluent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EBC23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C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loudy dialysis effluent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abdominal pain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, g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enital ulcers</w:t>
            </w:r>
          </w:p>
        </w:tc>
        <w:tc>
          <w:tcPr>
            <w:tcW w:w="1344" w:type="dxa"/>
            <w:tcBorders>
              <w:tl2br w:val="nil"/>
              <w:tr2bl w:val="nil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D8031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7500</w:t>
            </w:r>
          </w:p>
        </w:tc>
        <w:tc>
          <w:tcPr>
            <w:tcW w:w="672" w:type="dxa"/>
            <w:tcBorders>
              <w:tl2br w:val="nil"/>
              <w:tr2bl w:val="nil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3C6AC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17%</w:t>
            </w:r>
          </w:p>
        </w:tc>
        <w:tc>
          <w:tcPr>
            <w:tcW w:w="3888" w:type="dxa"/>
            <w:tcBorders>
              <w:tl2br w:val="nil"/>
              <w:tr2bl w:val="nil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2CBAD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Initially, 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IP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cefazolin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 + PO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valacyclovir 500 mg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 Qd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; discontinue cefazolin after culture results 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we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re negative.</w:t>
            </w:r>
          </w:p>
        </w:tc>
        <w:tc>
          <w:tcPr>
            <w:tcW w:w="1586" w:type="dxa"/>
            <w:tcBorders>
              <w:tl2br w:val="nil"/>
              <w:tr2bl w:val="nil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A58DF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Recovered slowly, with no recurrence</w:t>
            </w:r>
          </w:p>
        </w:tc>
      </w:tr>
      <w:tr w14:paraId="545AA5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687" w:type="dxa"/>
            <w:tcBorders>
              <w:tl2br w:val="nil"/>
              <w:tr2bl w:val="nil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BE3B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Pauwels, 2012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superscript"/>
                <w:lang w:val="en-US" w:eastAsia="zh-CN" w:bidi="ar-SA"/>
              </w:rPr>
              <w:t>[20]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41E49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79/male</w:t>
            </w:r>
          </w:p>
        </w:tc>
        <w:tc>
          <w:tcPr>
            <w:tcW w:w="1158" w:type="dxa"/>
            <w:tcBorders>
              <w:tl2br w:val="nil"/>
              <w:tr2bl w:val="nil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E361B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E4B7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lang w:val="en-US" w:eastAsia="zh-CN"/>
              </w:rPr>
              <w:t>Culture negative</w:t>
            </w:r>
          </w:p>
          <w:p w14:paraId="609E464A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lang w:val="en-US" w:eastAsia="zh-CN"/>
              </w:rPr>
              <w:t xml:space="preserve"> PDAP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4E0B3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</w:rPr>
              <w:t>Coxsackievirus B1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4BB9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Viral culture and PCR in effluent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23C3A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C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loudy dialysis effluent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abdominal pain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pericardial</w:t>
            </w:r>
          </w:p>
          <w:p w14:paraId="754472B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effusion, fever</w:t>
            </w:r>
          </w:p>
        </w:tc>
        <w:tc>
          <w:tcPr>
            <w:tcW w:w="1344" w:type="dxa"/>
            <w:tcBorders>
              <w:tl2br w:val="nil"/>
              <w:tr2bl w:val="nil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3D598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lang w:val="en-US" w:eastAsia="zh-CN"/>
              </w:rPr>
              <w:t>154</w:t>
            </w:r>
          </w:p>
          <w:p w14:paraId="63428530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672" w:type="dxa"/>
            <w:tcBorders>
              <w:tl2br w:val="nil"/>
              <w:tr2bl w:val="nil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3FED2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1.5%</w:t>
            </w:r>
          </w:p>
        </w:tc>
        <w:tc>
          <w:tcPr>
            <w:tcW w:w="3888" w:type="dxa"/>
            <w:tcBorders>
              <w:tl2br w:val="nil"/>
              <w:tr2bl w:val="nil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7F879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Initial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ly,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 IP cefazolin and amikacin w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ere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 ineffective 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after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 8 days; antibiotics were subsequently discontinued, and anti-inflammatory therapy (aspirin) was continued.</w:t>
            </w:r>
          </w:p>
        </w:tc>
        <w:tc>
          <w:tcPr>
            <w:tcW w:w="1586" w:type="dxa"/>
            <w:tcBorders>
              <w:tl2br w:val="nil"/>
              <w:tr2bl w:val="nil"/>
            </w:tcBorders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7F916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Recovered after 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3 days, with no recurrence</w:t>
            </w:r>
          </w:p>
        </w:tc>
      </w:tr>
      <w:tr w14:paraId="03C51D4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3883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Dhoot, 2025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superscript"/>
                <w:lang w:val="en-US" w:eastAsia="zh-CN" w:bidi="ar-SA"/>
              </w:rPr>
              <w:t>[21]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22D2F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73/female</w:t>
            </w:r>
          </w:p>
        </w:tc>
        <w:tc>
          <w:tcPr>
            <w:tcW w:w="115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DD778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0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7CC6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lang w:val="en-US" w:eastAsia="zh-CN"/>
              </w:rPr>
              <w:t>Culture negative and refractory PDAP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EDAF7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cs="Times New Roman"/>
                <w:b w:val="0"/>
                <w:color w:val="000000"/>
                <w:lang w:val="en-US" w:eastAsia="zh-CN"/>
              </w:rPr>
              <w:t>HSV-2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A899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Viral culture and PCR in effluent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2055E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C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loudy dialysis effluent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, hypotension, suprapubic pain</w:t>
            </w:r>
          </w:p>
        </w:tc>
        <w:tc>
          <w:tcPr>
            <w:tcW w:w="134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129CF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color w:val="00000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700</w:t>
            </w:r>
          </w:p>
        </w:tc>
        <w:tc>
          <w:tcPr>
            <w:tcW w:w="67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41C12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3%</w:t>
            </w:r>
          </w:p>
        </w:tc>
        <w:tc>
          <w:tcPr>
            <w:tcW w:w="388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7AF12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Initially, 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IP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 cefazolin and ceftazidime were ineffective after one week, so the treatment was adjusted to 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IV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 acyclovir 200–300 mg.</w:t>
            </w:r>
          </w:p>
        </w:tc>
        <w:tc>
          <w:tcPr>
            <w:tcW w:w="158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067B8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Recovered after 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4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 days, with no recurrence</w:t>
            </w:r>
          </w:p>
        </w:tc>
      </w:tr>
      <w:tr w14:paraId="2884D12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7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A8F13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Deng，2025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superscript"/>
                <w:lang w:val="en-US" w:eastAsia="zh-CN" w:bidi="ar-SA"/>
              </w:rPr>
              <w:t>[22]</w:t>
            </w:r>
          </w:p>
        </w:tc>
        <w:tc>
          <w:tcPr>
            <w:tcW w:w="86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AEEEC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67/female</w:t>
            </w:r>
          </w:p>
        </w:tc>
        <w:tc>
          <w:tcPr>
            <w:tcW w:w="115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85872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138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D2D5E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2"/>
                <w:highlight w:val="none"/>
                <w:vertAlign w:val="baseline"/>
                <w:lang w:val="en-US" w:eastAsia="zh-CN" w:bidi="ar-SA"/>
              </w:rPr>
              <w:t>Culture negative, refractory and relapsing PDAP</w:t>
            </w:r>
          </w:p>
        </w:tc>
        <w:tc>
          <w:tcPr>
            <w:tcW w:w="100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D23DA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lang w:val="en-US" w:eastAsia="zh-CN"/>
              </w:rPr>
              <w:t>Lautropia mirabilis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lang w:val="en-US" w:eastAsia="zh-CN"/>
              </w:rPr>
              <w:t>CMV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lang w:val="en-US" w:eastAsia="zh-CN"/>
              </w:rPr>
              <w:t>EBV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26972D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4"/>
                <w:highlight w:val="none"/>
                <w:vertAlign w:val="baseline"/>
                <w:lang w:val="en-US" w:eastAsia="zh-CN" w:bidi="ar-SA"/>
              </w:rPr>
              <w:t>TNGS in effluent</w:t>
            </w:r>
          </w:p>
        </w:tc>
        <w:tc>
          <w:tcPr>
            <w:tcW w:w="1560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0EDFE">
            <w:pPr>
              <w:spacing w:line="240" w:lineRule="auto"/>
              <w:jc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C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loudy dialysis effluent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abdominal pain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, d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iarrhea </w:t>
            </w:r>
          </w:p>
        </w:tc>
        <w:tc>
          <w:tcPr>
            <w:tcW w:w="1344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45164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110</w:t>
            </w:r>
          </w:p>
        </w:tc>
        <w:tc>
          <w:tcPr>
            <w:tcW w:w="672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D32C4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34%</w:t>
            </w:r>
          </w:p>
        </w:tc>
        <w:tc>
          <w:tcPr>
            <w:tcW w:w="3888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F4CEE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Initially, antibiotic treatment at other hospitals was ineffective; following tNGS testing, the regimen was changed to IV moxifloxacin 0.4 g 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Qd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, IP gentamicin 40,000 IU Qd, and PO ganciclovir 0.25 g Qd.</w:t>
            </w:r>
          </w:p>
        </w:tc>
        <w:tc>
          <w:tcPr>
            <w:tcW w:w="1586" w:type="dxa"/>
            <w:tcBorders>
              <w:tl2br w:val="nil"/>
              <w:tr2bl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EA8A7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Recovered after 3 days, with no recurrence</w:t>
            </w:r>
          </w:p>
        </w:tc>
      </w:tr>
    </w:tbl>
    <w:p w14:paraId="1E34264B">
      <w:pPr>
        <w:bidi w:val="0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Abbreviation:</w:t>
      </w:r>
      <w:r>
        <w:rPr>
          <w:rFonts w:hint="eastAsia" w:ascii="Times New Roman" w:hAnsi="Times New Roman" w:cs="Times New Roman"/>
          <w:lang w:val="en-US" w:eastAsia="zh-CN"/>
        </w:rPr>
        <w:t xml:space="preserve"> IV, intravenous; PCR, polymerase chain reaction.</w:t>
      </w:r>
    </w:p>
    <w:p w14:paraId="0A7FA911">
      <w:pPr>
        <w:bidi w:val="0"/>
        <w:jc w:val="left"/>
        <w:rPr>
          <w:rFonts w:hint="default"/>
          <w:lang w:val="en-US" w:eastAsia="zh-CN"/>
        </w:rPr>
        <w:sectPr>
          <w:type w:val="continuous"/>
          <w:pgSz w:w="16838" w:h="11906" w:orient="landscape"/>
          <w:pgMar w:top="1800" w:right="1440" w:bottom="1800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768F2754">
      <w:pPr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Table S6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:</w:t>
      </w:r>
      <w:r>
        <w:rPr>
          <w:rFonts w:hint="default" w:ascii="Times New Roman" w:hAnsi="Times New Roman" w:cs="Times New Roman"/>
          <w:lang w:val="en-US" w:eastAsia="zh-CN"/>
        </w:rPr>
        <w:t xml:space="preserve"> Summary of studies detecting viruses in PDAP patients using mNGS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lang w:val="en-US" w:eastAsia="zh-CN"/>
        </w:rPr>
        <w:t>in recent years.</w:t>
      </w:r>
    </w:p>
    <w:tbl>
      <w:tblPr>
        <w:tblStyle w:val="4"/>
        <w:tblW w:w="108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7"/>
        <w:gridCol w:w="1080"/>
        <w:gridCol w:w="1052"/>
        <w:gridCol w:w="896"/>
        <w:gridCol w:w="1467"/>
        <w:gridCol w:w="2742"/>
        <w:gridCol w:w="2644"/>
      </w:tblGrid>
      <w:tr w14:paraId="7B43A9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00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</w:tcPr>
          <w:p w14:paraId="6E25EB59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Author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, year</w:t>
            </w:r>
          </w:p>
        </w:tc>
        <w:tc>
          <w:tcPr>
            <w:tcW w:w="108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4E7D6886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District</w:t>
            </w:r>
          </w:p>
        </w:tc>
        <w:tc>
          <w:tcPr>
            <w:tcW w:w="105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28C27FD3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Research design</w:t>
            </w:r>
          </w:p>
        </w:tc>
        <w:tc>
          <w:tcPr>
            <w:tcW w:w="89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5CEF912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Sample size</w:t>
            </w:r>
          </w:p>
        </w:tc>
        <w:tc>
          <w:tcPr>
            <w:tcW w:w="146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34EBE6BD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Virus detection rate</w:t>
            </w:r>
          </w:p>
        </w:tc>
        <w:tc>
          <w:tcPr>
            <w:tcW w:w="274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09CF4DC">
            <w:pPr>
              <w:jc w:val="left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Types of viruses detected</w:t>
            </w: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 (number)</w:t>
            </w:r>
          </w:p>
        </w:tc>
        <w:tc>
          <w:tcPr>
            <w:tcW w:w="264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0A291D21">
            <w:pPr>
              <w:jc w:val="left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A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1"/>
                <w:szCs w:val="21"/>
                <w:vertAlign w:val="baseline"/>
                <w:lang w:val="en-US" w:eastAsia="zh-CN"/>
              </w:rPr>
              <w:t>uthors' views on virus detection</w:t>
            </w:r>
          </w:p>
        </w:tc>
      </w:tr>
      <w:tr w14:paraId="0DE32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553DA25B">
            <w:pPr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Burnham, 2022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superscript"/>
                <w:lang w:val="en-US" w:eastAsia="zh-CN"/>
              </w:rPr>
              <w:t>[12]</w:t>
            </w:r>
          </w:p>
        </w:tc>
        <w:tc>
          <w:tcPr>
            <w:tcW w:w="108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4D94BCD5">
            <w:pPr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/>
              </w:rPr>
              <w:t>New York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,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/>
              </w:rPr>
              <w:t xml:space="preserve"> US</w:t>
            </w:r>
          </w:p>
        </w:tc>
        <w:tc>
          <w:tcPr>
            <w:tcW w:w="105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60FF7833">
            <w:pPr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/>
              </w:rPr>
              <w:t>Clinical research</w:t>
            </w:r>
          </w:p>
        </w:tc>
        <w:tc>
          <w:tcPr>
            <w:tcW w:w="896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24007AC6">
            <w:pPr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146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2EA2707E">
            <w:pPr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5.9%</w:t>
            </w:r>
          </w:p>
        </w:tc>
        <w:tc>
          <w:tcPr>
            <w:tcW w:w="274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1FD9DF15">
            <w:pPr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/>
              </w:rPr>
              <w:t>HHV-6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 (1)</w:t>
            </w:r>
          </w:p>
        </w:tc>
        <w:tc>
          <w:tcPr>
            <w:tcW w:w="2644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</w:tcPr>
          <w:p w14:paraId="6B6A0A0B">
            <w:pPr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It is necessary to consider clinical manifestations when determining whether the virus is the cause of PDAP.</w:t>
            </w:r>
          </w:p>
        </w:tc>
      </w:tr>
      <w:tr w14:paraId="098A9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9A5A24">
            <w:pPr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Ye, 2022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superscript"/>
                <w:lang w:val="en-US" w:eastAsia="zh-CN"/>
              </w:rPr>
              <w:t>[23]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3756BF">
            <w:pPr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/>
              </w:rPr>
              <w:t>Foshan, China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35C122">
            <w:pPr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/>
              </w:rPr>
              <w:t>Clinical research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3BE6C5">
            <w:pPr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30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FADDEA">
            <w:pPr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10%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A53577">
            <w:pPr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CMV (2),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/>
              </w:rPr>
              <w:t>HHV-6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B (1)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6A5DD1">
            <w:pPr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/>
              </w:rPr>
              <w:t>eritonitis in patients with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/>
              </w:rPr>
              <w:t>negative culture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/>
              </w:rPr>
              <w:t>may be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/>
              </w:rPr>
              <w:t>caused by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virus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.</w:t>
            </w:r>
          </w:p>
        </w:tc>
      </w:tr>
      <w:tr w14:paraId="7EECA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AAD373">
            <w:pPr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Guo, 2024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superscript"/>
                <w:lang w:val="en-US" w:eastAsia="zh-CN"/>
              </w:rPr>
              <w:t>[24]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181022">
            <w:pPr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/>
              </w:rPr>
              <w:t>Beijing, China.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8156BF">
            <w:pPr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/>
              </w:rPr>
              <w:t>Clinical research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7BA7C3">
            <w:pPr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31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51FD58">
            <w:pPr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35.5%</w:t>
            </w:r>
          </w:p>
        </w:tc>
        <w:tc>
          <w:tcPr>
            <w:tcW w:w="2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CE07AB">
            <w:pPr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CMV (5), HPgV Virus Type C (3), HHV-6A (2), Human metapneumovirus (1)</w:t>
            </w:r>
          </w:p>
        </w:tc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7EC650">
            <w:pPr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It is necessary to consider clinical manifestations when determining whether the virus is the cause of PDAP.</w:t>
            </w:r>
          </w:p>
        </w:tc>
      </w:tr>
      <w:tr w14:paraId="00411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7CDFC47D">
            <w:pPr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Li, 2024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superscript"/>
                <w:lang w:val="en-US" w:eastAsia="zh-CN"/>
              </w:rPr>
              <w:t>[25]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2FA96DC4">
            <w:pPr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Guangzhou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/>
              </w:rPr>
              <w:t>, China.</w:t>
            </w:r>
          </w:p>
        </w:tc>
        <w:tc>
          <w:tcPr>
            <w:tcW w:w="105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0C748B2A">
            <w:pPr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/>
              </w:rPr>
              <w:t>Clinical research</w:t>
            </w:r>
          </w:p>
        </w:tc>
        <w:tc>
          <w:tcPr>
            <w:tcW w:w="89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5BDC8647">
            <w:pPr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154</w:t>
            </w:r>
          </w:p>
        </w:tc>
        <w:tc>
          <w:tcPr>
            <w:tcW w:w="146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0C891C4F">
            <w:pPr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27.3%</w:t>
            </w:r>
          </w:p>
        </w:tc>
        <w:tc>
          <w:tcPr>
            <w:tcW w:w="274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4B9DF846">
            <w:pPr>
              <w:jc w:val="left"/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 xml:space="preserve">CMV (33), EBV (2), HHV-7 (2), Hepatitis B virus(2), </w:t>
            </w: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/>
              </w:rPr>
              <w:t>HHV-6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B (1), Gammapapillomavirus 12(1), Betapapillomavirus 2(1)</w:t>
            </w:r>
          </w:p>
        </w:tc>
        <w:tc>
          <w:tcPr>
            <w:tcW w:w="264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</w:tcPr>
          <w:p w14:paraId="5979941E">
            <w:pPr>
              <w:jc w:val="left"/>
              <w:rPr>
                <w:rFonts w:hint="eastAsia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000000"/>
                <w:sz w:val="21"/>
                <w:szCs w:val="21"/>
                <w:vertAlign w:val="baseline"/>
                <w:lang w:val="en-US"/>
              </w:rPr>
              <w:t>Integrating viral diagnostics into clinical practice may improve treatment outcomes</w:t>
            </w:r>
            <w:r>
              <w:rPr>
                <w:rFonts w:hint="eastAsia" w:ascii="Times New Roman" w:hAnsi="Times New Roman" w:cs="Times New Roman"/>
                <w:b w:val="0"/>
                <w:color w:val="000000"/>
                <w:sz w:val="21"/>
                <w:szCs w:val="21"/>
                <w:vertAlign w:val="baseline"/>
                <w:lang w:val="en-US" w:eastAsia="zh-CN"/>
              </w:rPr>
              <w:t>.</w:t>
            </w:r>
          </w:p>
        </w:tc>
      </w:tr>
    </w:tbl>
    <w:p w14:paraId="5ED480DE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1" w:fontKey="{987229C0-0A45-4A80-907A-99B16DCE15F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F84DCC"/>
    <w:rsid w:val="019C4BB5"/>
    <w:rsid w:val="1F6B5555"/>
    <w:rsid w:val="1FB13BB8"/>
    <w:rsid w:val="255040E5"/>
    <w:rsid w:val="38AA4318"/>
    <w:rsid w:val="40AA056E"/>
    <w:rsid w:val="4F3C208C"/>
    <w:rsid w:val="511853EC"/>
    <w:rsid w:val="512467CC"/>
    <w:rsid w:val="58313482"/>
    <w:rsid w:val="6E6D45C6"/>
    <w:rsid w:val="768A0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12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5">
    <w:name w:val="Medium Grid 3"/>
    <w:basedOn w:val="3"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6">
    <w:name w:val="Medium Grid 3 Accent 1"/>
    <w:basedOn w:val="3"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7">
    <w:name w:val="Medium Grid 3 Accent 2"/>
    <w:basedOn w:val="3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8">
    <w:name w:val="Medium Grid 3 Accent 3"/>
    <w:basedOn w:val="3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9">
    <w:name w:val="Medium Grid 3 Accent 4"/>
    <w:basedOn w:val="3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10">
    <w:name w:val="Medium Grid 3 Accent 5"/>
    <w:basedOn w:val="3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11">
    <w:name w:val="Medium Grid 3 Accent 6"/>
    <w:basedOn w:val="3"/>
    <w:qFormat/>
    <w:uiPriority w:val="69"/>
    <w:tblPr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sz="8" w:space="0"/>
          <w:insideV w:val="single" w:sz="8" w:space="0"/>
        </w:tcBorders>
        <w:shd w:val="clear" w:color="auto" w:fill="FBCAA2"/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1067</Words>
  <Characters>6318</Characters>
  <Paragraphs>516</Paragraphs>
  <TotalTime>4</TotalTime>
  <ScaleCrop>false</ScaleCrop>
  <LinksUpToDate>false</LinksUpToDate>
  <CharactersWithSpaces>7066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2026-04-07T03:11:00Z</dcterms:created>
  <dc:creator>浮生少女梦</dc:creator>
  <cp:lastModifiedBy>浮生少女梦</cp:lastModifiedBy>
  <dcterms:modified xsi:type="dcterms:W3CDTF">2026-05-11T10:45:33Z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A321AE81155E4CE69176D4D4202F4664_13</vt:lpwstr>
  </property>
  <property fmtid="{D5CDD505-2E9C-101B-9397-08002B2CF9AE}" pid="4" name="KSOTemplateDocerSaveRecord">
    <vt:lpwstr>eyJoZGlkIjoiYzMwZTJkODEyZDhjOTEwZjc0N2ZjOTk5MDhjZjU1M2QiLCJ1c2VySWQiOiI2NDg1NTE0MjQifQ==</vt:lpwstr>
  </property>
</Properties>
</file>