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647CF">
      <w:pPr>
        <w:spacing w:before="240" w:line="360" w:lineRule="auto"/>
        <w:ind w:firstLine="720"/>
        <w:jc w:val="both"/>
        <w:rPr>
          <w:rFonts w:ascii="Times New Roman" w:hAnsi="Times New Roman" w:cs="Times New Roman"/>
          <w:b/>
          <w:bCs/>
          <w:sz w:val="24"/>
          <w:szCs w:val="24"/>
          <w:u w:val="single"/>
        </w:rPr>
      </w:pPr>
      <w:bookmarkStart w:id="0" w:name="_Hlk119423184"/>
      <w:r>
        <w:rPr>
          <w:rFonts w:ascii="Times New Roman" w:hAnsi="Times New Roman" w:cs="Times New Roman"/>
          <w:b/>
          <w:bCs/>
          <w:sz w:val="24"/>
          <w:szCs w:val="24"/>
          <w:u w:val="single"/>
        </w:rPr>
        <w:t>Development and Fortification of millet pulse based complementary food.</w:t>
      </w:r>
    </w:p>
    <w:bookmarkEnd w:id="0"/>
    <w:p w14:paraId="575E44B8">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Desirable characteristics of a complementary food according to Indian Academy of Paediatrics are the following: 1) The food should be rich in calories and adequate in good-quality protein, vitamins, and minerals. 2) The food, when stirred with cold or warm water or milk, should form a slurry or semisolid mass of soft consistency, enabling the child to swallow it easily. 3) The prepared food should have low dietary bulk. 4) The food should be precooked and pre digested or processed in such a way that it needs minimum preparation prior to feeding and is easily digested by the child. 5) The food should be free from antinutritional factors and low in indigestible fibre content. 6) It is advisable not to add artificial colours and flavours to complementary foods, and the composition of the food must follow the guidelines and standards recommended by competent agencies, such as the Bureau of Indian Standards. </w:t>
      </w:r>
    </w:p>
    <w:p w14:paraId="4182A058">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On these basis complementary food </w:t>
      </w:r>
      <w:r>
        <w:rPr>
          <w:rFonts w:hint="default" w:ascii="Times New Roman" w:hAnsi="Times New Roman" w:cs="Times New Roman"/>
          <w:sz w:val="24"/>
          <w:szCs w:val="24"/>
          <w:lang w:val="en-IN"/>
        </w:rPr>
        <w:t xml:space="preserve">is </w:t>
      </w:r>
      <w:r>
        <w:rPr>
          <w:rFonts w:ascii="Times New Roman" w:hAnsi="Times New Roman" w:cs="Times New Roman"/>
          <w:sz w:val="24"/>
          <w:szCs w:val="24"/>
        </w:rPr>
        <w:t xml:space="preserve">prepared by mixing (i) </w:t>
      </w:r>
      <w:r>
        <w:rPr>
          <w:rFonts w:hint="default" w:ascii="Times New Roman" w:hAnsi="Times New Roman" w:cs="Times New Roman"/>
          <w:sz w:val="24"/>
          <w:szCs w:val="24"/>
          <w:lang w:val="en-IN"/>
        </w:rPr>
        <w:t xml:space="preserve">60 g of </w:t>
      </w:r>
      <w:r>
        <w:rPr>
          <w:rFonts w:ascii="Times New Roman" w:hAnsi="Times New Roman" w:cs="Times New Roman"/>
          <w:sz w:val="24"/>
          <w:szCs w:val="24"/>
        </w:rPr>
        <w:t xml:space="preserve">malted pearl millet (Penicitum typhidium L), </w:t>
      </w:r>
      <w:r>
        <w:rPr>
          <w:rFonts w:hint="default" w:ascii="Times New Roman" w:hAnsi="Times New Roman" w:cs="Times New Roman"/>
          <w:sz w:val="24"/>
          <w:szCs w:val="24"/>
          <w:lang w:val="en-IN"/>
        </w:rPr>
        <w:t xml:space="preserve">20 g of </w:t>
      </w:r>
      <w:r>
        <w:rPr>
          <w:rFonts w:ascii="Times New Roman" w:hAnsi="Times New Roman" w:cs="Times New Roman"/>
          <w:sz w:val="24"/>
          <w:szCs w:val="24"/>
        </w:rPr>
        <w:t>roasted amaranth (Amaranthus sp.)</w:t>
      </w:r>
      <w:r>
        <w:rPr>
          <w:rFonts w:hint="default" w:ascii="Times New Roman" w:hAnsi="Times New Roman" w:cs="Times New Roman"/>
          <w:sz w:val="24"/>
          <w:szCs w:val="24"/>
          <w:lang w:val="en-IN"/>
        </w:rPr>
        <w:t xml:space="preserve"> and</w:t>
      </w:r>
      <w:r>
        <w:rPr>
          <w:rFonts w:ascii="Times New Roman" w:hAnsi="Times New Roman" w:cs="Times New Roman"/>
          <w:sz w:val="24"/>
          <w:szCs w:val="24"/>
        </w:rPr>
        <w:t xml:space="preserve"> </w:t>
      </w:r>
      <w:r>
        <w:rPr>
          <w:rFonts w:hint="default" w:ascii="Times New Roman" w:hAnsi="Times New Roman" w:cs="Times New Roman"/>
          <w:sz w:val="24"/>
          <w:szCs w:val="24"/>
          <w:lang w:val="en-IN"/>
        </w:rPr>
        <w:t xml:space="preserve">40 g of </w:t>
      </w:r>
      <w:r>
        <w:rPr>
          <w:rFonts w:ascii="Times New Roman" w:hAnsi="Times New Roman" w:cs="Times New Roman"/>
          <w:sz w:val="24"/>
          <w:szCs w:val="24"/>
        </w:rPr>
        <w:t xml:space="preserve">roasted green gram (Vigna radiata). </w:t>
      </w:r>
    </w:p>
    <w:p w14:paraId="5327F4D8">
      <w:pPr>
        <w:spacing w:line="360" w:lineRule="auto"/>
        <w:ind w:firstLine="720"/>
        <w:jc w:val="both"/>
        <w:rPr>
          <w:rFonts w:ascii="Times New Roman" w:hAnsi="Times New Roman" w:cs="Times New Roman"/>
          <w:sz w:val="24"/>
          <w:szCs w:val="24"/>
        </w:rPr>
      </w:pPr>
      <w:r>
        <w:rPr>
          <w:rFonts w:ascii="Times New Roman" w:hAnsi="Times New Roman" w:cs="Times New Roman"/>
          <w:b/>
          <w:bCs/>
          <w:sz w:val="24"/>
          <w:szCs w:val="24"/>
          <w:u w:val="single"/>
        </w:rPr>
        <w:t>Processing Procedures</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p>
    <w:p w14:paraId="66F760D3">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Pearl millet w</w:t>
      </w:r>
      <w:r>
        <w:rPr>
          <w:rFonts w:hint="default" w:ascii="Times New Roman" w:hAnsi="Times New Roman" w:cs="Times New Roman"/>
          <w:sz w:val="24"/>
          <w:szCs w:val="24"/>
          <w:lang w:val="en-IN"/>
        </w:rPr>
        <w:t>as</w:t>
      </w:r>
      <w:r>
        <w:rPr>
          <w:rFonts w:ascii="Times New Roman" w:hAnsi="Times New Roman" w:cs="Times New Roman"/>
          <w:sz w:val="24"/>
          <w:szCs w:val="24"/>
        </w:rPr>
        <w:t xml:space="preserve"> steeped in double amount of water at ambient temperature for 12 hours. The soaked seeds w</w:t>
      </w:r>
      <w:r>
        <w:rPr>
          <w:rFonts w:hint="default" w:ascii="Times New Roman" w:hAnsi="Times New Roman" w:cs="Times New Roman"/>
          <w:sz w:val="24"/>
          <w:szCs w:val="24"/>
          <w:lang w:val="en-IN"/>
        </w:rPr>
        <w:t>as</w:t>
      </w:r>
      <w:r>
        <w:rPr>
          <w:rFonts w:ascii="Times New Roman" w:hAnsi="Times New Roman" w:cs="Times New Roman"/>
          <w:sz w:val="24"/>
          <w:szCs w:val="24"/>
        </w:rPr>
        <w:t xml:space="preserve"> wrapped in damp muslin cloth and allowed to sprout at room temperature for 36 hours. Then the sprouts </w:t>
      </w:r>
      <w:r>
        <w:rPr>
          <w:rFonts w:hint="default" w:ascii="Times New Roman" w:hAnsi="Times New Roman" w:cs="Times New Roman"/>
          <w:sz w:val="24"/>
          <w:szCs w:val="24"/>
          <w:lang w:val="en-IN"/>
        </w:rPr>
        <w:t>was</w:t>
      </w:r>
      <w:r>
        <w:rPr>
          <w:rFonts w:ascii="Times New Roman" w:hAnsi="Times New Roman" w:cs="Times New Roman"/>
          <w:sz w:val="24"/>
          <w:szCs w:val="24"/>
        </w:rPr>
        <w:t xml:space="preserve"> dried overnight. </w:t>
      </w:r>
      <w:r>
        <w:rPr>
          <w:rFonts w:hint="default" w:ascii="Times New Roman" w:hAnsi="Times New Roman" w:cs="Times New Roman"/>
          <w:sz w:val="24"/>
          <w:szCs w:val="24"/>
          <w:lang w:val="en-IN"/>
        </w:rPr>
        <w:t>Dried and s</w:t>
      </w:r>
      <w:r>
        <w:rPr>
          <w:rFonts w:ascii="Times New Roman" w:hAnsi="Times New Roman" w:cs="Times New Roman"/>
          <w:sz w:val="24"/>
          <w:szCs w:val="24"/>
        </w:rPr>
        <w:t>prouted cereals were roasted to develop malt aroma. Grains of green gram and amaranth w</w:t>
      </w:r>
      <w:r>
        <w:rPr>
          <w:rFonts w:hint="default" w:ascii="Times New Roman" w:hAnsi="Times New Roman" w:cs="Times New Roman"/>
          <w:sz w:val="24"/>
          <w:szCs w:val="24"/>
          <w:lang w:val="en-IN"/>
        </w:rPr>
        <w:t xml:space="preserve">as </w:t>
      </w:r>
      <w:r>
        <w:rPr>
          <w:rFonts w:ascii="Times New Roman" w:hAnsi="Times New Roman" w:cs="Times New Roman"/>
          <w:sz w:val="24"/>
          <w:szCs w:val="24"/>
        </w:rPr>
        <w:t xml:space="preserve">roasted in a skillet till a uniformly light brown colour </w:t>
      </w:r>
      <w:r>
        <w:rPr>
          <w:rFonts w:hint="default" w:ascii="Times New Roman" w:hAnsi="Times New Roman" w:cs="Times New Roman"/>
          <w:sz w:val="24"/>
          <w:szCs w:val="24"/>
          <w:lang w:val="en-IN"/>
        </w:rPr>
        <w:t>wa</w:t>
      </w:r>
      <w:r>
        <w:rPr>
          <w:rFonts w:ascii="Times New Roman" w:hAnsi="Times New Roman" w:cs="Times New Roman"/>
          <w:sz w:val="24"/>
          <w:szCs w:val="24"/>
        </w:rPr>
        <w:t xml:space="preserve">s obtained. The malted and the roasted ingredients </w:t>
      </w:r>
      <w:r>
        <w:rPr>
          <w:rFonts w:hint="default" w:ascii="Times New Roman" w:hAnsi="Times New Roman" w:cs="Times New Roman"/>
          <w:sz w:val="24"/>
          <w:szCs w:val="24"/>
          <w:lang w:val="en-IN"/>
        </w:rPr>
        <w:t>we</w:t>
      </w:r>
      <w:r>
        <w:rPr>
          <w:rFonts w:ascii="Times New Roman" w:hAnsi="Times New Roman" w:cs="Times New Roman"/>
          <w:sz w:val="24"/>
          <w:szCs w:val="24"/>
        </w:rPr>
        <w:t xml:space="preserve">re mixed and milled in pulveriser. The malt powder </w:t>
      </w:r>
      <w:r>
        <w:rPr>
          <w:rFonts w:hint="default" w:ascii="Times New Roman" w:hAnsi="Times New Roman" w:cs="Times New Roman"/>
          <w:sz w:val="24"/>
          <w:szCs w:val="24"/>
          <w:lang w:val="en-IN"/>
        </w:rPr>
        <w:t>wa</w:t>
      </w:r>
      <w:r>
        <w:rPr>
          <w:rFonts w:ascii="Times New Roman" w:hAnsi="Times New Roman" w:cs="Times New Roman"/>
          <w:sz w:val="24"/>
          <w:szCs w:val="24"/>
        </w:rPr>
        <w:t>s sieved and vacuum packed.</w:t>
      </w:r>
    </w:p>
    <w:p w14:paraId="364EDE33">
      <w:pPr>
        <w:spacing w:line="360" w:lineRule="auto"/>
        <w:ind w:left="720"/>
        <w:jc w:val="both"/>
        <w:rPr>
          <w:rFonts w:hint="default" w:ascii="Times New Roman" w:hAnsi="Times New Roman" w:cs="Times New Roman"/>
          <w:sz w:val="24"/>
          <w:szCs w:val="24"/>
          <w:lang w:val="en-IN"/>
        </w:rPr>
      </w:pPr>
    </w:p>
    <w:p w14:paraId="7FA06298">
      <w:pPr>
        <w:spacing w:line="360" w:lineRule="auto"/>
        <w:ind w:left="720"/>
        <w:jc w:val="both"/>
        <w:rPr>
          <w:rFonts w:ascii="Times New Roman" w:hAnsi="Times New Roman" w:cs="Times New Roman"/>
          <w:sz w:val="24"/>
          <w:szCs w:val="24"/>
        </w:rPr>
      </w:pPr>
    </w:p>
    <w:p w14:paraId="0C3D24A2">
      <w:pPr>
        <w:spacing w:line="360" w:lineRule="auto"/>
        <w:ind w:left="720"/>
        <w:jc w:val="both"/>
        <w:rPr>
          <w:rFonts w:ascii="Times New Roman" w:hAnsi="Times New Roman" w:cs="Times New Roman"/>
          <w:sz w:val="24"/>
          <w:szCs w:val="24"/>
        </w:rPr>
      </w:pPr>
    </w:p>
    <w:p w14:paraId="0115C1FB">
      <w:pPr>
        <w:spacing w:line="360" w:lineRule="auto"/>
        <w:ind w:left="720"/>
        <w:jc w:val="both"/>
        <w:rPr>
          <w:rFonts w:ascii="Times New Roman" w:hAnsi="Times New Roman" w:cs="Times New Roman"/>
          <w:sz w:val="24"/>
          <w:szCs w:val="24"/>
        </w:rPr>
      </w:pPr>
    </w:p>
    <w:p w14:paraId="603A7766">
      <w:pPr>
        <w:spacing w:line="240" w:lineRule="auto"/>
        <w:ind w:left="720"/>
        <w:jc w:val="both"/>
        <w:rPr>
          <w:rFonts w:ascii="Times New Roman" w:hAnsi="Times New Roman" w:cs="Times New Roman"/>
          <w:sz w:val="24"/>
          <w:szCs w:val="24"/>
        </w:rPr>
      </w:pPr>
    </w:p>
    <w:tbl>
      <w:tblPr>
        <w:tblStyle w:val="4"/>
        <w:tblpPr w:leftFromText="180" w:rightFromText="180" w:vertAnchor="text" w:horzAnchor="page" w:tblpXSpec="center" w:tblpY="629"/>
        <w:tblOverlap w:val="never"/>
        <w:tblW w:w="9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4"/>
        <w:gridCol w:w="1057"/>
        <w:gridCol w:w="1383"/>
        <w:gridCol w:w="1282"/>
        <w:gridCol w:w="1280"/>
        <w:gridCol w:w="1073"/>
        <w:gridCol w:w="1297"/>
      </w:tblGrid>
      <w:tr w14:paraId="4443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1" w:type="dxa"/>
          </w:tcPr>
          <w:p w14:paraId="3A53C6A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p>
        </w:tc>
        <w:tc>
          <w:tcPr>
            <w:tcW w:w="1003" w:type="dxa"/>
          </w:tcPr>
          <w:p w14:paraId="2B5B6E7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lang w:val="en-IN"/>
              </w:rPr>
            </w:pPr>
            <w:r>
              <w:rPr>
                <w:rFonts w:hint="default" w:ascii="Times New Roman" w:hAnsi="Times New Roman" w:cs="Times New Roman"/>
                <w:b/>
                <w:bCs/>
                <w:sz w:val="24"/>
                <w:szCs w:val="24"/>
              </w:rPr>
              <w:t>Amount</w:t>
            </w:r>
            <w:r>
              <w:rPr>
                <w:rFonts w:hint="default" w:ascii="Times New Roman" w:hAnsi="Times New Roman" w:cs="Times New Roman"/>
                <w:b/>
                <w:bCs/>
                <w:sz w:val="24"/>
                <w:szCs w:val="24"/>
                <w:lang w:val="en-IN"/>
              </w:rPr>
              <w:t xml:space="preserve"> (g)</w:t>
            </w:r>
          </w:p>
        </w:tc>
        <w:tc>
          <w:tcPr>
            <w:tcW w:w="1391" w:type="dxa"/>
            <w:vAlign w:val="center"/>
          </w:tcPr>
          <w:p w14:paraId="71BDC163">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lang w:val="en-IN"/>
              </w:rPr>
            </w:pPr>
            <w:r>
              <w:rPr>
                <w:rFonts w:hint="default" w:ascii="Times New Roman" w:hAnsi="Times New Roman" w:eastAsia="Times New Roman" w:cs="Times New Roman"/>
                <w:b/>
                <w:bCs/>
                <w:kern w:val="0"/>
                <w:sz w:val="22"/>
                <w:szCs w:val="22"/>
                <w:lang w:val="en-US" w:eastAsia="zh-CN" w:bidi="ar"/>
              </w:rPr>
              <w:t xml:space="preserve">Energy </w:t>
            </w:r>
            <w:r>
              <w:rPr>
                <w:rFonts w:hint="default" w:ascii="Times New Roman" w:hAnsi="Times New Roman" w:eastAsia="Times New Roman" w:cs="Times New Roman"/>
                <w:b/>
                <w:bCs/>
                <w:kern w:val="0"/>
                <w:sz w:val="22"/>
                <w:szCs w:val="22"/>
                <w:lang w:val="en-IN" w:eastAsia="zh-CN" w:bidi="ar"/>
              </w:rPr>
              <w:t>(</w:t>
            </w:r>
            <w:r>
              <w:rPr>
                <w:rFonts w:hint="default" w:ascii="Times New Roman" w:hAnsi="Times New Roman" w:eastAsia="Times New Roman" w:cs="Times New Roman"/>
                <w:b/>
                <w:bCs/>
                <w:kern w:val="0"/>
                <w:sz w:val="22"/>
                <w:szCs w:val="22"/>
                <w:lang w:val="en-US" w:eastAsia="zh-CN" w:bidi="ar"/>
              </w:rPr>
              <w:t>kcal</w:t>
            </w:r>
            <w:r>
              <w:rPr>
                <w:rFonts w:hint="default" w:ascii="Times New Roman" w:hAnsi="Times New Roman" w:eastAsia="Times New Roman" w:cs="Times New Roman"/>
                <w:b/>
                <w:bCs/>
                <w:kern w:val="0"/>
                <w:sz w:val="22"/>
                <w:szCs w:val="22"/>
                <w:lang w:val="en-IN" w:eastAsia="zh-CN" w:bidi="ar"/>
              </w:rPr>
              <w:t>)</w:t>
            </w:r>
          </w:p>
        </w:tc>
        <w:tc>
          <w:tcPr>
            <w:tcW w:w="1288" w:type="dxa"/>
            <w:vAlign w:val="center"/>
          </w:tcPr>
          <w:p w14:paraId="7DBC31EC">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lang w:val="en-IN"/>
              </w:rPr>
            </w:pPr>
            <w:r>
              <w:rPr>
                <w:rFonts w:hint="default" w:ascii="Times New Roman" w:hAnsi="Times New Roman" w:eastAsia="Times New Roman" w:cs="Times New Roman"/>
                <w:b/>
                <w:bCs/>
                <w:kern w:val="0"/>
                <w:sz w:val="22"/>
                <w:szCs w:val="22"/>
                <w:lang w:val="en-US" w:eastAsia="zh-CN" w:bidi="ar"/>
              </w:rPr>
              <w:t xml:space="preserve">Protein </w:t>
            </w:r>
            <w:r>
              <w:rPr>
                <w:rFonts w:hint="default" w:ascii="Times New Roman" w:hAnsi="Times New Roman" w:eastAsia="Times New Roman" w:cs="Times New Roman"/>
                <w:b/>
                <w:bCs/>
                <w:kern w:val="0"/>
                <w:sz w:val="22"/>
                <w:szCs w:val="22"/>
                <w:lang w:val="en-IN" w:eastAsia="zh-CN" w:bidi="ar"/>
              </w:rPr>
              <w:t>(</w:t>
            </w:r>
            <w:r>
              <w:rPr>
                <w:rFonts w:hint="default" w:ascii="Times New Roman" w:hAnsi="Times New Roman" w:eastAsia="Times New Roman" w:cs="Times New Roman"/>
                <w:b/>
                <w:bCs/>
                <w:kern w:val="0"/>
                <w:sz w:val="22"/>
                <w:szCs w:val="22"/>
                <w:lang w:val="en-US" w:eastAsia="zh-CN" w:bidi="ar"/>
              </w:rPr>
              <w:t>g</w:t>
            </w:r>
            <w:r>
              <w:rPr>
                <w:rFonts w:hint="default" w:ascii="Times New Roman" w:hAnsi="Times New Roman" w:eastAsia="Times New Roman" w:cs="Times New Roman"/>
                <w:b/>
                <w:bCs/>
                <w:kern w:val="0"/>
                <w:sz w:val="22"/>
                <w:szCs w:val="22"/>
                <w:lang w:val="en-IN" w:eastAsia="zh-CN" w:bidi="ar"/>
              </w:rPr>
              <w:t>)</w:t>
            </w:r>
          </w:p>
        </w:tc>
        <w:tc>
          <w:tcPr>
            <w:tcW w:w="1291" w:type="dxa"/>
            <w:vAlign w:val="center"/>
          </w:tcPr>
          <w:p w14:paraId="14F8CECF">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lang w:val="en-IN"/>
              </w:rPr>
            </w:pPr>
            <w:r>
              <w:rPr>
                <w:rFonts w:hint="default" w:ascii="Times New Roman" w:hAnsi="Times New Roman" w:eastAsia="Times New Roman" w:cs="Times New Roman"/>
                <w:b/>
                <w:bCs/>
                <w:kern w:val="0"/>
                <w:sz w:val="22"/>
                <w:szCs w:val="22"/>
                <w:lang w:val="en-US" w:eastAsia="zh-CN" w:bidi="ar"/>
              </w:rPr>
              <w:t xml:space="preserve">Iron </w:t>
            </w:r>
            <w:r>
              <w:rPr>
                <w:rFonts w:hint="default" w:ascii="Times New Roman" w:hAnsi="Times New Roman" w:eastAsia="Times New Roman" w:cs="Times New Roman"/>
                <w:b/>
                <w:bCs/>
                <w:kern w:val="0"/>
                <w:sz w:val="22"/>
                <w:szCs w:val="22"/>
                <w:lang w:val="en-IN" w:eastAsia="zh-CN" w:bidi="ar"/>
              </w:rPr>
              <w:t>(</w:t>
            </w:r>
            <w:r>
              <w:rPr>
                <w:rFonts w:hint="default" w:ascii="Times New Roman" w:hAnsi="Times New Roman" w:eastAsia="Times New Roman" w:cs="Times New Roman"/>
                <w:b/>
                <w:bCs/>
                <w:kern w:val="0"/>
                <w:sz w:val="22"/>
                <w:szCs w:val="22"/>
                <w:lang w:val="en-US" w:eastAsia="zh-CN" w:bidi="ar"/>
              </w:rPr>
              <w:t>mg</w:t>
            </w:r>
            <w:r>
              <w:rPr>
                <w:rFonts w:hint="default" w:ascii="Times New Roman" w:hAnsi="Times New Roman" w:eastAsia="Times New Roman" w:cs="Times New Roman"/>
                <w:b/>
                <w:bCs/>
                <w:kern w:val="0"/>
                <w:sz w:val="22"/>
                <w:szCs w:val="22"/>
                <w:lang w:val="en-IN" w:eastAsia="zh-CN" w:bidi="ar"/>
              </w:rPr>
              <w:t>)</w:t>
            </w:r>
          </w:p>
        </w:tc>
        <w:tc>
          <w:tcPr>
            <w:tcW w:w="1080" w:type="dxa"/>
            <w:vAlign w:val="center"/>
          </w:tcPr>
          <w:p w14:paraId="381E0DCA">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lang w:val="en-IN"/>
              </w:rPr>
            </w:pPr>
            <w:r>
              <w:rPr>
                <w:rFonts w:hint="default" w:ascii="Times New Roman" w:hAnsi="Times New Roman" w:eastAsia="Times New Roman" w:cs="Times New Roman"/>
                <w:b/>
                <w:bCs/>
                <w:kern w:val="0"/>
                <w:sz w:val="22"/>
                <w:szCs w:val="22"/>
                <w:lang w:val="en-US" w:eastAsia="zh-CN" w:bidi="ar"/>
              </w:rPr>
              <w:t xml:space="preserve">Zinc </w:t>
            </w:r>
            <w:r>
              <w:rPr>
                <w:rFonts w:hint="default" w:ascii="Times New Roman" w:hAnsi="Times New Roman" w:eastAsia="Times New Roman" w:cs="Times New Roman"/>
                <w:b/>
                <w:bCs/>
                <w:kern w:val="0"/>
                <w:sz w:val="22"/>
                <w:szCs w:val="22"/>
                <w:lang w:val="en-IN" w:eastAsia="zh-CN" w:bidi="ar"/>
              </w:rPr>
              <w:t>(</w:t>
            </w:r>
            <w:r>
              <w:rPr>
                <w:rFonts w:hint="default" w:ascii="Times New Roman" w:hAnsi="Times New Roman" w:eastAsia="Times New Roman" w:cs="Times New Roman"/>
                <w:b/>
                <w:bCs/>
                <w:kern w:val="0"/>
                <w:sz w:val="22"/>
                <w:szCs w:val="22"/>
                <w:lang w:val="en-US" w:eastAsia="zh-CN" w:bidi="ar"/>
              </w:rPr>
              <w:t>mg</w:t>
            </w:r>
            <w:r>
              <w:rPr>
                <w:rFonts w:hint="default" w:ascii="Times New Roman" w:hAnsi="Times New Roman" w:eastAsia="Times New Roman" w:cs="Times New Roman"/>
                <w:b/>
                <w:bCs/>
                <w:kern w:val="0"/>
                <w:sz w:val="22"/>
                <w:szCs w:val="22"/>
                <w:lang w:val="en-IN" w:eastAsia="zh-CN" w:bidi="ar"/>
              </w:rPr>
              <w:t>)</w:t>
            </w:r>
          </w:p>
        </w:tc>
        <w:tc>
          <w:tcPr>
            <w:tcW w:w="1302" w:type="dxa"/>
            <w:vAlign w:val="center"/>
          </w:tcPr>
          <w:p w14:paraId="3A2B6C3D">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b/>
                <w:bCs/>
                <w:kern w:val="0"/>
                <w:sz w:val="22"/>
                <w:szCs w:val="22"/>
                <w:lang w:val="en-IN" w:eastAsia="zh-CN" w:bidi="ar"/>
              </w:rPr>
            </w:pPr>
            <w:r>
              <w:rPr>
                <w:rFonts w:hint="default" w:ascii="Times New Roman" w:hAnsi="Times New Roman" w:eastAsia="Times New Roman" w:cs="Times New Roman"/>
                <w:b/>
                <w:bCs/>
                <w:kern w:val="0"/>
                <w:sz w:val="22"/>
                <w:szCs w:val="22"/>
                <w:lang w:val="en-IN" w:eastAsia="zh-CN" w:bidi="ar"/>
              </w:rPr>
              <w:t>Vitamin C (mg)</w:t>
            </w:r>
          </w:p>
        </w:tc>
      </w:tr>
      <w:tr w14:paraId="704A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101" w:type="dxa"/>
          </w:tcPr>
          <w:p w14:paraId="22C4CFF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Malted Pearl Millet</w:t>
            </w:r>
          </w:p>
        </w:tc>
        <w:tc>
          <w:tcPr>
            <w:tcW w:w="1003" w:type="dxa"/>
          </w:tcPr>
          <w:p w14:paraId="05790F2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60</w:t>
            </w:r>
          </w:p>
        </w:tc>
        <w:tc>
          <w:tcPr>
            <w:tcW w:w="1391" w:type="dxa"/>
            <w:vAlign w:val="center"/>
          </w:tcPr>
          <w:p w14:paraId="665C8C15">
            <w:pPr>
              <w:keepNext w:val="0"/>
              <w:keepLines w:val="0"/>
              <w:widowControl/>
              <w:suppressLineNumbers w:val="0"/>
              <w:spacing w:before="0" w:beforeAutospacing="0" w:after="0" w:afterAutospacing="0" w:line="240" w:lineRule="auto"/>
              <w:ind w:left="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22</w:t>
            </w:r>
            <w:bookmarkStart w:id="1" w:name="_GoBack"/>
            <w:bookmarkEnd w:id="1"/>
            <w:r>
              <w:rPr>
                <w:rFonts w:hint="default" w:ascii="Times New Roman" w:hAnsi="Times New Roman" w:eastAsia="Times New Roman" w:cs="Times New Roman"/>
                <w:kern w:val="0"/>
                <w:sz w:val="22"/>
                <w:szCs w:val="22"/>
                <w:lang w:val="en-US" w:eastAsia="zh-CN" w:bidi="ar"/>
              </w:rPr>
              <w:t>6</w:t>
            </w:r>
          </w:p>
        </w:tc>
        <w:tc>
          <w:tcPr>
            <w:tcW w:w="1288" w:type="dxa"/>
            <w:vAlign w:val="center"/>
          </w:tcPr>
          <w:p w14:paraId="50E6E059">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6.7</w:t>
            </w:r>
          </w:p>
        </w:tc>
        <w:tc>
          <w:tcPr>
            <w:tcW w:w="1291" w:type="dxa"/>
            <w:vAlign w:val="center"/>
          </w:tcPr>
          <w:p w14:paraId="3C28A0A9">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4.8</w:t>
            </w:r>
          </w:p>
        </w:tc>
        <w:tc>
          <w:tcPr>
            <w:tcW w:w="1080" w:type="dxa"/>
            <w:vAlign w:val="center"/>
          </w:tcPr>
          <w:p w14:paraId="34DFFA93">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1.8</w:t>
            </w:r>
          </w:p>
        </w:tc>
        <w:tc>
          <w:tcPr>
            <w:tcW w:w="1302" w:type="dxa"/>
            <w:vAlign w:val="center"/>
          </w:tcPr>
          <w:p w14:paraId="2D9B3A42">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w:t>
            </w:r>
          </w:p>
        </w:tc>
      </w:tr>
      <w:tr w14:paraId="4E57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1" w:type="dxa"/>
          </w:tcPr>
          <w:p w14:paraId="1C6B053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Roasted Green gram</w:t>
            </w:r>
          </w:p>
          <w:p w14:paraId="1505B5D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p>
        </w:tc>
        <w:tc>
          <w:tcPr>
            <w:tcW w:w="1003" w:type="dxa"/>
          </w:tcPr>
          <w:p w14:paraId="71352CB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40</w:t>
            </w:r>
          </w:p>
        </w:tc>
        <w:tc>
          <w:tcPr>
            <w:tcW w:w="1391" w:type="dxa"/>
            <w:vAlign w:val="center"/>
          </w:tcPr>
          <w:p w14:paraId="10F085B4">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44</w:t>
            </w:r>
          </w:p>
        </w:tc>
        <w:tc>
          <w:tcPr>
            <w:tcW w:w="1288" w:type="dxa"/>
            <w:vAlign w:val="center"/>
          </w:tcPr>
          <w:p w14:paraId="4589D284">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3</w:t>
            </w:r>
          </w:p>
        </w:tc>
        <w:tc>
          <w:tcPr>
            <w:tcW w:w="1291" w:type="dxa"/>
            <w:vAlign w:val="center"/>
          </w:tcPr>
          <w:p w14:paraId="65CFBBA2">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3</w:t>
            </w:r>
          </w:p>
        </w:tc>
        <w:tc>
          <w:tcPr>
            <w:tcW w:w="1080" w:type="dxa"/>
            <w:vAlign w:val="center"/>
          </w:tcPr>
          <w:p w14:paraId="7F608DC7">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1</w:t>
            </w:r>
          </w:p>
        </w:tc>
        <w:tc>
          <w:tcPr>
            <w:tcW w:w="1302" w:type="dxa"/>
            <w:vAlign w:val="center"/>
          </w:tcPr>
          <w:p w14:paraId="55CA017A">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w:t>
            </w:r>
          </w:p>
        </w:tc>
      </w:tr>
      <w:tr w14:paraId="202E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1" w:type="dxa"/>
          </w:tcPr>
          <w:p w14:paraId="3F5138E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Roasted Amaranth</w:t>
            </w:r>
          </w:p>
          <w:p w14:paraId="299BD2E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p>
        </w:tc>
        <w:tc>
          <w:tcPr>
            <w:tcW w:w="1003" w:type="dxa"/>
          </w:tcPr>
          <w:p w14:paraId="5A7AD42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20</w:t>
            </w:r>
          </w:p>
        </w:tc>
        <w:tc>
          <w:tcPr>
            <w:tcW w:w="1391" w:type="dxa"/>
            <w:vAlign w:val="center"/>
          </w:tcPr>
          <w:p w14:paraId="7CD9596A">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74</w:t>
            </w:r>
          </w:p>
        </w:tc>
        <w:tc>
          <w:tcPr>
            <w:tcW w:w="1288" w:type="dxa"/>
            <w:vAlign w:val="center"/>
          </w:tcPr>
          <w:p w14:paraId="12EC2378">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2.8</w:t>
            </w:r>
          </w:p>
        </w:tc>
        <w:tc>
          <w:tcPr>
            <w:tcW w:w="1291" w:type="dxa"/>
            <w:vAlign w:val="center"/>
          </w:tcPr>
          <w:p w14:paraId="1FF5B98C">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1.4</w:t>
            </w:r>
          </w:p>
        </w:tc>
        <w:tc>
          <w:tcPr>
            <w:tcW w:w="1080" w:type="dxa"/>
            <w:vAlign w:val="center"/>
          </w:tcPr>
          <w:p w14:paraId="55C8CF76">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0.58</w:t>
            </w:r>
          </w:p>
        </w:tc>
        <w:tc>
          <w:tcPr>
            <w:tcW w:w="1302" w:type="dxa"/>
            <w:vAlign w:val="center"/>
          </w:tcPr>
          <w:p w14:paraId="79D2D70C">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w:t>
            </w:r>
          </w:p>
        </w:tc>
      </w:tr>
      <w:tr w14:paraId="48B9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1" w:type="dxa"/>
          </w:tcPr>
          <w:p w14:paraId="17633E7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Total</w:t>
            </w:r>
          </w:p>
          <w:p w14:paraId="6B02806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p>
        </w:tc>
        <w:tc>
          <w:tcPr>
            <w:tcW w:w="1003" w:type="dxa"/>
          </w:tcPr>
          <w:p w14:paraId="2426AEC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120</w:t>
            </w:r>
          </w:p>
        </w:tc>
        <w:tc>
          <w:tcPr>
            <w:tcW w:w="1391" w:type="dxa"/>
            <w:vAlign w:val="center"/>
          </w:tcPr>
          <w:p w14:paraId="570B3F89">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344</w:t>
            </w:r>
          </w:p>
        </w:tc>
        <w:tc>
          <w:tcPr>
            <w:tcW w:w="1288" w:type="dxa"/>
            <w:vAlign w:val="center"/>
          </w:tcPr>
          <w:p w14:paraId="5CE5E267">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12.5</w:t>
            </w:r>
          </w:p>
        </w:tc>
        <w:tc>
          <w:tcPr>
            <w:tcW w:w="1291" w:type="dxa"/>
            <w:vAlign w:val="center"/>
          </w:tcPr>
          <w:p w14:paraId="11587991">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9.2</w:t>
            </w:r>
          </w:p>
        </w:tc>
        <w:tc>
          <w:tcPr>
            <w:tcW w:w="1080" w:type="dxa"/>
            <w:vAlign w:val="center"/>
          </w:tcPr>
          <w:p w14:paraId="051E6DB6">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3.38</w:t>
            </w:r>
          </w:p>
        </w:tc>
        <w:tc>
          <w:tcPr>
            <w:tcW w:w="1302" w:type="dxa"/>
            <w:vAlign w:val="center"/>
          </w:tcPr>
          <w:p w14:paraId="4984909C">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w:t>
            </w:r>
          </w:p>
        </w:tc>
      </w:tr>
      <w:tr w14:paraId="36B3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1" w:type="dxa"/>
          </w:tcPr>
          <w:p w14:paraId="4EF9869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Per serving</w:t>
            </w:r>
          </w:p>
          <w:p w14:paraId="6962891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p>
        </w:tc>
        <w:tc>
          <w:tcPr>
            <w:tcW w:w="1003" w:type="dxa"/>
          </w:tcPr>
          <w:p w14:paraId="2B8EBDC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25</w:t>
            </w:r>
          </w:p>
        </w:tc>
        <w:tc>
          <w:tcPr>
            <w:tcW w:w="1391" w:type="dxa"/>
            <w:vAlign w:val="center"/>
          </w:tcPr>
          <w:p w14:paraId="5613CD21">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71</w:t>
            </w:r>
          </w:p>
        </w:tc>
        <w:tc>
          <w:tcPr>
            <w:tcW w:w="1288" w:type="dxa"/>
            <w:vAlign w:val="center"/>
          </w:tcPr>
          <w:p w14:paraId="70CD9111">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2.6</w:t>
            </w:r>
          </w:p>
        </w:tc>
        <w:tc>
          <w:tcPr>
            <w:tcW w:w="1291" w:type="dxa"/>
            <w:vAlign w:val="center"/>
          </w:tcPr>
          <w:p w14:paraId="74804117">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0.1</w:t>
            </w:r>
          </w:p>
        </w:tc>
        <w:tc>
          <w:tcPr>
            <w:tcW w:w="1080" w:type="dxa"/>
            <w:vAlign w:val="center"/>
          </w:tcPr>
          <w:p w14:paraId="3FBAB0B3">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cs="Times New Roman"/>
                <w:sz w:val="24"/>
                <w:szCs w:val="24"/>
              </w:rPr>
            </w:pPr>
            <w:r>
              <w:rPr>
                <w:rFonts w:hint="default" w:ascii="Times New Roman" w:hAnsi="Times New Roman" w:eastAsia="Times New Roman" w:cs="Times New Roman"/>
                <w:kern w:val="0"/>
                <w:sz w:val="22"/>
                <w:szCs w:val="22"/>
                <w:lang w:val="en-US" w:eastAsia="zh-CN" w:bidi="ar"/>
              </w:rPr>
              <w:t>0.70</w:t>
            </w:r>
          </w:p>
        </w:tc>
        <w:tc>
          <w:tcPr>
            <w:tcW w:w="1302" w:type="dxa"/>
            <w:vAlign w:val="center"/>
          </w:tcPr>
          <w:p w14:paraId="2B78702A">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w:t>
            </w:r>
          </w:p>
        </w:tc>
      </w:tr>
      <w:tr w14:paraId="2381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1" w:type="dxa"/>
          </w:tcPr>
          <w:p w14:paraId="69A551B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lang w:val="en-IN"/>
              </w:rPr>
            </w:pPr>
            <w:r>
              <w:rPr>
                <w:rFonts w:hint="default" w:ascii="Times New Roman" w:hAnsi="Times New Roman" w:cs="Times New Roman"/>
                <w:sz w:val="24"/>
                <w:szCs w:val="24"/>
                <w:lang w:val="en-IN"/>
              </w:rPr>
              <w:t>Fortified Malt</w:t>
            </w:r>
          </w:p>
          <w:p w14:paraId="4EC600D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lang w:val="en-IN"/>
              </w:rPr>
            </w:pPr>
          </w:p>
        </w:tc>
        <w:tc>
          <w:tcPr>
            <w:tcW w:w="1003" w:type="dxa"/>
          </w:tcPr>
          <w:p w14:paraId="0C004A9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4"/>
                <w:szCs w:val="24"/>
                <w:lang w:val="en-IN"/>
              </w:rPr>
            </w:pPr>
            <w:r>
              <w:rPr>
                <w:rFonts w:hint="default" w:ascii="Times New Roman" w:hAnsi="Times New Roman" w:cs="Times New Roman"/>
                <w:sz w:val="24"/>
                <w:szCs w:val="24"/>
                <w:lang w:val="en-IN"/>
              </w:rPr>
              <w:t>25</w:t>
            </w:r>
          </w:p>
        </w:tc>
        <w:tc>
          <w:tcPr>
            <w:tcW w:w="1391" w:type="dxa"/>
            <w:vAlign w:val="center"/>
          </w:tcPr>
          <w:p w14:paraId="178CD674">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71</w:t>
            </w:r>
          </w:p>
        </w:tc>
        <w:tc>
          <w:tcPr>
            <w:tcW w:w="1288" w:type="dxa"/>
            <w:vAlign w:val="center"/>
          </w:tcPr>
          <w:p w14:paraId="68FE7A59">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2.6</w:t>
            </w:r>
          </w:p>
        </w:tc>
        <w:tc>
          <w:tcPr>
            <w:tcW w:w="1291" w:type="dxa"/>
            <w:vAlign w:val="center"/>
          </w:tcPr>
          <w:p w14:paraId="4B9E1D09">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2.35</w:t>
            </w:r>
          </w:p>
        </w:tc>
        <w:tc>
          <w:tcPr>
            <w:tcW w:w="1080" w:type="dxa"/>
            <w:vAlign w:val="center"/>
          </w:tcPr>
          <w:p w14:paraId="7234E9E9">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eastAsia="Times New Roman" w:cs="Times New Roman"/>
                <w:kern w:val="0"/>
                <w:sz w:val="22"/>
                <w:szCs w:val="22"/>
                <w:lang w:val="en-IN" w:eastAsia="zh-CN" w:bidi="ar"/>
              </w:rPr>
              <w:t>2.57</w:t>
            </w:r>
          </w:p>
        </w:tc>
        <w:tc>
          <w:tcPr>
            <w:tcW w:w="1302" w:type="dxa"/>
            <w:vAlign w:val="center"/>
          </w:tcPr>
          <w:p w14:paraId="4960E1B4">
            <w:pPr>
              <w:keepNext w:val="0"/>
              <w:keepLines w:val="0"/>
              <w:widowControl/>
              <w:suppressLineNumbers w:val="0"/>
              <w:spacing w:before="0" w:beforeAutospacing="0" w:after="0" w:afterAutospacing="0" w:line="240" w:lineRule="auto"/>
              <w:ind w:left="0" w:leftChars="0" w:right="0" w:rightChars="0"/>
              <w:jc w:val="center"/>
              <w:rPr>
                <w:rFonts w:hint="default" w:ascii="Times New Roman" w:hAnsi="Times New Roman" w:eastAsia="Times New Roman" w:cs="Times New Roman"/>
                <w:kern w:val="0"/>
                <w:sz w:val="22"/>
                <w:szCs w:val="22"/>
                <w:lang w:val="en-IN" w:eastAsia="zh-CN" w:bidi="ar"/>
              </w:rPr>
            </w:pPr>
            <w:r>
              <w:rPr>
                <w:rFonts w:hint="default" w:ascii="Times New Roman" w:hAnsi="Times New Roman"/>
                <w:sz w:val="24"/>
                <w:szCs w:val="24"/>
              </w:rPr>
              <w:t>20.2mg</w:t>
            </w:r>
          </w:p>
        </w:tc>
      </w:tr>
    </w:tbl>
    <w:p w14:paraId="65E4EA43">
      <w:pPr>
        <w:spacing w:line="360" w:lineRule="auto"/>
        <w:ind w:left="720"/>
        <w:jc w:val="both"/>
        <w:rPr>
          <w:rFonts w:hint="default" w:ascii="Times New Roman" w:hAnsi="Times New Roman" w:cs="Times New Roman"/>
          <w:b/>
          <w:bCs/>
          <w:sz w:val="24"/>
          <w:szCs w:val="24"/>
          <w:u w:val="single"/>
          <w:lang w:val="en-IN"/>
        </w:rPr>
      </w:pPr>
      <w:r>
        <w:rPr>
          <w:rFonts w:hint="default" w:ascii="Times New Roman" w:hAnsi="Times New Roman" w:cs="Times New Roman"/>
          <w:b/>
          <w:bCs/>
          <w:sz w:val="24"/>
          <w:szCs w:val="24"/>
          <w:u w:val="single"/>
          <w:lang w:val="en-IN"/>
        </w:rPr>
        <w:t>Nutritive Value of malt.</w:t>
      </w:r>
    </w:p>
    <w:p w14:paraId="4406D127">
      <w:pPr>
        <w:spacing w:line="360" w:lineRule="auto"/>
        <w:ind w:left="720"/>
        <w:jc w:val="both"/>
        <w:rPr>
          <w:rFonts w:ascii="Times New Roman" w:hAnsi="Times New Roman" w:cs="Times New Roman"/>
          <w:b/>
          <w:bCs/>
          <w:sz w:val="24"/>
          <w:szCs w:val="24"/>
          <w:u w:val="single"/>
        </w:rPr>
      </w:pPr>
    </w:p>
    <w:p w14:paraId="2075AD08">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Fortification</w:t>
      </w:r>
    </w:p>
    <w:p w14:paraId="3360717D">
      <w:pPr>
        <w:spacing w:line="360" w:lineRule="auto"/>
        <w:jc w:val="both"/>
        <w:rPr>
          <w:rFonts w:hint="default" w:ascii="Times New Roman" w:hAnsi="Times New Roman" w:cs="Times New Roman"/>
          <w:sz w:val="24"/>
          <w:szCs w:val="24"/>
        </w:rPr>
      </w:pPr>
      <w:r>
        <w:rPr>
          <w:rFonts w:hint="default" w:ascii="Times New Roman" w:hAnsi="Times New Roman"/>
          <w:sz w:val="24"/>
          <w:szCs w:val="24"/>
        </w:rPr>
        <w:t>According to the Copenhagen</w:t>
      </w:r>
      <w:r>
        <w:rPr>
          <w:rFonts w:hint="default" w:ascii="Times New Roman" w:hAnsi="Times New Roman"/>
          <w:sz w:val="24"/>
          <w:szCs w:val="24"/>
          <w:lang w:val="en-IN"/>
        </w:rPr>
        <w:t xml:space="preserve"> </w:t>
      </w:r>
      <w:r>
        <w:rPr>
          <w:rFonts w:hint="default" w:ascii="Times New Roman" w:hAnsi="Times New Roman"/>
          <w:sz w:val="24"/>
          <w:szCs w:val="24"/>
        </w:rPr>
        <w:t xml:space="preserve">Consensus Expert Panel (2008), nutritional interventions </w:t>
      </w:r>
      <w:r>
        <w:rPr>
          <w:rFonts w:hint="default" w:ascii="Times New Roman" w:hAnsi="Times New Roman"/>
          <w:sz w:val="24"/>
          <w:szCs w:val="24"/>
          <w:lang w:val="en-IN"/>
        </w:rPr>
        <w:t xml:space="preserve">in the form of </w:t>
      </w:r>
      <w:r>
        <w:rPr>
          <w:rFonts w:hint="default" w:ascii="Times New Roman" w:hAnsi="Times New Roman"/>
          <w:sz w:val="24"/>
          <w:szCs w:val="24"/>
        </w:rPr>
        <w:t>supplementation</w:t>
      </w:r>
      <w:r>
        <w:rPr>
          <w:rFonts w:hint="default" w:ascii="Times New Roman" w:hAnsi="Times New Roman"/>
          <w:sz w:val="24"/>
          <w:szCs w:val="24"/>
          <w:lang w:val="en-IN"/>
        </w:rPr>
        <w:t xml:space="preserve">, </w:t>
      </w:r>
      <w:r>
        <w:rPr>
          <w:rFonts w:hint="default" w:ascii="Times New Roman" w:hAnsi="Times New Roman"/>
          <w:sz w:val="24"/>
          <w:szCs w:val="24"/>
        </w:rPr>
        <w:t>fortification and biofortification</w:t>
      </w:r>
      <w:r>
        <w:rPr>
          <w:rFonts w:hint="default" w:ascii="Times New Roman" w:hAnsi="Times New Roman"/>
          <w:sz w:val="24"/>
          <w:szCs w:val="24"/>
          <w:lang w:val="en-IN"/>
        </w:rPr>
        <w:t xml:space="preserve"> are the t</w:t>
      </w:r>
      <w:r>
        <w:rPr>
          <w:rFonts w:hint="default" w:ascii="Times New Roman" w:hAnsi="Times New Roman"/>
          <w:sz w:val="24"/>
          <w:szCs w:val="24"/>
        </w:rPr>
        <w:t>he top best investments for economic growth.</w:t>
      </w:r>
      <w:r>
        <w:rPr>
          <w:rFonts w:hint="default" w:ascii="Times New Roman" w:hAnsi="Times New Roman"/>
          <w:sz w:val="24"/>
          <w:szCs w:val="24"/>
          <w:lang w:val="en-IN"/>
        </w:rPr>
        <w:t xml:space="preserve"> </w:t>
      </w:r>
      <w:r>
        <w:rPr>
          <w:rFonts w:hint="default" w:ascii="Times New Roman" w:hAnsi="Times New Roman"/>
          <w:sz w:val="24"/>
          <w:szCs w:val="24"/>
        </w:rPr>
        <w:t>Fortification provid</w:t>
      </w:r>
      <w:r>
        <w:rPr>
          <w:rFonts w:hint="default" w:ascii="Times New Roman" w:hAnsi="Times New Roman"/>
          <w:sz w:val="24"/>
          <w:szCs w:val="24"/>
          <w:lang w:val="en-IN"/>
        </w:rPr>
        <w:t xml:space="preserve">es </w:t>
      </w:r>
      <w:r>
        <w:rPr>
          <w:rFonts w:hint="default" w:ascii="Times New Roman" w:hAnsi="Times New Roman"/>
          <w:sz w:val="24"/>
          <w:szCs w:val="24"/>
        </w:rPr>
        <w:t>extremely good value, with its benefits far outweighing the costs.</w:t>
      </w:r>
      <w:r>
        <w:rPr>
          <w:rFonts w:hint="default" w:ascii="Times New Roman" w:hAnsi="Times New Roman"/>
          <w:sz w:val="24"/>
          <w:szCs w:val="24"/>
          <w:lang w:val="en-IN"/>
        </w:rPr>
        <w:t xml:space="preserve"> </w:t>
      </w:r>
      <w:r>
        <w:rPr>
          <w:rFonts w:hint="default" w:ascii="Times New Roman" w:hAnsi="Times New Roman" w:cs="Times New Roman"/>
          <w:sz w:val="24"/>
          <w:szCs w:val="24"/>
        </w:rPr>
        <w:t xml:space="preserve">Cereals and legumes form the main sources of iron and zinc and hence more suitable for fortification. Factors to consider when a food product is fortified with a trace element include safety for the general population or specific </w:t>
      </w:r>
      <w:r>
        <w:rPr>
          <w:rFonts w:hint="default" w:ascii="Times New Roman" w:hAnsi="Times New Roman" w:cs="Times New Roman"/>
          <w:sz w:val="24"/>
          <w:szCs w:val="24"/>
          <w:lang w:val="en-IN"/>
        </w:rPr>
        <w:t>sub-populations</w:t>
      </w:r>
      <w:r>
        <w:rPr>
          <w:rFonts w:hint="default" w:ascii="Times New Roman" w:hAnsi="Times New Roman" w:cs="Times New Roman"/>
          <w:sz w:val="24"/>
          <w:szCs w:val="24"/>
        </w:rPr>
        <w:t>, beneficial effects of the trace element fortification, influence of the trace element on the organoleptic properties of the food, and cost of the fortification.</w:t>
      </w:r>
    </w:p>
    <w:p w14:paraId="652E11DD">
      <w:pPr>
        <w:spacing w:line="360" w:lineRule="auto"/>
        <w:ind w:left="720"/>
        <w:jc w:val="both"/>
        <w:rPr>
          <w:rFonts w:hint="default" w:ascii="Times New Roman" w:hAnsi="Times New Roman"/>
          <w:sz w:val="24"/>
          <w:szCs w:val="24"/>
          <w:vertAlign w:val="baseline"/>
        </w:rPr>
      </w:pPr>
      <w:r>
        <w:rPr>
          <w:rFonts w:hint="default" w:ascii="Times New Roman" w:hAnsi="Times New Roman"/>
          <w:sz w:val="24"/>
          <w:szCs w:val="24"/>
          <w:lang w:val="en-IN"/>
        </w:rPr>
        <w:t xml:space="preserve">Indian </w:t>
      </w:r>
      <w:r>
        <w:rPr>
          <w:rFonts w:hint="default" w:ascii="Times New Roman" w:hAnsi="Times New Roman"/>
          <w:sz w:val="24"/>
          <w:szCs w:val="24"/>
        </w:rPr>
        <w:t>R</w:t>
      </w:r>
      <w:r>
        <w:rPr>
          <w:rFonts w:hint="default" w:ascii="Times New Roman" w:hAnsi="Times New Roman"/>
          <w:sz w:val="24"/>
          <w:szCs w:val="24"/>
          <w:lang w:val="en-IN"/>
        </w:rPr>
        <w:t xml:space="preserve">ecommendary </w:t>
      </w:r>
      <w:r>
        <w:rPr>
          <w:rFonts w:hint="default" w:ascii="Times New Roman" w:hAnsi="Times New Roman"/>
          <w:sz w:val="24"/>
          <w:szCs w:val="24"/>
        </w:rPr>
        <w:t>D</w:t>
      </w:r>
      <w:r>
        <w:rPr>
          <w:rFonts w:hint="default" w:ascii="Times New Roman" w:hAnsi="Times New Roman"/>
          <w:sz w:val="24"/>
          <w:szCs w:val="24"/>
          <w:lang w:val="en-IN"/>
        </w:rPr>
        <w:t xml:space="preserve">ietary </w:t>
      </w:r>
      <w:r>
        <w:rPr>
          <w:rFonts w:hint="default" w:ascii="Times New Roman" w:hAnsi="Times New Roman"/>
          <w:sz w:val="24"/>
          <w:szCs w:val="24"/>
        </w:rPr>
        <w:t>A</w:t>
      </w:r>
      <w:r>
        <w:rPr>
          <w:rFonts w:hint="default" w:ascii="Times New Roman" w:hAnsi="Times New Roman"/>
          <w:sz w:val="24"/>
          <w:szCs w:val="24"/>
          <w:lang w:val="en-IN"/>
        </w:rPr>
        <w:t>llowance</w:t>
      </w:r>
      <w:r>
        <w:rPr>
          <w:rFonts w:hint="default" w:ascii="Times New Roman" w:hAnsi="Times New Roman"/>
          <w:sz w:val="24"/>
          <w:szCs w:val="24"/>
        </w:rPr>
        <w:t xml:space="preserve"> for 6-12 months infants </w:t>
      </w:r>
      <w:r>
        <w:rPr>
          <w:rFonts w:hint="default" w:ascii="Times New Roman" w:hAnsi="Times New Roman"/>
          <w:sz w:val="24"/>
          <w:szCs w:val="24"/>
          <w:lang w:val="en-IN"/>
        </w:rPr>
        <w:t xml:space="preserve">- </w:t>
      </w:r>
    </w:p>
    <w:tbl>
      <w:tblPr>
        <w:tblStyle w:val="4"/>
        <w:tblW w:w="0" w:type="auto"/>
        <w:tblInd w:w="17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760"/>
      </w:tblGrid>
      <w:tr w14:paraId="16CF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316F460E">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sz w:val="24"/>
                <w:szCs w:val="24"/>
                <w:vertAlign w:val="baseline"/>
                <w:lang w:val="en-IN"/>
              </w:rPr>
            </w:pPr>
            <w:r>
              <w:rPr>
                <w:rFonts w:hint="default" w:ascii="Times New Roman" w:hAnsi="Times New Roman" w:cs="Times New Roman"/>
                <w:sz w:val="24"/>
                <w:szCs w:val="24"/>
                <w:vertAlign w:val="baseline"/>
                <w:lang w:val="en-IN"/>
              </w:rPr>
              <w:t>Iron</w:t>
            </w:r>
          </w:p>
        </w:tc>
        <w:tc>
          <w:tcPr>
            <w:tcW w:w="1760" w:type="dxa"/>
          </w:tcPr>
          <w:p w14:paraId="01C8556B">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sz w:val="24"/>
                <w:szCs w:val="24"/>
                <w:vertAlign w:val="baseline"/>
                <w:lang w:val="en-IN"/>
              </w:rPr>
            </w:pPr>
            <w:r>
              <w:rPr>
                <w:rFonts w:hint="default" w:ascii="Times New Roman" w:hAnsi="Times New Roman" w:cs="Times New Roman"/>
                <w:sz w:val="24"/>
                <w:szCs w:val="24"/>
                <w:vertAlign w:val="baseline"/>
                <w:lang w:val="en-IN"/>
              </w:rPr>
              <w:t>3mg</w:t>
            </w:r>
          </w:p>
        </w:tc>
      </w:tr>
      <w:tr w14:paraId="161F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00923F60">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sz w:val="24"/>
                <w:szCs w:val="24"/>
                <w:vertAlign w:val="baseline"/>
                <w:lang w:val="en-IN"/>
              </w:rPr>
            </w:pPr>
            <w:r>
              <w:rPr>
                <w:rFonts w:hint="default" w:ascii="Times New Roman" w:hAnsi="Times New Roman" w:cs="Times New Roman"/>
                <w:sz w:val="24"/>
                <w:szCs w:val="24"/>
                <w:vertAlign w:val="baseline"/>
                <w:lang w:val="en-IN"/>
              </w:rPr>
              <w:t>Zinc</w:t>
            </w:r>
          </w:p>
        </w:tc>
        <w:tc>
          <w:tcPr>
            <w:tcW w:w="1760" w:type="dxa"/>
          </w:tcPr>
          <w:p w14:paraId="44EA4D36">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sz w:val="24"/>
                <w:szCs w:val="24"/>
                <w:vertAlign w:val="baseline"/>
                <w:lang w:val="en-IN"/>
              </w:rPr>
            </w:pPr>
            <w:r>
              <w:rPr>
                <w:rFonts w:hint="default" w:ascii="Times New Roman" w:hAnsi="Times New Roman" w:cs="Times New Roman"/>
                <w:sz w:val="24"/>
                <w:szCs w:val="24"/>
                <w:vertAlign w:val="baseline"/>
                <w:lang w:val="en-IN"/>
              </w:rPr>
              <w:t>2.5mg</w:t>
            </w:r>
          </w:p>
        </w:tc>
      </w:tr>
      <w:tr w14:paraId="5973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67A1D023">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sz w:val="24"/>
                <w:szCs w:val="24"/>
                <w:vertAlign w:val="baseline"/>
                <w:lang w:val="en-IN"/>
              </w:rPr>
            </w:pPr>
            <w:r>
              <w:rPr>
                <w:rFonts w:hint="default" w:ascii="Times New Roman" w:hAnsi="Times New Roman" w:cs="Times New Roman"/>
                <w:sz w:val="24"/>
                <w:szCs w:val="24"/>
                <w:vertAlign w:val="baseline"/>
                <w:lang w:val="en-IN"/>
              </w:rPr>
              <w:t>Vitamin C</w:t>
            </w:r>
          </w:p>
        </w:tc>
        <w:tc>
          <w:tcPr>
            <w:tcW w:w="1760" w:type="dxa"/>
          </w:tcPr>
          <w:p w14:paraId="4B6884BB">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sz w:val="24"/>
                <w:szCs w:val="24"/>
                <w:vertAlign w:val="baseline"/>
                <w:lang w:val="en-IN"/>
              </w:rPr>
            </w:pPr>
            <w:r>
              <w:rPr>
                <w:rFonts w:hint="default" w:ascii="Times New Roman" w:hAnsi="Times New Roman" w:cs="Times New Roman"/>
                <w:sz w:val="24"/>
                <w:szCs w:val="24"/>
                <w:vertAlign w:val="baseline"/>
                <w:lang w:val="en-IN"/>
              </w:rPr>
              <w:t>27mg</w:t>
            </w:r>
          </w:p>
        </w:tc>
      </w:tr>
    </w:tbl>
    <w:p w14:paraId="243906BD">
      <w:pPr>
        <w:spacing w:line="360" w:lineRule="auto"/>
        <w:ind w:left="720"/>
        <w:jc w:val="both"/>
        <w:rPr>
          <w:rFonts w:hint="default" w:ascii="Times New Roman" w:hAnsi="Times New Roman"/>
          <w:sz w:val="24"/>
          <w:szCs w:val="24"/>
        </w:rPr>
      </w:pPr>
    </w:p>
    <w:p w14:paraId="1E0CD3F7">
      <w:pPr>
        <w:spacing w:line="360" w:lineRule="auto"/>
        <w:ind w:left="720"/>
        <w:jc w:val="both"/>
        <w:rPr>
          <w:rFonts w:hint="default" w:ascii="Times New Roman" w:hAnsi="Times New Roman"/>
          <w:sz w:val="24"/>
          <w:szCs w:val="24"/>
        </w:rPr>
      </w:pPr>
    </w:p>
    <w:p w14:paraId="6115DD03">
      <w:pPr>
        <w:spacing w:line="360" w:lineRule="auto"/>
        <w:ind w:left="720"/>
        <w:jc w:val="both"/>
        <w:rPr>
          <w:rFonts w:hint="default" w:ascii="Times New Roman" w:hAnsi="Times New Roman"/>
          <w:sz w:val="24"/>
          <w:szCs w:val="24"/>
        </w:rPr>
      </w:pPr>
    </w:p>
    <w:p w14:paraId="18CA24E3">
      <w:pPr>
        <w:spacing w:line="360" w:lineRule="auto"/>
        <w:ind w:left="720"/>
        <w:jc w:val="both"/>
        <w:rPr>
          <w:rFonts w:hint="default" w:ascii="Times New Roman" w:hAnsi="Times New Roman"/>
          <w:sz w:val="24"/>
          <w:szCs w:val="24"/>
        </w:rPr>
      </w:pPr>
    </w:p>
    <w:p w14:paraId="488CB8F3">
      <w:pPr>
        <w:spacing w:line="360" w:lineRule="auto"/>
        <w:ind w:left="720"/>
        <w:jc w:val="both"/>
        <w:rPr>
          <w:rFonts w:hint="default" w:ascii="Times New Roman" w:hAnsi="Times New Roman" w:cs="Times New Roman"/>
          <w:sz w:val="24"/>
          <w:szCs w:val="24"/>
          <w:lang w:val="en-IN"/>
        </w:rPr>
      </w:pPr>
      <w:r>
        <w:rPr>
          <w:rFonts w:hint="default" w:ascii="Times New Roman" w:hAnsi="Times New Roman"/>
          <w:sz w:val="24"/>
          <w:szCs w:val="24"/>
        </w:rPr>
        <w:t>Per serving (25</w:t>
      </w:r>
      <w:r>
        <w:rPr>
          <w:rFonts w:hint="default" w:ascii="Times New Roman" w:hAnsi="Times New Roman"/>
          <w:sz w:val="24"/>
          <w:szCs w:val="24"/>
          <w:lang w:val="en-IN"/>
        </w:rPr>
        <w:t xml:space="preserve"> </w:t>
      </w:r>
      <w:r>
        <w:rPr>
          <w:rFonts w:hint="default" w:ascii="Times New Roman" w:hAnsi="Times New Roman"/>
          <w:sz w:val="24"/>
          <w:szCs w:val="24"/>
        </w:rPr>
        <w:t>g) Malt will be fortified with 75% of</w:t>
      </w:r>
      <w:r>
        <w:rPr>
          <w:rFonts w:hint="default" w:ascii="Times New Roman" w:hAnsi="Times New Roman"/>
          <w:sz w:val="24"/>
          <w:szCs w:val="24"/>
          <w:lang w:val="en-IN"/>
        </w:rPr>
        <w:t xml:space="preserve"> RDA</w:t>
      </w:r>
    </w:p>
    <w:tbl>
      <w:tblPr>
        <w:tblStyle w:val="4"/>
        <w:tblpPr w:leftFromText="180" w:rightFromText="180" w:vertAnchor="text" w:horzAnchor="page" w:tblpX="3194" w:tblpY="6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1271"/>
      </w:tblGrid>
      <w:tr w14:paraId="4962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214" w:type="dxa"/>
          </w:tcPr>
          <w:p w14:paraId="618E2BA9">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lang w:val="en-IN"/>
              </w:rPr>
            </w:pPr>
            <w:r>
              <w:rPr>
                <w:rFonts w:hint="default" w:ascii="Times New Roman" w:hAnsi="Times New Roman"/>
                <w:sz w:val="24"/>
                <w:szCs w:val="24"/>
              </w:rPr>
              <w:t>Iro</w:t>
            </w:r>
            <w:r>
              <w:rPr>
                <w:rFonts w:hint="default" w:ascii="Times New Roman" w:hAnsi="Times New Roman"/>
                <w:sz w:val="24"/>
                <w:szCs w:val="24"/>
                <w:lang w:val="en-IN"/>
              </w:rPr>
              <w:t>n</w:t>
            </w:r>
          </w:p>
          <w:p w14:paraId="50B9B345">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vertAlign w:val="baseline"/>
                <w:lang w:val="en-IN"/>
              </w:rPr>
            </w:pPr>
            <w:r>
              <w:rPr>
                <w:rFonts w:hint="default" w:ascii="Times New Roman" w:hAnsi="Times New Roman"/>
                <w:sz w:val="24"/>
                <w:szCs w:val="24"/>
                <w:lang w:val="en-IN"/>
              </w:rPr>
              <w:t>(Ferrous Fumurate)</w:t>
            </w:r>
          </w:p>
        </w:tc>
        <w:tc>
          <w:tcPr>
            <w:tcW w:w="1271" w:type="dxa"/>
          </w:tcPr>
          <w:p w14:paraId="21B0D3B3">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lang w:val="en-IN"/>
              </w:rPr>
            </w:pPr>
            <w:r>
              <w:rPr>
                <w:rFonts w:hint="default" w:ascii="Times New Roman" w:hAnsi="Times New Roman"/>
                <w:sz w:val="24"/>
                <w:szCs w:val="24"/>
              </w:rPr>
              <w:t>2.25mg</w:t>
            </w:r>
          </w:p>
        </w:tc>
      </w:tr>
      <w:tr w14:paraId="4671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14" w:type="dxa"/>
          </w:tcPr>
          <w:p w14:paraId="18656BAA">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lang w:val="en-IN"/>
              </w:rPr>
            </w:pPr>
            <w:r>
              <w:rPr>
                <w:rFonts w:hint="default" w:ascii="Times New Roman" w:hAnsi="Times New Roman"/>
                <w:sz w:val="24"/>
                <w:szCs w:val="24"/>
              </w:rPr>
              <w:t>Zin</w:t>
            </w:r>
            <w:r>
              <w:rPr>
                <w:rFonts w:hint="default" w:ascii="Times New Roman" w:hAnsi="Times New Roman"/>
                <w:sz w:val="24"/>
                <w:szCs w:val="24"/>
                <w:lang w:val="en-IN"/>
              </w:rPr>
              <w:t>c</w:t>
            </w:r>
          </w:p>
          <w:p w14:paraId="07E9D0D9">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lang w:val="en-IN"/>
              </w:rPr>
            </w:pPr>
            <w:r>
              <w:rPr>
                <w:rFonts w:hint="default" w:ascii="Times New Roman" w:hAnsi="Times New Roman"/>
                <w:sz w:val="24"/>
                <w:szCs w:val="24"/>
                <w:lang w:val="en-IN"/>
              </w:rPr>
              <w:t>(Zinc Sulphate)</w:t>
            </w:r>
          </w:p>
        </w:tc>
        <w:tc>
          <w:tcPr>
            <w:tcW w:w="1271" w:type="dxa"/>
          </w:tcPr>
          <w:p w14:paraId="08D2AC54">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vertAlign w:val="baseline"/>
              </w:rPr>
            </w:pPr>
            <w:r>
              <w:rPr>
                <w:rFonts w:hint="default" w:ascii="Times New Roman" w:hAnsi="Times New Roman"/>
                <w:sz w:val="24"/>
                <w:szCs w:val="24"/>
              </w:rPr>
              <w:t>1.87mg</w:t>
            </w:r>
          </w:p>
        </w:tc>
      </w:tr>
      <w:tr w14:paraId="5B66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14" w:type="dxa"/>
          </w:tcPr>
          <w:p w14:paraId="519C6452">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lang w:val="en-IN"/>
              </w:rPr>
            </w:pPr>
            <w:r>
              <w:rPr>
                <w:rFonts w:hint="default" w:ascii="Times New Roman" w:hAnsi="Times New Roman"/>
                <w:sz w:val="24"/>
                <w:szCs w:val="24"/>
              </w:rPr>
              <w:t>Vitamin</w:t>
            </w:r>
            <w:r>
              <w:rPr>
                <w:rFonts w:hint="default" w:ascii="Times New Roman" w:hAnsi="Times New Roman"/>
                <w:sz w:val="24"/>
                <w:szCs w:val="24"/>
                <w:lang w:val="en-IN"/>
              </w:rPr>
              <w:t xml:space="preserve"> C  (Ascorbic Acid)</w:t>
            </w:r>
          </w:p>
        </w:tc>
        <w:tc>
          <w:tcPr>
            <w:tcW w:w="1271" w:type="dxa"/>
          </w:tcPr>
          <w:p w14:paraId="79A02138">
            <w:pPr>
              <w:keepNext w:val="0"/>
              <w:keepLines w:val="0"/>
              <w:widowControl/>
              <w:suppressLineNumbers w:val="0"/>
              <w:spacing w:before="0" w:beforeAutospacing="0" w:afterAutospacing="0" w:line="240" w:lineRule="auto"/>
              <w:ind w:left="0" w:right="0"/>
              <w:jc w:val="center"/>
              <w:rPr>
                <w:rFonts w:hint="default" w:ascii="Times New Roman" w:hAnsi="Times New Roman"/>
                <w:sz w:val="24"/>
                <w:szCs w:val="24"/>
                <w:vertAlign w:val="baseline"/>
              </w:rPr>
            </w:pPr>
            <w:r>
              <w:rPr>
                <w:rFonts w:hint="default" w:ascii="Times New Roman" w:hAnsi="Times New Roman"/>
                <w:sz w:val="24"/>
                <w:szCs w:val="24"/>
              </w:rPr>
              <w:t>20.2mg</w:t>
            </w:r>
          </w:p>
        </w:tc>
      </w:tr>
    </w:tbl>
    <w:p w14:paraId="58141AA6">
      <w:pPr>
        <w:spacing w:line="360" w:lineRule="auto"/>
        <w:jc w:val="center"/>
        <w:rPr>
          <w:rFonts w:hint="default" w:ascii="Times New Roman" w:hAnsi="Times New Roman"/>
          <w:sz w:val="24"/>
          <w:szCs w:val="24"/>
        </w:rPr>
      </w:pPr>
    </w:p>
    <w:p w14:paraId="74360A4D">
      <w:pPr>
        <w:spacing w:line="360" w:lineRule="auto"/>
        <w:ind w:left="720"/>
        <w:jc w:val="center"/>
        <w:rPr>
          <w:rFonts w:hint="default" w:ascii="Times New Roman" w:hAnsi="Times New Roman"/>
          <w:sz w:val="24"/>
          <w:szCs w:val="24"/>
        </w:rPr>
      </w:pPr>
    </w:p>
    <w:p w14:paraId="12B25AB2">
      <w:pPr>
        <w:spacing w:line="360" w:lineRule="auto"/>
        <w:ind w:left="720"/>
        <w:jc w:val="center"/>
        <w:rPr>
          <w:rFonts w:hint="default" w:ascii="Times New Roman" w:hAnsi="Times New Roman"/>
          <w:sz w:val="24"/>
          <w:szCs w:val="24"/>
        </w:rPr>
      </w:pPr>
    </w:p>
    <w:p w14:paraId="0F9E47C6">
      <w:pPr>
        <w:spacing w:line="360" w:lineRule="auto"/>
        <w:jc w:val="center"/>
        <w:rPr>
          <w:rFonts w:ascii="Times New Roman" w:hAnsi="Times New Roman" w:cs="Times New Roman"/>
          <w:sz w:val="24"/>
          <w:szCs w:val="24"/>
        </w:rPr>
      </w:pPr>
    </w:p>
    <w:p w14:paraId="598DF1FD">
      <w:pPr>
        <w:spacing w:line="360" w:lineRule="auto"/>
        <w:jc w:val="both"/>
        <w:rPr>
          <w:rFonts w:ascii="Times New Roman" w:hAnsi="Times New Roman" w:cs="Times New Roman"/>
          <w:sz w:val="24"/>
          <w:szCs w:val="24"/>
        </w:rPr>
      </w:pPr>
    </w:p>
    <w:p w14:paraId="3786288C">
      <w:pPr>
        <w:spacing w:before="240" w:line="360" w:lineRule="auto"/>
        <w:jc w:val="both"/>
        <w:rPr>
          <w:rFonts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angal">
    <w:altName w:val="Segoe Print"/>
    <w:panose1 w:val="000004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bordersDoNotSurroundHeader w:val="0"/>
  <w:bordersDoNotSurroundFooter w:val="0"/>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doNotExpandShiftReturn/>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9EB"/>
    <w:rsid w:val="00014E08"/>
    <w:rsid w:val="000907E0"/>
    <w:rsid w:val="0009693E"/>
    <w:rsid w:val="00097909"/>
    <w:rsid w:val="000A48CE"/>
    <w:rsid w:val="00114B99"/>
    <w:rsid w:val="0013112F"/>
    <w:rsid w:val="00144A08"/>
    <w:rsid w:val="00185503"/>
    <w:rsid w:val="001969FC"/>
    <w:rsid w:val="002358EA"/>
    <w:rsid w:val="00263FB5"/>
    <w:rsid w:val="00283486"/>
    <w:rsid w:val="00297EFE"/>
    <w:rsid w:val="002F2E8B"/>
    <w:rsid w:val="00345C50"/>
    <w:rsid w:val="00367584"/>
    <w:rsid w:val="003A6066"/>
    <w:rsid w:val="003C5195"/>
    <w:rsid w:val="003F45C3"/>
    <w:rsid w:val="00407DD9"/>
    <w:rsid w:val="0042616E"/>
    <w:rsid w:val="004B5ADC"/>
    <w:rsid w:val="0054112F"/>
    <w:rsid w:val="005426C4"/>
    <w:rsid w:val="00567FE1"/>
    <w:rsid w:val="005B32A4"/>
    <w:rsid w:val="00615AF2"/>
    <w:rsid w:val="006338E9"/>
    <w:rsid w:val="006604A2"/>
    <w:rsid w:val="0068027F"/>
    <w:rsid w:val="006915E6"/>
    <w:rsid w:val="0069680E"/>
    <w:rsid w:val="006973D4"/>
    <w:rsid w:val="007250E6"/>
    <w:rsid w:val="00746BD0"/>
    <w:rsid w:val="00755DE1"/>
    <w:rsid w:val="0076423D"/>
    <w:rsid w:val="00770DE2"/>
    <w:rsid w:val="007F2437"/>
    <w:rsid w:val="007F6821"/>
    <w:rsid w:val="00800CC7"/>
    <w:rsid w:val="00810B83"/>
    <w:rsid w:val="00810C24"/>
    <w:rsid w:val="008601BB"/>
    <w:rsid w:val="008A14CF"/>
    <w:rsid w:val="008E2A94"/>
    <w:rsid w:val="00911DD6"/>
    <w:rsid w:val="009577DE"/>
    <w:rsid w:val="009609A7"/>
    <w:rsid w:val="00975FFB"/>
    <w:rsid w:val="0098427C"/>
    <w:rsid w:val="009B25AB"/>
    <w:rsid w:val="009B2ADF"/>
    <w:rsid w:val="009B5E0C"/>
    <w:rsid w:val="009E4D46"/>
    <w:rsid w:val="00A70FC6"/>
    <w:rsid w:val="00AF38B2"/>
    <w:rsid w:val="00B03902"/>
    <w:rsid w:val="00B509EB"/>
    <w:rsid w:val="00B806D7"/>
    <w:rsid w:val="00BD69BA"/>
    <w:rsid w:val="00BE2207"/>
    <w:rsid w:val="00BF19FC"/>
    <w:rsid w:val="00BF778B"/>
    <w:rsid w:val="00CF55C9"/>
    <w:rsid w:val="00D169DA"/>
    <w:rsid w:val="00D345C0"/>
    <w:rsid w:val="00D94B44"/>
    <w:rsid w:val="00DD39B6"/>
    <w:rsid w:val="00E00769"/>
    <w:rsid w:val="00E00822"/>
    <w:rsid w:val="00E51B13"/>
    <w:rsid w:val="00E728AD"/>
    <w:rsid w:val="00E84419"/>
    <w:rsid w:val="00EA772B"/>
    <w:rsid w:val="00ED05E9"/>
    <w:rsid w:val="00EE1DD5"/>
    <w:rsid w:val="00EF50EB"/>
    <w:rsid w:val="00F76F11"/>
    <w:rsid w:val="00F93394"/>
    <w:rsid w:val="00FA338B"/>
    <w:rsid w:val="00FC03A0"/>
    <w:rsid w:val="00FC74FB"/>
    <w:rsid w:val="0ADB548C"/>
    <w:rsid w:val="0BE44D5F"/>
    <w:rsid w:val="12A61F93"/>
    <w:rsid w:val="197D395D"/>
    <w:rsid w:val="2224348D"/>
    <w:rsid w:val="30AC7966"/>
    <w:rsid w:val="3A7D6FDD"/>
    <w:rsid w:val="448C35DF"/>
    <w:rsid w:val="45E165F2"/>
    <w:rsid w:val="4A81176A"/>
    <w:rsid w:val="4C5B602B"/>
    <w:rsid w:val="514B08A0"/>
    <w:rsid w:val="5C3A69A3"/>
    <w:rsid w:val="64B9703D"/>
    <w:rsid w:val="6C1D0894"/>
    <w:rsid w:val="724B7663"/>
    <w:rsid w:val="72886B33"/>
    <w:rsid w:val="73427DC7"/>
    <w:rsid w:val="7752196B"/>
    <w:rsid w:val="77BE7F6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Calibri" w:hAnsi="Calibri" w:cs="Mangal"/>
      <w:sz w:val="20"/>
      <w:szCs w:val="20"/>
    </w:rPr>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1852</Words>
  <Characters>10559</Characters>
  <Lines>87</Lines>
  <Paragraphs>24</Paragraphs>
  <TotalTime>32</TotalTime>
  <ScaleCrop>false</ScaleCrop>
  <LinksUpToDate>false</LinksUpToDate>
  <CharactersWithSpaces>12387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2022-10-16T14:29:00Z</dcterms:created>
  <dc:creator>uppinkashamma@gmail.com</dc:creator>
  <cp:lastModifiedBy>Kashamma Uppin</cp:lastModifiedBy>
  <dcterms:modified xsi:type="dcterms:W3CDTF">2026-06-27T06:56:22Z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D7097AEE48BD41B0AAC22D76611FE7CE_12</vt:lpwstr>
  </property>
</Properties>
</file>