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536D" w14:textId="77777777" w:rsidR="005C194C" w:rsidRPr="00583542" w:rsidRDefault="005C194C" w:rsidP="005C194C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 w:line="240" w:lineRule="auto"/>
        <w:ind w:left="60" w:right="60"/>
      </w:pPr>
      <w:r w:rsidRPr="00583542">
        <w:t>Table 3. Mediation of the redlining and binge drinking association through tract-level alcohol outlet density, National Longitudinal Study of Adolescent to Adult Health, United States, 1994 to 2018 (n = 7,758)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574"/>
        <w:gridCol w:w="3452"/>
      </w:tblGrid>
      <w:tr w:rsidR="005C194C" w:rsidRPr="00583542" w14:paraId="1B363CB6" w14:textId="77777777" w:rsidTr="00AB11D8">
        <w:trPr>
          <w:tblHeader/>
          <w:jc w:val="center"/>
        </w:trPr>
        <w:tc>
          <w:tcPr>
            <w:tcW w:w="308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27E7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b/>
                <w:sz w:val="20"/>
                <w:szCs w:val="20"/>
              </w:rPr>
            </w:pPr>
            <w:r w:rsidRPr="00583542">
              <w:rPr>
                <w:b/>
                <w:sz w:val="20"/>
                <w:szCs w:val="20"/>
              </w:rPr>
              <w:t>Quantity</w:t>
            </w:r>
          </w:p>
        </w:tc>
        <w:tc>
          <w:tcPr>
            <w:tcW w:w="191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C8AC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b/>
                <w:sz w:val="20"/>
                <w:szCs w:val="20"/>
              </w:rPr>
            </w:pPr>
            <w:r w:rsidRPr="00583542">
              <w:rPr>
                <w:b/>
                <w:sz w:val="20"/>
                <w:szCs w:val="20"/>
              </w:rPr>
              <w:t>Estimate (95% CI)</w:t>
            </w:r>
          </w:p>
        </w:tc>
      </w:tr>
      <w:tr w:rsidR="005C194C" w:rsidRPr="00583542" w14:paraId="47F1EDCB" w14:textId="77777777" w:rsidTr="00AB11D8">
        <w:trPr>
          <w:jc w:val="center"/>
        </w:trPr>
        <w:tc>
          <w:tcPr>
            <w:tcW w:w="308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DDE0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Average causal mediation effect (indirect)</w:t>
            </w:r>
          </w:p>
        </w:tc>
        <w:tc>
          <w:tcPr>
            <w:tcW w:w="1912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37FFE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0.0064 (0.0018, 0.0126)</w:t>
            </w:r>
          </w:p>
        </w:tc>
      </w:tr>
      <w:tr w:rsidR="005C194C" w:rsidRPr="00583542" w14:paraId="2072306A" w14:textId="77777777" w:rsidTr="00AB11D8">
        <w:trPr>
          <w:jc w:val="center"/>
        </w:trPr>
        <w:tc>
          <w:tcPr>
            <w:tcW w:w="30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5944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Average direct effect</w:t>
            </w:r>
          </w:p>
        </w:tc>
        <w:tc>
          <w:tcPr>
            <w:tcW w:w="19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5B58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0.0377 (0.0005, 0.0747)</w:t>
            </w:r>
          </w:p>
        </w:tc>
      </w:tr>
      <w:tr w:rsidR="005C194C" w:rsidRPr="00583542" w14:paraId="514D1F84" w14:textId="77777777" w:rsidTr="00AB11D8">
        <w:trPr>
          <w:jc w:val="center"/>
        </w:trPr>
        <w:tc>
          <w:tcPr>
            <w:tcW w:w="308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80622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Total effect</w:t>
            </w:r>
          </w:p>
        </w:tc>
        <w:tc>
          <w:tcPr>
            <w:tcW w:w="191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025F6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0.0440</w:t>
            </w:r>
          </w:p>
        </w:tc>
      </w:tr>
      <w:tr w:rsidR="005C194C" w:rsidRPr="00583542" w14:paraId="5533151D" w14:textId="77777777" w:rsidTr="00AB11D8">
        <w:trPr>
          <w:jc w:val="center"/>
        </w:trPr>
        <w:tc>
          <w:tcPr>
            <w:tcW w:w="308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ED9EE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Proportion mediated</w:t>
            </w:r>
          </w:p>
        </w:tc>
        <w:tc>
          <w:tcPr>
            <w:tcW w:w="191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442C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20"/>
                <w:szCs w:val="20"/>
              </w:rPr>
            </w:pPr>
            <w:r w:rsidRPr="00583542">
              <w:rPr>
                <w:sz w:val="20"/>
                <w:szCs w:val="20"/>
              </w:rPr>
              <w:t>13.9% (3.1%, 67.8%)</w:t>
            </w:r>
          </w:p>
        </w:tc>
      </w:tr>
      <w:tr w:rsidR="005C194C" w:rsidRPr="00583542" w14:paraId="4600C8ED" w14:textId="77777777" w:rsidTr="00AB11D8">
        <w:trPr>
          <w:jc w:val="center"/>
        </w:trPr>
        <w:tc>
          <w:tcPr>
            <w:tcW w:w="5000" w:type="pct"/>
            <w:gridSpan w:val="2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DDE2A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8"/>
                <w:szCs w:val="18"/>
              </w:rPr>
            </w:pPr>
            <w:r w:rsidRPr="00583542">
              <w:rPr>
                <w:sz w:val="18"/>
                <w:szCs w:val="18"/>
              </w:rPr>
              <w:t>Abbreviations: CI, confidence interval.</w:t>
            </w:r>
          </w:p>
        </w:tc>
      </w:tr>
      <w:tr w:rsidR="005C194C" w:rsidRPr="00583542" w14:paraId="691279AC" w14:textId="77777777" w:rsidTr="00AB11D8">
        <w:trPr>
          <w:jc w:val="center"/>
        </w:trPr>
        <w:tc>
          <w:tcPr>
            <w:tcW w:w="5000" w:type="pct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F382" w14:textId="77777777" w:rsidR="005C194C" w:rsidRPr="00583542" w:rsidRDefault="005C194C" w:rsidP="00AB11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sz w:val="18"/>
                <w:szCs w:val="18"/>
              </w:rPr>
            </w:pPr>
            <w:r w:rsidRPr="00583542">
              <w:rPr>
                <w:sz w:val="18"/>
                <w:szCs w:val="18"/>
              </w:rPr>
              <w:t>Estimates from mediation::mediate() with 20,000 quasi-Bayesian simulations (seed 2847). Mediator and outcome models adjust for the Model 5 covariate set.</w:t>
            </w:r>
          </w:p>
        </w:tc>
      </w:tr>
    </w:tbl>
    <w:p w14:paraId="4F50835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4C"/>
    <w:rsid w:val="000C4033"/>
    <w:rsid w:val="00173ED8"/>
    <w:rsid w:val="002F50B1"/>
    <w:rsid w:val="004B42CB"/>
    <w:rsid w:val="005C194C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A5F7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B00D"/>
  <w15:chartTrackingRefBased/>
  <w15:docId w15:val="{7B1CF137-037B-4835-A423-33094E5C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94C"/>
    <w:pPr>
      <w:spacing w:after="0" w:line="480" w:lineRule="auto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9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9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9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9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9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9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9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9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9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9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9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1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9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1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2026-07-30T20:49:00Z</dcterms:created>
  <dcterms:modified xsi:type="dcterms:W3CDTF">2026-07-30T20:49:00Z</dcterms:modified>
</cp:coreProperties>
</file>