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896A7B"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b/>
          <w:color w:val="000000"/>
          <w:sz w:val="28"/>
          <w:szCs w:val="28"/>
        </w:rPr>
        <w:t>Supplementary Materials</w:t>
      </w:r>
    </w:p>
    <w:p w14:paraId="16896A7C"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 w:val="24"/>
        </w:rPr>
        <w:t>Historical redlining, the present-day alcohol environment, and binge drinking in early midlife</w:t>
      </w:r>
    </w:p>
    <w:p w14:paraId="16896A7D" w14:textId="77777777" w:rsidR="00BE27A2" w:rsidRPr="00801F92" w:rsidRDefault="00BE27A2" w:rsidP="002E4329">
      <w:pPr>
        <w:rPr>
          <w:rFonts w:ascii="Times New Roman" w:hAnsi="Times New Roman" w:cs="Times New Roman"/>
        </w:rPr>
      </w:pPr>
    </w:p>
    <w:p w14:paraId="16896A7E"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b/>
          <w:color w:val="000000"/>
          <w:sz w:val="24"/>
        </w:rPr>
        <w:t>Included materials</w:t>
      </w:r>
    </w:p>
    <w:p w14:paraId="16896A7F"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S1. Binge drinking intensity under sex-specific thresholds</w:t>
      </w:r>
    </w:p>
    <w:p w14:paraId="16896A80"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S2. Risk difference, prevalence ratio, E-value, and sex interaction</w:t>
      </w:r>
    </w:p>
    <w:p w14:paraId="16896A81"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S3. Complete-case versus multiple-imputation comparison</w:t>
      </w:r>
    </w:p>
    <w:p w14:paraId="16896A82"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S4. Combined structural mediation through physical and social availability</w:t>
      </w:r>
    </w:p>
    <w:p w14:paraId="16896A83"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S5. Psychosocial variables as candidate mediators of the redlining and binge drinking association</w:t>
      </w:r>
    </w:p>
    <w:p w14:paraId="16896A84"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S6. Race/ethnicity-stratified regression and interaction test</w:t>
      </w:r>
    </w:p>
    <w:p w14:paraId="16896A85"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S7. Race/ethnicity-stratified mediation</w:t>
      </w:r>
    </w:p>
    <w:p w14:paraId="0AB3E05D" w14:textId="77777777" w:rsidR="003874BB" w:rsidRPr="00801F92" w:rsidRDefault="00A0332E" w:rsidP="002E4329">
      <w:pPr>
        <w:rPr>
          <w:rFonts w:ascii="Times New Roman" w:hAnsi="Times New Roman" w:cs="Times New Roman"/>
        </w:rPr>
      </w:pPr>
      <w:r w:rsidRPr="00801F92">
        <w:rPr>
          <w:rFonts w:ascii="Times New Roman" w:hAnsi="Times New Roman" w:cs="Times New Roman"/>
        </w:rPr>
        <w:t>Figure S1. Nested regression models for cumulative redlining exposure and binge drinking</w:t>
      </w:r>
    </w:p>
    <w:p w14:paraId="16896A86"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Figure S2. Dose-response by number of waves in a HOLC grade C or D tract</w:t>
      </w:r>
    </w:p>
    <w:p w14:paraId="16896A87"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S8. Dose-response and worst-grade sensitivity analyses</w:t>
      </w:r>
    </w:p>
    <w:p w14:paraId="16896A88"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S9. Restricted residential-history comparison</w:t>
      </w:r>
    </w:p>
    <w:p w14:paraId="16896A89"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Supplementary results. Additional sensitivity analyses</w:t>
      </w:r>
    </w:p>
    <w:p w14:paraId="16896A8A"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Supplementary note. County-level excessive drinking prevalence (exploratory mediator)</w:t>
      </w:r>
    </w:p>
    <w:p w14:paraId="16896A8B"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Table S10. Alternative exposure separating grade C from grade D</w:t>
      </w:r>
    </w:p>
    <w:p w14:paraId="16896A8C" w14:textId="77777777" w:rsidR="00BE27A2" w:rsidRPr="00801F92" w:rsidRDefault="00BE27A2" w:rsidP="002E4329">
      <w:pPr>
        <w:rPr>
          <w:rFonts w:ascii="Times New Roman" w:hAnsi="Times New Roman" w:cs="Times New Roman"/>
        </w:rPr>
      </w:pPr>
    </w:p>
    <w:p w14:paraId="16896A8D" w14:textId="77777777" w:rsidR="00BE27A2" w:rsidRPr="00801F92" w:rsidRDefault="00BE27A2" w:rsidP="002E4329">
      <w:pPr>
        <w:rPr>
          <w:rFonts w:ascii="Times New Roman" w:hAnsi="Times New Roman" w:cs="Times New Roman"/>
        </w:rPr>
      </w:pPr>
    </w:p>
    <w:p w14:paraId="6C2960F8" w14:textId="77777777" w:rsidR="00837C35" w:rsidRPr="00801F92" w:rsidRDefault="00837C35" w:rsidP="002E4329">
      <w:pPr>
        <w:pStyle w:val="TableCaption"/>
        <w:keepNext/>
        <w:ind w:left="60" w:right="60"/>
        <w:rPr>
          <w:rFonts w:ascii="Times New Roman" w:hAnsi="Times New Roman" w:cs="Times New Roman"/>
        </w:rPr>
      </w:pPr>
      <w:r w:rsidRPr="00801F92">
        <w:rPr>
          <w:rFonts w:ascii="Times New Roman" w:hAnsi="Times New Roman" w:cs="Times New Roman"/>
        </w:rPr>
        <w:br w:type="page"/>
      </w:r>
    </w:p>
    <w:p w14:paraId="16896A8E" w14:textId="239D7F4D" w:rsidR="00BE27A2" w:rsidRPr="00801F92" w:rsidRDefault="00FF6CE7" w:rsidP="002E4329">
      <w:pPr>
        <w:pStyle w:val="TableCaption"/>
        <w:keepNext/>
        <w:ind w:left="60" w:right="60"/>
        <w:jc w:val="left"/>
        <w:rPr>
          <w:rFonts w:ascii="Times New Roman" w:hAnsi="Times New Roman" w:cs="Times New Roman"/>
          <w:i w:val="0"/>
          <w:iCs/>
        </w:rPr>
      </w:pPr>
      <w:r w:rsidRPr="00801F92">
        <w:rPr>
          <w:rFonts w:ascii="Times New Roman" w:hAnsi="Times New Roman" w:cs="Times New Roman"/>
          <w:i w:val="0"/>
          <w:iCs/>
        </w:rPr>
        <w:lastRenderedPageBreak/>
        <w:t xml:space="preserve">Table S1. </w:t>
      </w:r>
      <w:r w:rsidRPr="00801F92">
        <w:rPr>
          <w:rFonts w:ascii="Times New Roman" w:hAnsi="Times New Roman" w:cs="Times New Roman"/>
          <w:b w:val="0"/>
          <w:bCs/>
          <w:i w:val="0"/>
          <w:iCs/>
        </w:rPr>
        <w:t>Survey-weighted logistic regression for binge drinking intensity (sex-specific threshold), National Longitudinal Study of Adolescent to Adult Health, United States, 1994 to 2018 (n = 7,723)</w:t>
      </w:r>
    </w:p>
    <w:tbl>
      <w:tblPr>
        <w:tblW w:w="0" w:type="auto"/>
        <w:jc w:val="center"/>
        <w:tblCellMar>
          <w:left w:w="0" w:type="dxa"/>
          <w:right w:w="0" w:type="dxa"/>
        </w:tblCellMar>
        <w:tblLook w:val="0420" w:firstRow="1" w:lastRow="0" w:firstColumn="0" w:lastColumn="0" w:noHBand="0" w:noVBand="1"/>
      </w:tblPr>
      <w:tblGrid>
        <w:gridCol w:w="3522"/>
        <w:gridCol w:w="1535"/>
        <w:gridCol w:w="1535"/>
        <w:gridCol w:w="1535"/>
      </w:tblGrid>
      <w:tr w:rsidR="00BE27A2" w:rsidRPr="00801F92" w14:paraId="16896A93" w14:textId="77777777" w:rsidTr="002E4329">
        <w:trPr>
          <w:trHeight w:val="484"/>
          <w:tblHeader/>
          <w:jc w:val="center"/>
        </w:trPr>
        <w:tc>
          <w:tcPr>
            <w:tcW w:w="0" w:type="auto"/>
            <w:tcBorders>
              <w:top w:val="single" w:sz="8" w:space="0" w:color="000000"/>
              <w:bottom w:val="single" w:sz="8" w:space="0" w:color="000000"/>
            </w:tcBorders>
            <w:shd w:val="clear" w:color="auto" w:fill="FFFFFF"/>
            <w:vAlign w:val="center"/>
          </w:tcPr>
          <w:p w14:paraId="16896A8F"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 xml:space="preserve"> </w:t>
            </w:r>
          </w:p>
        </w:tc>
        <w:tc>
          <w:tcPr>
            <w:tcW w:w="0" w:type="auto"/>
            <w:tcBorders>
              <w:top w:val="single" w:sz="8" w:space="0" w:color="000000"/>
              <w:bottom w:val="single" w:sz="8" w:space="0" w:color="000000"/>
            </w:tcBorders>
            <w:shd w:val="clear" w:color="auto" w:fill="FFFFFF"/>
            <w:vAlign w:val="center"/>
          </w:tcPr>
          <w:p w14:paraId="16896A90"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Model 0</w:t>
            </w:r>
          </w:p>
        </w:tc>
        <w:tc>
          <w:tcPr>
            <w:tcW w:w="0" w:type="auto"/>
            <w:tcBorders>
              <w:top w:val="single" w:sz="8" w:space="0" w:color="000000"/>
              <w:bottom w:val="single" w:sz="8" w:space="0" w:color="000000"/>
            </w:tcBorders>
            <w:shd w:val="clear" w:color="auto" w:fill="FFFFFF"/>
            <w:vAlign w:val="center"/>
          </w:tcPr>
          <w:p w14:paraId="16896A91"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Model 1</w:t>
            </w:r>
          </w:p>
        </w:tc>
        <w:tc>
          <w:tcPr>
            <w:tcW w:w="0" w:type="auto"/>
            <w:tcBorders>
              <w:top w:val="single" w:sz="8" w:space="0" w:color="000000"/>
              <w:bottom w:val="single" w:sz="8" w:space="0" w:color="000000"/>
            </w:tcBorders>
            <w:shd w:val="clear" w:color="auto" w:fill="FFFFFF"/>
            <w:vAlign w:val="center"/>
          </w:tcPr>
          <w:p w14:paraId="16896A92"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Model 5</w:t>
            </w:r>
          </w:p>
        </w:tc>
      </w:tr>
      <w:tr w:rsidR="00BE27A2" w:rsidRPr="00801F92" w14:paraId="16896A98" w14:textId="77777777" w:rsidTr="002E4329">
        <w:trPr>
          <w:trHeight w:val="484"/>
          <w:tblHeader/>
          <w:jc w:val="center"/>
        </w:trPr>
        <w:tc>
          <w:tcPr>
            <w:tcW w:w="0" w:type="auto"/>
            <w:tcBorders>
              <w:top w:val="single" w:sz="8" w:space="0" w:color="000000"/>
              <w:bottom w:val="single" w:sz="8" w:space="0" w:color="000000"/>
            </w:tcBorders>
            <w:shd w:val="clear" w:color="auto" w:fill="FFFFFF"/>
            <w:vAlign w:val="center"/>
          </w:tcPr>
          <w:p w14:paraId="16896A94"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b/>
                <w:color w:val="000000"/>
                <w:sz w:val="20"/>
                <w:szCs w:val="20"/>
              </w:rPr>
              <w:t>Characteristic</w:t>
            </w:r>
          </w:p>
        </w:tc>
        <w:tc>
          <w:tcPr>
            <w:tcW w:w="0" w:type="auto"/>
            <w:tcBorders>
              <w:top w:val="single" w:sz="8" w:space="0" w:color="000000"/>
              <w:bottom w:val="single" w:sz="8" w:space="0" w:color="000000"/>
            </w:tcBorders>
            <w:shd w:val="clear" w:color="auto" w:fill="FFFFFF"/>
            <w:vAlign w:val="center"/>
          </w:tcPr>
          <w:p w14:paraId="16896A95"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b/>
                <w:color w:val="000000"/>
                <w:sz w:val="20"/>
                <w:szCs w:val="20"/>
              </w:rPr>
              <w:t>OR</w:t>
            </w:r>
          </w:p>
        </w:tc>
        <w:tc>
          <w:tcPr>
            <w:tcW w:w="0" w:type="auto"/>
            <w:tcBorders>
              <w:top w:val="single" w:sz="8" w:space="0" w:color="000000"/>
              <w:bottom w:val="single" w:sz="8" w:space="0" w:color="000000"/>
            </w:tcBorders>
            <w:shd w:val="clear" w:color="auto" w:fill="FFFFFF"/>
            <w:vAlign w:val="center"/>
          </w:tcPr>
          <w:p w14:paraId="16896A96"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b/>
                <w:color w:val="000000"/>
                <w:sz w:val="20"/>
                <w:szCs w:val="20"/>
              </w:rPr>
              <w:t>OR</w:t>
            </w:r>
          </w:p>
        </w:tc>
        <w:tc>
          <w:tcPr>
            <w:tcW w:w="0" w:type="auto"/>
            <w:tcBorders>
              <w:top w:val="single" w:sz="8" w:space="0" w:color="000000"/>
              <w:bottom w:val="single" w:sz="8" w:space="0" w:color="000000"/>
            </w:tcBorders>
            <w:shd w:val="clear" w:color="auto" w:fill="FFFFFF"/>
            <w:vAlign w:val="center"/>
          </w:tcPr>
          <w:p w14:paraId="16896A97"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b/>
                <w:color w:val="000000"/>
                <w:sz w:val="20"/>
                <w:szCs w:val="20"/>
              </w:rPr>
              <w:t>OR</w:t>
            </w:r>
          </w:p>
        </w:tc>
      </w:tr>
      <w:tr w:rsidR="00BE27A2" w:rsidRPr="00801F92" w14:paraId="16896A9D" w14:textId="77777777" w:rsidTr="002E4329">
        <w:trPr>
          <w:trHeight w:val="584"/>
          <w:jc w:val="center"/>
        </w:trPr>
        <w:tc>
          <w:tcPr>
            <w:tcW w:w="0" w:type="auto"/>
            <w:tcBorders>
              <w:top w:val="single" w:sz="8" w:space="0" w:color="000000"/>
            </w:tcBorders>
            <w:shd w:val="clear" w:color="auto" w:fill="FFFFFF"/>
          </w:tcPr>
          <w:p w14:paraId="16896A99"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Historical redlining exposure</w:t>
            </w:r>
          </w:p>
        </w:tc>
        <w:tc>
          <w:tcPr>
            <w:tcW w:w="0" w:type="auto"/>
            <w:tcBorders>
              <w:top w:val="single" w:sz="8" w:space="0" w:color="000000"/>
            </w:tcBorders>
            <w:shd w:val="clear" w:color="auto" w:fill="FFFFFF"/>
          </w:tcPr>
          <w:p w14:paraId="16896A9A"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tcBorders>
              <w:top w:val="single" w:sz="8" w:space="0" w:color="000000"/>
            </w:tcBorders>
            <w:shd w:val="clear" w:color="auto" w:fill="FFFFFF"/>
          </w:tcPr>
          <w:p w14:paraId="16896A9B"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tcBorders>
              <w:top w:val="single" w:sz="8" w:space="0" w:color="000000"/>
            </w:tcBorders>
            <w:shd w:val="clear" w:color="auto" w:fill="FFFFFF"/>
          </w:tcPr>
          <w:p w14:paraId="16896A9C"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r>
      <w:tr w:rsidR="00BE27A2" w:rsidRPr="00801F92" w14:paraId="16896AA2" w14:textId="77777777" w:rsidTr="002E4329">
        <w:trPr>
          <w:trHeight w:val="584"/>
          <w:jc w:val="center"/>
        </w:trPr>
        <w:tc>
          <w:tcPr>
            <w:tcW w:w="0" w:type="auto"/>
            <w:shd w:val="clear" w:color="auto" w:fill="FFFFFF"/>
          </w:tcPr>
          <w:p w14:paraId="16896A9E"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Never redlined</w:t>
            </w:r>
          </w:p>
        </w:tc>
        <w:tc>
          <w:tcPr>
            <w:tcW w:w="0" w:type="auto"/>
            <w:shd w:val="clear" w:color="auto" w:fill="FFFFFF"/>
          </w:tcPr>
          <w:p w14:paraId="16896A9F"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c>
          <w:tcPr>
            <w:tcW w:w="0" w:type="auto"/>
            <w:shd w:val="clear" w:color="auto" w:fill="FFFFFF"/>
          </w:tcPr>
          <w:p w14:paraId="16896AA0"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c>
          <w:tcPr>
            <w:tcW w:w="0" w:type="auto"/>
            <w:shd w:val="clear" w:color="auto" w:fill="FFFFFF"/>
          </w:tcPr>
          <w:p w14:paraId="16896AA1"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r>
      <w:tr w:rsidR="00BE27A2" w:rsidRPr="00801F92" w14:paraId="16896AA7" w14:textId="77777777" w:rsidTr="002E4329">
        <w:trPr>
          <w:trHeight w:val="584"/>
          <w:jc w:val="center"/>
        </w:trPr>
        <w:tc>
          <w:tcPr>
            <w:tcW w:w="0" w:type="auto"/>
            <w:shd w:val="clear" w:color="auto" w:fill="FFFFFF"/>
          </w:tcPr>
          <w:p w14:paraId="16896AA3"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Ever redlined</w:t>
            </w:r>
          </w:p>
        </w:tc>
        <w:tc>
          <w:tcPr>
            <w:tcW w:w="0" w:type="auto"/>
            <w:shd w:val="clear" w:color="auto" w:fill="FFFFFF"/>
          </w:tcPr>
          <w:p w14:paraId="16896AA4"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0.83 (0.69, 0.99)</w:t>
            </w:r>
          </w:p>
        </w:tc>
        <w:tc>
          <w:tcPr>
            <w:tcW w:w="0" w:type="auto"/>
            <w:shd w:val="clear" w:color="auto" w:fill="FFFFFF"/>
          </w:tcPr>
          <w:p w14:paraId="16896AA5"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0.89 (0.75, 1.07)</w:t>
            </w:r>
          </w:p>
        </w:tc>
        <w:tc>
          <w:tcPr>
            <w:tcW w:w="0" w:type="auto"/>
            <w:shd w:val="clear" w:color="auto" w:fill="FFFFFF"/>
          </w:tcPr>
          <w:p w14:paraId="16896AA6"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0.89 (0.74, 1.07)</w:t>
            </w:r>
          </w:p>
        </w:tc>
      </w:tr>
      <w:tr w:rsidR="00BE27A2" w:rsidRPr="00801F92" w14:paraId="16896AAC" w14:textId="77777777" w:rsidTr="002E4329">
        <w:trPr>
          <w:trHeight w:val="584"/>
          <w:jc w:val="center"/>
        </w:trPr>
        <w:tc>
          <w:tcPr>
            <w:tcW w:w="0" w:type="auto"/>
            <w:shd w:val="clear" w:color="auto" w:fill="FFFFFF"/>
          </w:tcPr>
          <w:p w14:paraId="16896AA8"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Sex</w:t>
            </w:r>
          </w:p>
        </w:tc>
        <w:tc>
          <w:tcPr>
            <w:tcW w:w="0" w:type="auto"/>
            <w:shd w:val="clear" w:color="auto" w:fill="FFFFFF"/>
          </w:tcPr>
          <w:p w14:paraId="16896AA9"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AA"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AB"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r>
      <w:tr w:rsidR="00BE27A2" w:rsidRPr="00801F92" w14:paraId="16896AB1" w14:textId="77777777" w:rsidTr="002E4329">
        <w:trPr>
          <w:trHeight w:val="584"/>
          <w:jc w:val="center"/>
        </w:trPr>
        <w:tc>
          <w:tcPr>
            <w:tcW w:w="0" w:type="auto"/>
            <w:shd w:val="clear" w:color="auto" w:fill="FFFFFF"/>
          </w:tcPr>
          <w:p w14:paraId="16896AAD"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Female</w:t>
            </w:r>
          </w:p>
        </w:tc>
        <w:tc>
          <w:tcPr>
            <w:tcW w:w="0" w:type="auto"/>
            <w:shd w:val="clear" w:color="auto" w:fill="FFFFFF"/>
          </w:tcPr>
          <w:p w14:paraId="16896AAE"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AF"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c>
          <w:tcPr>
            <w:tcW w:w="0" w:type="auto"/>
            <w:shd w:val="clear" w:color="auto" w:fill="FFFFFF"/>
          </w:tcPr>
          <w:p w14:paraId="16896AB0"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r>
      <w:tr w:rsidR="00BE27A2" w:rsidRPr="00801F92" w14:paraId="16896AB6" w14:textId="77777777" w:rsidTr="002E4329">
        <w:trPr>
          <w:trHeight w:val="584"/>
          <w:jc w:val="center"/>
        </w:trPr>
        <w:tc>
          <w:tcPr>
            <w:tcW w:w="0" w:type="auto"/>
            <w:shd w:val="clear" w:color="auto" w:fill="FFFFFF"/>
          </w:tcPr>
          <w:p w14:paraId="16896AB2"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Male</w:t>
            </w:r>
          </w:p>
        </w:tc>
        <w:tc>
          <w:tcPr>
            <w:tcW w:w="0" w:type="auto"/>
            <w:shd w:val="clear" w:color="auto" w:fill="FFFFFF"/>
          </w:tcPr>
          <w:p w14:paraId="16896AB3"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B4"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1.44 (1.21, 1.72)</w:t>
            </w:r>
          </w:p>
        </w:tc>
        <w:tc>
          <w:tcPr>
            <w:tcW w:w="0" w:type="auto"/>
            <w:shd w:val="clear" w:color="auto" w:fill="FFFFFF"/>
          </w:tcPr>
          <w:p w14:paraId="16896AB5"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1.46 (1.23, 1.74)</w:t>
            </w:r>
          </w:p>
        </w:tc>
      </w:tr>
      <w:tr w:rsidR="00BE27A2" w:rsidRPr="00801F92" w14:paraId="16896ABB" w14:textId="77777777" w:rsidTr="002E4329">
        <w:trPr>
          <w:trHeight w:val="584"/>
          <w:jc w:val="center"/>
        </w:trPr>
        <w:tc>
          <w:tcPr>
            <w:tcW w:w="0" w:type="auto"/>
            <w:shd w:val="clear" w:color="auto" w:fill="FFFFFF"/>
          </w:tcPr>
          <w:p w14:paraId="16896AB7"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Race/Ethnicity</w:t>
            </w:r>
          </w:p>
        </w:tc>
        <w:tc>
          <w:tcPr>
            <w:tcW w:w="0" w:type="auto"/>
            <w:shd w:val="clear" w:color="auto" w:fill="FFFFFF"/>
          </w:tcPr>
          <w:p w14:paraId="16896AB8"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B9"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BA"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r>
      <w:tr w:rsidR="00BE27A2" w:rsidRPr="00801F92" w14:paraId="16896AC0" w14:textId="77777777" w:rsidTr="002E4329">
        <w:trPr>
          <w:trHeight w:val="584"/>
          <w:jc w:val="center"/>
        </w:trPr>
        <w:tc>
          <w:tcPr>
            <w:tcW w:w="0" w:type="auto"/>
            <w:shd w:val="clear" w:color="auto" w:fill="FFFFFF"/>
          </w:tcPr>
          <w:p w14:paraId="16896ABC"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White</w:t>
            </w:r>
          </w:p>
        </w:tc>
        <w:tc>
          <w:tcPr>
            <w:tcW w:w="0" w:type="auto"/>
            <w:shd w:val="clear" w:color="auto" w:fill="FFFFFF"/>
          </w:tcPr>
          <w:p w14:paraId="16896ABD"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BE"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c>
          <w:tcPr>
            <w:tcW w:w="0" w:type="auto"/>
            <w:shd w:val="clear" w:color="auto" w:fill="FFFFFF"/>
          </w:tcPr>
          <w:p w14:paraId="16896ABF"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r>
      <w:tr w:rsidR="00BE27A2" w:rsidRPr="00801F92" w14:paraId="16896AC5" w14:textId="77777777" w:rsidTr="002E4329">
        <w:trPr>
          <w:trHeight w:val="584"/>
          <w:jc w:val="center"/>
        </w:trPr>
        <w:tc>
          <w:tcPr>
            <w:tcW w:w="0" w:type="auto"/>
            <w:shd w:val="clear" w:color="auto" w:fill="FFFFFF"/>
          </w:tcPr>
          <w:p w14:paraId="16896AC1"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Hispanic</w:t>
            </w:r>
          </w:p>
        </w:tc>
        <w:tc>
          <w:tcPr>
            <w:tcW w:w="0" w:type="auto"/>
            <w:shd w:val="clear" w:color="auto" w:fill="FFFFFF"/>
          </w:tcPr>
          <w:p w14:paraId="16896AC2"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C3"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1.12 (0.87, 1.46)</w:t>
            </w:r>
          </w:p>
        </w:tc>
        <w:tc>
          <w:tcPr>
            <w:tcW w:w="0" w:type="auto"/>
            <w:shd w:val="clear" w:color="auto" w:fill="FFFFFF"/>
          </w:tcPr>
          <w:p w14:paraId="16896AC4"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1.07 (0.80, 1.42)</w:t>
            </w:r>
          </w:p>
        </w:tc>
      </w:tr>
      <w:tr w:rsidR="00BE27A2" w:rsidRPr="00801F92" w14:paraId="16896ACA" w14:textId="77777777" w:rsidTr="002E4329">
        <w:trPr>
          <w:trHeight w:val="584"/>
          <w:jc w:val="center"/>
        </w:trPr>
        <w:tc>
          <w:tcPr>
            <w:tcW w:w="0" w:type="auto"/>
            <w:shd w:val="clear" w:color="auto" w:fill="FFFFFF"/>
          </w:tcPr>
          <w:p w14:paraId="16896AC6"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Asian</w:t>
            </w:r>
          </w:p>
        </w:tc>
        <w:tc>
          <w:tcPr>
            <w:tcW w:w="0" w:type="auto"/>
            <w:shd w:val="clear" w:color="auto" w:fill="FFFFFF"/>
          </w:tcPr>
          <w:p w14:paraId="16896AC7"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C8"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0.68 (0.45, 1.04)</w:t>
            </w:r>
          </w:p>
        </w:tc>
        <w:tc>
          <w:tcPr>
            <w:tcW w:w="0" w:type="auto"/>
            <w:shd w:val="clear" w:color="auto" w:fill="FFFFFF"/>
          </w:tcPr>
          <w:p w14:paraId="16896AC9"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0.68 (0.44, 1.04)</w:t>
            </w:r>
          </w:p>
        </w:tc>
      </w:tr>
      <w:tr w:rsidR="00BE27A2" w:rsidRPr="00801F92" w14:paraId="16896ACF" w14:textId="77777777" w:rsidTr="002E4329">
        <w:trPr>
          <w:trHeight w:val="584"/>
          <w:jc w:val="center"/>
        </w:trPr>
        <w:tc>
          <w:tcPr>
            <w:tcW w:w="0" w:type="auto"/>
            <w:shd w:val="clear" w:color="auto" w:fill="FFFFFF"/>
          </w:tcPr>
          <w:p w14:paraId="16896ACB"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Black</w:t>
            </w:r>
          </w:p>
        </w:tc>
        <w:tc>
          <w:tcPr>
            <w:tcW w:w="0" w:type="auto"/>
            <w:shd w:val="clear" w:color="auto" w:fill="FFFFFF"/>
          </w:tcPr>
          <w:p w14:paraId="16896ACC"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CD"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0.72 (0.57, 0.91)</w:t>
            </w:r>
          </w:p>
        </w:tc>
        <w:tc>
          <w:tcPr>
            <w:tcW w:w="0" w:type="auto"/>
            <w:shd w:val="clear" w:color="auto" w:fill="FFFFFF"/>
          </w:tcPr>
          <w:p w14:paraId="16896ACE"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0.64 (0.48, 0.86)</w:t>
            </w:r>
          </w:p>
        </w:tc>
      </w:tr>
      <w:tr w:rsidR="00BE27A2" w:rsidRPr="00801F92" w14:paraId="16896AD4" w14:textId="77777777" w:rsidTr="002E4329">
        <w:trPr>
          <w:trHeight w:val="584"/>
          <w:jc w:val="center"/>
        </w:trPr>
        <w:tc>
          <w:tcPr>
            <w:tcW w:w="0" w:type="auto"/>
            <w:shd w:val="clear" w:color="auto" w:fill="FFFFFF"/>
          </w:tcPr>
          <w:p w14:paraId="16896AD0"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Native American</w:t>
            </w:r>
          </w:p>
        </w:tc>
        <w:tc>
          <w:tcPr>
            <w:tcW w:w="0" w:type="auto"/>
            <w:shd w:val="clear" w:color="auto" w:fill="FFFFFF"/>
          </w:tcPr>
          <w:p w14:paraId="16896AD1"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D2"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1.77 (0.73, 4.27)</w:t>
            </w:r>
          </w:p>
        </w:tc>
        <w:tc>
          <w:tcPr>
            <w:tcW w:w="0" w:type="auto"/>
            <w:shd w:val="clear" w:color="auto" w:fill="FFFFFF"/>
          </w:tcPr>
          <w:p w14:paraId="16896AD3"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1.65 (0.67, 4.08)</w:t>
            </w:r>
          </w:p>
        </w:tc>
      </w:tr>
      <w:tr w:rsidR="00BE27A2" w:rsidRPr="00801F92" w14:paraId="16896AD9" w14:textId="77777777" w:rsidTr="002E4329">
        <w:trPr>
          <w:trHeight w:val="584"/>
          <w:jc w:val="center"/>
        </w:trPr>
        <w:tc>
          <w:tcPr>
            <w:tcW w:w="0" w:type="auto"/>
            <w:shd w:val="clear" w:color="auto" w:fill="FFFFFF"/>
          </w:tcPr>
          <w:p w14:paraId="16896AD5"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Education</w:t>
            </w:r>
          </w:p>
        </w:tc>
        <w:tc>
          <w:tcPr>
            <w:tcW w:w="0" w:type="auto"/>
            <w:shd w:val="clear" w:color="auto" w:fill="FFFFFF"/>
          </w:tcPr>
          <w:p w14:paraId="16896AD6"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D7"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D8"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r>
      <w:tr w:rsidR="00BE27A2" w:rsidRPr="00801F92" w14:paraId="16896ADE" w14:textId="77777777" w:rsidTr="002E4329">
        <w:trPr>
          <w:trHeight w:val="584"/>
          <w:jc w:val="center"/>
        </w:trPr>
        <w:tc>
          <w:tcPr>
            <w:tcW w:w="0" w:type="auto"/>
            <w:shd w:val="clear" w:color="auto" w:fill="FFFFFF"/>
          </w:tcPr>
          <w:p w14:paraId="16896ADA"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Less than high school</w:t>
            </w:r>
          </w:p>
        </w:tc>
        <w:tc>
          <w:tcPr>
            <w:tcW w:w="0" w:type="auto"/>
            <w:shd w:val="clear" w:color="auto" w:fill="FFFFFF"/>
          </w:tcPr>
          <w:p w14:paraId="16896ADB"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DC"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c>
          <w:tcPr>
            <w:tcW w:w="0" w:type="auto"/>
            <w:shd w:val="clear" w:color="auto" w:fill="FFFFFF"/>
          </w:tcPr>
          <w:p w14:paraId="16896ADD"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r>
      <w:tr w:rsidR="00BE27A2" w:rsidRPr="00801F92" w14:paraId="16896AE3" w14:textId="77777777" w:rsidTr="002E4329">
        <w:trPr>
          <w:trHeight w:val="584"/>
          <w:jc w:val="center"/>
        </w:trPr>
        <w:tc>
          <w:tcPr>
            <w:tcW w:w="0" w:type="auto"/>
            <w:shd w:val="clear" w:color="auto" w:fill="FFFFFF"/>
          </w:tcPr>
          <w:p w14:paraId="16896ADF"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High school graduate</w:t>
            </w:r>
          </w:p>
        </w:tc>
        <w:tc>
          <w:tcPr>
            <w:tcW w:w="0" w:type="auto"/>
            <w:shd w:val="clear" w:color="auto" w:fill="FFFFFF"/>
          </w:tcPr>
          <w:p w14:paraId="16896AE0"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E1"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0.57 (0.40, 0.80)</w:t>
            </w:r>
          </w:p>
        </w:tc>
        <w:tc>
          <w:tcPr>
            <w:tcW w:w="0" w:type="auto"/>
            <w:shd w:val="clear" w:color="auto" w:fill="FFFFFF"/>
          </w:tcPr>
          <w:p w14:paraId="16896AE2"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0.58 (0.41, 0.82)</w:t>
            </w:r>
          </w:p>
        </w:tc>
      </w:tr>
      <w:tr w:rsidR="00BE27A2" w:rsidRPr="00801F92" w14:paraId="16896AE8" w14:textId="77777777" w:rsidTr="002E4329">
        <w:trPr>
          <w:trHeight w:val="584"/>
          <w:jc w:val="center"/>
        </w:trPr>
        <w:tc>
          <w:tcPr>
            <w:tcW w:w="0" w:type="auto"/>
            <w:shd w:val="clear" w:color="auto" w:fill="FFFFFF"/>
          </w:tcPr>
          <w:p w14:paraId="16896AE4"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Some college</w:t>
            </w:r>
          </w:p>
        </w:tc>
        <w:tc>
          <w:tcPr>
            <w:tcW w:w="0" w:type="auto"/>
            <w:shd w:val="clear" w:color="auto" w:fill="FFFFFF"/>
          </w:tcPr>
          <w:p w14:paraId="16896AE5"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E6"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0.42 (0.31, 0.55)</w:t>
            </w:r>
          </w:p>
        </w:tc>
        <w:tc>
          <w:tcPr>
            <w:tcW w:w="0" w:type="auto"/>
            <w:shd w:val="clear" w:color="auto" w:fill="FFFFFF"/>
          </w:tcPr>
          <w:p w14:paraId="16896AE7"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0.44 (0.33, 0.58)</w:t>
            </w:r>
          </w:p>
        </w:tc>
      </w:tr>
      <w:tr w:rsidR="00BE27A2" w:rsidRPr="00801F92" w14:paraId="16896AED" w14:textId="77777777" w:rsidTr="002E4329">
        <w:trPr>
          <w:trHeight w:val="584"/>
          <w:jc w:val="center"/>
        </w:trPr>
        <w:tc>
          <w:tcPr>
            <w:tcW w:w="0" w:type="auto"/>
            <w:shd w:val="clear" w:color="auto" w:fill="FFFFFF"/>
          </w:tcPr>
          <w:p w14:paraId="16896AE9"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College graduate</w:t>
            </w:r>
          </w:p>
        </w:tc>
        <w:tc>
          <w:tcPr>
            <w:tcW w:w="0" w:type="auto"/>
            <w:shd w:val="clear" w:color="auto" w:fill="FFFFFF"/>
          </w:tcPr>
          <w:p w14:paraId="16896AEA"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EB"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0.27 (0.19, 0.38)</w:t>
            </w:r>
          </w:p>
        </w:tc>
        <w:tc>
          <w:tcPr>
            <w:tcW w:w="0" w:type="auto"/>
            <w:shd w:val="clear" w:color="auto" w:fill="FFFFFF"/>
          </w:tcPr>
          <w:p w14:paraId="16896AEC"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0.29 (0.21, 0.42)</w:t>
            </w:r>
          </w:p>
        </w:tc>
      </w:tr>
      <w:tr w:rsidR="00BE27A2" w:rsidRPr="00801F92" w14:paraId="16896AF2" w14:textId="77777777" w:rsidTr="002E4329">
        <w:trPr>
          <w:trHeight w:val="584"/>
          <w:jc w:val="center"/>
        </w:trPr>
        <w:tc>
          <w:tcPr>
            <w:tcW w:w="0" w:type="auto"/>
            <w:shd w:val="clear" w:color="auto" w:fill="FFFFFF"/>
          </w:tcPr>
          <w:p w14:paraId="16896AEE"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Graduate degree or higher</w:t>
            </w:r>
          </w:p>
        </w:tc>
        <w:tc>
          <w:tcPr>
            <w:tcW w:w="0" w:type="auto"/>
            <w:shd w:val="clear" w:color="auto" w:fill="FFFFFF"/>
          </w:tcPr>
          <w:p w14:paraId="16896AEF"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F0"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0.20 (0.13, 0.29)</w:t>
            </w:r>
          </w:p>
        </w:tc>
        <w:tc>
          <w:tcPr>
            <w:tcW w:w="0" w:type="auto"/>
            <w:shd w:val="clear" w:color="auto" w:fill="FFFFFF"/>
          </w:tcPr>
          <w:p w14:paraId="16896AF1"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0.21 (0.14, 0.32)</w:t>
            </w:r>
          </w:p>
        </w:tc>
      </w:tr>
      <w:tr w:rsidR="00BE27A2" w:rsidRPr="00801F92" w14:paraId="16896AF7" w14:textId="77777777" w:rsidTr="002E4329">
        <w:trPr>
          <w:trHeight w:val="584"/>
          <w:jc w:val="center"/>
        </w:trPr>
        <w:tc>
          <w:tcPr>
            <w:tcW w:w="0" w:type="auto"/>
            <w:shd w:val="clear" w:color="auto" w:fill="FFFFFF"/>
          </w:tcPr>
          <w:p w14:paraId="16896AF3"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Age (years)</w:t>
            </w:r>
          </w:p>
        </w:tc>
        <w:tc>
          <w:tcPr>
            <w:tcW w:w="0" w:type="auto"/>
            <w:shd w:val="clear" w:color="auto" w:fill="FFFFFF"/>
          </w:tcPr>
          <w:p w14:paraId="16896AF4"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F5"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0.97 (0.93, 1.02)</w:t>
            </w:r>
          </w:p>
        </w:tc>
        <w:tc>
          <w:tcPr>
            <w:tcW w:w="0" w:type="auto"/>
            <w:shd w:val="clear" w:color="auto" w:fill="FFFFFF"/>
          </w:tcPr>
          <w:p w14:paraId="16896AF6"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0.98 (0.93, 1.02)</w:t>
            </w:r>
          </w:p>
        </w:tc>
      </w:tr>
      <w:tr w:rsidR="00BE27A2" w:rsidRPr="00801F92" w14:paraId="16896AFC" w14:textId="77777777" w:rsidTr="002E4329">
        <w:trPr>
          <w:trHeight w:val="584"/>
          <w:jc w:val="center"/>
        </w:trPr>
        <w:tc>
          <w:tcPr>
            <w:tcW w:w="0" w:type="auto"/>
            <w:shd w:val="clear" w:color="auto" w:fill="FFFFFF"/>
          </w:tcPr>
          <w:p w14:paraId="16896AF8"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Gentrification status</w:t>
            </w:r>
          </w:p>
        </w:tc>
        <w:tc>
          <w:tcPr>
            <w:tcW w:w="0" w:type="auto"/>
            <w:shd w:val="clear" w:color="auto" w:fill="FFFFFF"/>
          </w:tcPr>
          <w:p w14:paraId="16896AF9"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FA"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FB"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r>
      <w:tr w:rsidR="00BE27A2" w:rsidRPr="00801F92" w14:paraId="16896B01" w14:textId="77777777" w:rsidTr="002E4329">
        <w:trPr>
          <w:trHeight w:val="584"/>
          <w:jc w:val="center"/>
        </w:trPr>
        <w:tc>
          <w:tcPr>
            <w:tcW w:w="0" w:type="auto"/>
            <w:shd w:val="clear" w:color="auto" w:fill="FFFFFF"/>
          </w:tcPr>
          <w:p w14:paraId="16896AFD"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 rise in housing</w:t>
            </w:r>
          </w:p>
        </w:tc>
        <w:tc>
          <w:tcPr>
            <w:tcW w:w="0" w:type="auto"/>
            <w:shd w:val="clear" w:color="auto" w:fill="FFFFFF"/>
          </w:tcPr>
          <w:p w14:paraId="16896AFE"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AFF"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00"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(referent)</w:t>
            </w:r>
          </w:p>
        </w:tc>
      </w:tr>
      <w:tr w:rsidR="00BE27A2" w:rsidRPr="00801F92" w14:paraId="16896B06" w14:textId="77777777" w:rsidTr="002E4329">
        <w:trPr>
          <w:trHeight w:val="584"/>
          <w:jc w:val="center"/>
        </w:trPr>
        <w:tc>
          <w:tcPr>
            <w:tcW w:w="0" w:type="auto"/>
            <w:shd w:val="clear" w:color="auto" w:fill="FFFFFF"/>
          </w:tcPr>
          <w:p w14:paraId="16896B02"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lastRenderedPageBreak/>
              <w:t>Intense</w:t>
            </w:r>
          </w:p>
        </w:tc>
        <w:tc>
          <w:tcPr>
            <w:tcW w:w="0" w:type="auto"/>
            <w:shd w:val="clear" w:color="auto" w:fill="FFFFFF"/>
          </w:tcPr>
          <w:p w14:paraId="16896B03"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04"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05"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1.06 (0.74, 1.52)</w:t>
            </w:r>
          </w:p>
        </w:tc>
      </w:tr>
      <w:tr w:rsidR="00BE27A2" w:rsidRPr="00801F92" w14:paraId="16896B0B" w14:textId="77777777" w:rsidTr="002E4329">
        <w:trPr>
          <w:trHeight w:val="584"/>
          <w:jc w:val="center"/>
        </w:trPr>
        <w:tc>
          <w:tcPr>
            <w:tcW w:w="0" w:type="auto"/>
            <w:shd w:val="clear" w:color="auto" w:fill="FFFFFF"/>
          </w:tcPr>
          <w:p w14:paraId="16896B07"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Moderate</w:t>
            </w:r>
          </w:p>
        </w:tc>
        <w:tc>
          <w:tcPr>
            <w:tcW w:w="0" w:type="auto"/>
            <w:shd w:val="clear" w:color="auto" w:fill="FFFFFF"/>
          </w:tcPr>
          <w:p w14:paraId="16896B08"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09"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0A"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1.05 (0.69, 1.60)</w:t>
            </w:r>
          </w:p>
        </w:tc>
      </w:tr>
      <w:tr w:rsidR="00BE27A2" w:rsidRPr="00801F92" w14:paraId="16896B10" w14:textId="77777777" w:rsidTr="002E4329">
        <w:trPr>
          <w:trHeight w:val="584"/>
          <w:jc w:val="center"/>
        </w:trPr>
        <w:tc>
          <w:tcPr>
            <w:tcW w:w="0" w:type="auto"/>
            <w:shd w:val="clear" w:color="auto" w:fill="FFFFFF"/>
          </w:tcPr>
          <w:p w14:paraId="16896B0C"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 educ rise</w:t>
            </w:r>
          </w:p>
        </w:tc>
        <w:tc>
          <w:tcPr>
            <w:tcW w:w="0" w:type="auto"/>
            <w:shd w:val="clear" w:color="auto" w:fill="FFFFFF"/>
          </w:tcPr>
          <w:p w14:paraId="16896B0D"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0E"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0F"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1.16 (0.83, 1.61)</w:t>
            </w:r>
          </w:p>
        </w:tc>
      </w:tr>
      <w:tr w:rsidR="00BE27A2" w:rsidRPr="00801F92" w14:paraId="16896B15" w14:textId="77777777" w:rsidTr="002E4329">
        <w:trPr>
          <w:trHeight w:val="584"/>
          <w:jc w:val="center"/>
        </w:trPr>
        <w:tc>
          <w:tcPr>
            <w:tcW w:w="0" w:type="auto"/>
            <w:shd w:val="clear" w:color="auto" w:fill="FFFFFF"/>
          </w:tcPr>
          <w:p w14:paraId="16896B11" w14:textId="77777777" w:rsidR="00BE27A2" w:rsidRPr="00801F92" w:rsidRDefault="00FF6CE7" w:rsidP="002E4329">
            <w:pPr>
              <w:ind w:left="3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Not eligible</w:t>
            </w:r>
          </w:p>
        </w:tc>
        <w:tc>
          <w:tcPr>
            <w:tcW w:w="0" w:type="auto"/>
            <w:shd w:val="clear" w:color="auto" w:fill="FFFFFF"/>
          </w:tcPr>
          <w:p w14:paraId="16896B12"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13"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14"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1.02 (0.72, 1.44)</w:t>
            </w:r>
          </w:p>
        </w:tc>
      </w:tr>
      <w:tr w:rsidR="00BE27A2" w:rsidRPr="00801F92" w14:paraId="16896B1A" w14:textId="77777777" w:rsidTr="002E4329">
        <w:trPr>
          <w:trHeight w:val="584"/>
          <w:jc w:val="center"/>
        </w:trPr>
        <w:tc>
          <w:tcPr>
            <w:tcW w:w="0" w:type="auto"/>
            <w:shd w:val="clear" w:color="auto" w:fill="FFFFFF"/>
          </w:tcPr>
          <w:p w14:paraId="16896B16"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Neighborhood concentrated disadvantage</w:t>
            </w:r>
          </w:p>
        </w:tc>
        <w:tc>
          <w:tcPr>
            <w:tcW w:w="0" w:type="auto"/>
            <w:shd w:val="clear" w:color="auto" w:fill="FFFFFF"/>
          </w:tcPr>
          <w:p w14:paraId="16896B17"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18"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19"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2.66 (0.54, 13.2)</w:t>
            </w:r>
          </w:p>
        </w:tc>
      </w:tr>
      <w:tr w:rsidR="00BE27A2" w:rsidRPr="00801F92" w14:paraId="16896B1F" w14:textId="77777777" w:rsidTr="002E4329">
        <w:trPr>
          <w:trHeight w:val="584"/>
          <w:jc w:val="center"/>
        </w:trPr>
        <w:tc>
          <w:tcPr>
            <w:tcW w:w="0" w:type="auto"/>
            <w:shd w:val="clear" w:color="auto" w:fill="FFFFFF"/>
          </w:tcPr>
          <w:p w14:paraId="16896B1B"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Alcohol outlet density (z-score)</w:t>
            </w:r>
          </w:p>
        </w:tc>
        <w:tc>
          <w:tcPr>
            <w:tcW w:w="0" w:type="auto"/>
            <w:shd w:val="clear" w:color="auto" w:fill="FFFFFF"/>
          </w:tcPr>
          <w:p w14:paraId="16896B1C"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1D"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shd w:val="clear" w:color="auto" w:fill="FFFFFF"/>
          </w:tcPr>
          <w:p w14:paraId="16896B1E"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0.96 (0.84, 1.10)</w:t>
            </w:r>
          </w:p>
        </w:tc>
      </w:tr>
      <w:tr w:rsidR="00BE27A2" w:rsidRPr="00801F92" w14:paraId="16896B24" w14:textId="77777777" w:rsidTr="002E4329">
        <w:trPr>
          <w:trHeight w:val="594"/>
          <w:jc w:val="center"/>
        </w:trPr>
        <w:tc>
          <w:tcPr>
            <w:tcW w:w="0" w:type="auto"/>
            <w:tcBorders>
              <w:bottom w:val="single" w:sz="8" w:space="0" w:color="000000"/>
            </w:tcBorders>
            <w:shd w:val="clear" w:color="auto" w:fill="FFFFFF"/>
          </w:tcPr>
          <w:p w14:paraId="16896B20" w14:textId="77777777" w:rsidR="00BE27A2" w:rsidRPr="00801F92" w:rsidRDefault="00FF6CE7" w:rsidP="002E4329">
            <w:pPr>
              <w:ind w:left="100" w:right="101"/>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State alcohol policy stringency (z-score)</w:t>
            </w:r>
          </w:p>
        </w:tc>
        <w:tc>
          <w:tcPr>
            <w:tcW w:w="0" w:type="auto"/>
            <w:tcBorders>
              <w:bottom w:val="single" w:sz="8" w:space="0" w:color="000000"/>
            </w:tcBorders>
            <w:shd w:val="clear" w:color="auto" w:fill="FFFFFF"/>
          </w:tcPr>
          <w:p w14:paraId="16896B21"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tcBorders>
              <w:bottom w:val="single" w:sz="8" w:space="0" w:color="000000"/>
            </w:tcBorders>
            <w:shd w:val="clear" w:color="auto" w:fill="FFFFFF"/>
          </w:tcPr>
          <w:p w14:paraId="16896B22" w14:textId="77777777" w:rsidR="00BE27A2" w:rsidRPr="00801F92" w:rsidRDefault="00BE27A2" w:rsidP="002E4329">
            <w:pPr>
              <w:ind w:left="100" w:right="101"/>
              <w:jc w:val="center"/>
              <w:rPr>
                <w:rFonts w:ascii="Times New Roman" w:eastAsia="Times New Roman" w:hAnsi="Times New Roman" w:cs="Times New Roman"/>
                <w:color w:val="000000"/>
                <w:sz w:val="20"/>
                <w:szCs w:val="20"/>
              </w:rPr>
            </w:pPr>
          </w:p>
        </w:tc>
        <w:tc>
          <w:tcPr>
            <w:tcW w:w="0" w:type="auto"/>
            <w:tcBorders>
              <w:bottom w:val="single" w:sz="8" w:space="0" w:color="000000"/>
            </w:tcBorders>
            <w:shd w:val="clear" w:color="auto" w:fill="FFFFFF"/>
          </w:tcPr>
          <w:p w14:paraId="16896B23" w14:textId="77777777" w:rsidR="00BE27A2" w:rsidRPr="00801F92" w:rsidRDefault="00FF6CE7" w:rsidP="002E4329">
            <w:pPr>
              <w:ind w:left="100" w:right="101"/>
              <w:jc w:val="center"/>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1.00 (0.87, 1.15)</w:t>
            </w:r>
          </w:p>
        </w:tc>
      </w:tr>
      <w:tr w:rsidR="00BE27A2" w:rsidRPr="00801F92" w14:paraId="16896B26" w14:textId="77777777" w:rsidTr="002E4329">
        <w:trPr>
          <w:trHeight w:val="360"/>
          <w:jc w:val="center"/>
        </w:trPr>
        <w:tc>
          <w:tcPr>
            <w:tcW w:w="0" w:type="auto"/>
            <w:gridSpan w:val="4"/>
            <w:tcBorders>
              <w:top w:val="single" w:sz="8" w:space="0" w:color="000000"/>
            </w:tcBorders>
            <w:shd w:val="clear" w:color="auto" w:fill="FFFFFF"/>
            <w:vAlign w:val="center"/>
          </w:tcPr>
          <w:p w14:paraId="16896B25" w14:textId="77777777" w:rsidR="00BE27A2" w:rsidRPr="00801F92" w:rsidRDefault="00FF6CE7" w:rsidP="002E4329">
            <w:pPr>
              <w:ind w:left="100" w:right="101"/>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Cells are odds ratios with 95% confidence intervals.</w:t>
            </w:r>
          </w:p>
        </w:tc>
      </w:tr>
    </w:tbl>
    <w:p w14:paraId="16896B27"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B29" w14:textId="77777777" w:rsidR="00BE27A2" w:rsidRPr="00801F92" w:rsidRDefault="00FF6CE7" w:rsidP="002E4329">
      <w:pPr>
        <w:pStyle w:val="TableCaption"/>
        <w:keepNext/>
        <w:ind w:left="60" w:right="60"/>
        <w:jc w:val="left"/>
        <w:rPr>
          <w:rFonts w:ascii="Times New Roman" w:hAnsi="Times New Roman" w:cs="Times New Roman"/>
          <w:b w:val="0"/>
          <w:bCs/>
          <w:i w:val="0"/>
          <w:iCs/>
        </w:rPr>
      </w:pPr>
      <w:r w:rsidRPr="00801F92">
        <w:rPr>
          <w:rFonts w:ascii="Times New Roman" w:hAnsi="Times New Roman" w:cs="Times New Roman"/>
          <w:i w:val="0"/>
          <w:iCs/>
        </w:rPr>
        <w:lastRenderedPageBreak/>
        <w:t xml:space="preserve">Table S2. </w:t>
      </w:r>
      <w:r w:rsidRPr="00801F92">
        <w:rPr>
          <w:rFonts w:ascii="Times New Roman" w:hAnsi="Times New Roman" w:cs="Times New Roman"/>
          <w:b w:val="0"/>
          <w:bCs/>
          <w:i w:val="0"/>
          <w:iCs/>
        </w:rPr>
        <w:t>Additional sensitivity and modeling specifications, National Longitudinal Study of Adolescent to Adult Health, United States, 1994 to 2018 (n = 7,758)</w:t>
      </w:r>
    </w:p>
    <w:tbl>
      <w:tblPr>
        <w:tblW w:w="5515" w:type="dxa"/>
        <w:jc w:val="center"/>
        <w:tblLayout w:type="fixed"/>
        <w:tblCellMar>
          <w:left w:w="0" w:type="dxa"/>
          <w:right w:w="0" w:type="dxa"/>
        </w:tblCellMar>
        <w:tblLook w:val="0420" w:firstRow="1" w:lastRow="0" w:firstColumn="0" w:lastColumn="0" w:noHBand="0" w:noVBand="1"/>
      </w:tblPr>
      <w:tblGrid>
        <w:gridCol w:w="3471"/>
        <w:gridCol w:w="2044"/>
      </w:tblGrid>
      <w:tr w:rsidR="00BE27A2" w:rsidRPr="00801F92" w14:paraId="16896B2C" w14:textId="77777777">
        <w:trPr>
          <w:trHeight w:val="614"/>
          <w:tblHeader/>
          <w:jc w:val="center"/>
        </w:trPr>
        <w:tc>
          <w:tcPr>
            <w:tcW w:w="3471" w:type="dxa"/>
            <w:tcBorders>
              <w:top w:val="single" w:sz="12" w:space="0" w:color="666666"/>
              <w:bottom w:val="single" w:sz="12" w:space="0" w:color="666666"/>
            </w:tcBorders>
            <w:shd w:val="clear" w:color="auto" w:fill="FFFFFF"/>
            <w:vAlign w:val="center"/>
          </w:tcPr>
          <w:p w14:paraId="16896B2A"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Specification</w:t>
            </w:r>
          </w:p>
        </w:tc>
        <w:tc>
          <w:tcPr>
            <w:tcW w:w="2044" w:type="dxa"/>
            <w:tcBorders>
              <w:top w:val="single" w:sz="12" w:space="0" w:color="666666"/>
              <w:bottom w:val="single" w:sz="12" w:space="0" w:color="666666"/>
            </w:tcBorders>
            <w:shd w:val="clear" w:color="auto" w:fill="FFFFFF"/>
            <w:vAlign w:val="center"/>
          </w:tcPr>
          <w:p w14:paraId="16896B2B"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Estimate (95% CI)</w:t>
            </w:r>
          </w:p>
        </w:tc>
      </w:tr>
      <w:tr w:rsidR="00BE27A2" w:rsidRPr="00801F92" w14:paraId="16896B2F" w14:textId="77777777">
        <w:trPr>
          <w:trHeight w:val="584"/>
          <w:jc w:val="center"/>
        </w:trPr>
        <w:tc>
          <w:tcPr>
            <w:tcW w:w="3471" w:type="dxa"/>
            <w:tcBorders>
              <w:top w:val="single" w:sz="12" w:space="0" w:color="666666"/>
            </w:tcBorders>
            <w:shd w:val="clear" w:color="auto" w:fill="FFFFFF"/>
            <w:vAlign w:val="center"/>
          </w:tcPr>
          <w:p w14:paraId="16896B2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Absolute risk difference (Model 5)</w:t>
            </w:r>
          </w:p>
        </w:tc>
        <w:tc>
          <w:tcPr>
            <w:tcW w:w="2044" w:type="dxa"/>
            <w:tcBorders>
              <w:top w:val="single" w:sz="12" w:space="0" w:color="666666"/>
            </w:tcBorders>
            <w:shd w:val="clear" w:color="auto" w:fill="FFFFFF"/>
            <w:vAlign w:val="center"/>
          </w:tcPr>
          <w:p w14:paraId="16896B2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3.8 pp (0.1, 7.5)</w:t>
            </w:r>
          </w:p>
        </w:tc>
      </w:tr>
      <w:tr w:rsidR="00BE27A2" w:rsidRPr="00801F92" w14:paraId="16896B32" w14:textId="77777777">
        <w:trPr>
          <w:trHeight w:val="584"/>
          <w:jc w:val="center"/>
        </w:trPr>
        <w:tc>
          <w:tcPr>
            <w:tcW w:w="3471" w:type="dxa"/>
            <w:shd w:val="clear" w:color="auto" w:fill="FFFFFF"/>
            <w:vAlign w:val="center"/>
          </w:tcPr>
          <w:p w14:paraId="16896B3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Poisson prevalence ratio (robust SE)</w:t>
            </w:r>
          </w:p>
        </w:tc>
        <w:tc>
          <w:tcPr>
            <w:tcW w:w="2044" w:type="dxa"/>
            <w:shd w:val="clear" w:color="auto" w:fill="FFFFFF"/>
            <w:vAlign w:val="center"/>
          </w:tcPr>
          <w:p w14:paraId="16896B3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1.075 (1.002, 1.152)</w:t>
            </w:r>
          </w:p>
        </w:tc>
      </w:tr>
      <w:tr w:rsidR="00BE27A2" w:rsidRPr="00801F92" w14:paraId="16896B35" w14:textId="77777777">
        <w:trPr>
          <w:trHeight w:val="584"/>
          <w:jc w:val="center"/>
        </w:trPr>
        <w:tc>
          <w:tcPr>
            <w:tcW w:w="3471" w:type="dxa"/>
            <w:shd w:val="clear" w:color="auto" w:fill="FFFFFF"/>
            <w:vAlign w:val="center"/>
          </w:tcPr>
          <w:p w14:paraId="16896B3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E-value for the point estimate</w:t>
            </w:r>
          </w:p>
        </w:tc>
        <w:tc>
          <w:tcPr>
            <w:tcW w:w="2044" w:type="dxa"/>
            <w:shd w:val="clear" w:color="auto" w:fill="FFFFFF"/>
            <w:vAlign w:val="center"/>
          </w:tcPr>
          <w:p w14:paraId="16896B3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1.36</w:t>
            </w:r>
          </w:p>
        </w:tc>
      </w:tr>
      <w:tr w:rsidR="00BE27A2" w:rsidRPr="00801F92" w14:paraId="16896B38" w14:textId="77777777">
        <w:trPr>
          <w:trHeight w:val="584"/>
          <w:jc w:val="center"/>
        </w:trPr>
        <w:tc>
          <w:tcPr>
            <w:tcW w:w="3471" w:type="dxa"/>
            <w:shd w:val="clear" w:color="auto" w:fill="FFFFFF"/>
            <w:vAlign w:val="center"/>
          </w:tcPr>
          <w:p w14:paraId="16896B3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E-value for the lower confidence limit</w:t>
            </w:r>
          </w:p>
        </w:tc>
        <w:tc>
          <w:tcPr>
            <w:tcW w:w="2044" w:type="dxa"/>
            <w:shd w:val="clear" w:color="auto" w:fill="FFFFFF"/>
            <w:vAlign w:val="center"/>
          </w:tcPr>
          <w:p w14:paraId="16896B3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1.04</w:t>
            </w:r>
          </w:p>
        </w:tc>
      </w:tr>
      <w:tr w:rsidR="00BE27A2" w:rsidRPr="00801F92" w14:paraId="16896B3B" w14:textId="77777777">
        <w:trPr>
          <w:trHeight w:val="599"/>
          <w:jc w:val="center"/>
        </w:trPr>
        <w:tc>
          <w:tcPr>
            <w:tcW w:w="3471" w:type="dxa"/>
            <w:tcBorders>
              <w:bottom w:val="single" w:sz="12" w:space="0" w:color="666666"/>
            </w:tcBorders>
            <w:shd w:val="clear" w:color="auto" w:fill="FFFFFF"/>
            <w:vAlign w:val="center"/>
          </w:tcPr>
          <w:p w14:paraId="16896B3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Sex by redlining interaction</w:t>
            </w:r>
          </w:p>
        </w:tc>
        <w:tc>
          <w:tcPr>
            <w:tcW w:w="2044" w:type="dxa"/>
            <w:tcBorders>
              <w:bottom w:val="single" w:sz="12" w:space="0" w:color="666666"/>
            </w:tcBorders>
            <w:shd w:val="clear" w:color="auto" w:fill="FFFFFF"/>
            <w:vAlign w:val="center"/>
          </w:tcPr>
          <w:p w14:paraId="16896B3A"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P = 0.90</w:t>
            </w:r>
          </w:p>
        </w:tc>
      </w:tr>
      <w:tr w:rsidR="00BE27A2" w:rsidRPr="00801F92" w14:paraId="16896B3D" w14:textId="77777777">
        <w:trPr>
          <w:trHeight w:val="360"/>
          <w:jc w:val="center"/>
        </w:trPr>
        <w:tc>
          <w:tcPr>
            <w:tcW w:w="5515" w:type="dxa"/>
            <w:gridSpan w:val="2"/>
            <w:tcBorders>
              <w:top w:val="single" w:sz="12" w:space="0" w:color="666666"/>
            </w:tcBorders>
            <w:shd w:val="clear" w:color="auto" w:fill="FFFFFF"/>
            <w:vAlign w:val="center"/>
          </w:tcPr>
          <w:p w14:paraId="16896B3C"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Each specification uses the full analytic sample and the Model 5 covariate set. E-values computed after converting the odds ratio to a risk-ratio scale (Zhang-Yu); the sex interaction is a design-adjusted likelihood-ratio test.</w:t>
            </w:r>
          </w:p>
        </w:tc>
      </w:tr>
      <w:tr w:rsidR="00BE27A2" w:rsidRPr="00801F92" w14:paraId="16896B3F" w14:textId="77777777">
        <w:trPr>
          <w:trHeight w:val="360"/>
          <w:jc w:val="center"/>
        </w:trPr>
        <w:tc>
          <w:tcPr>
            <w:tcW w:w="5515" w:type="dxa"/>
            <w:gridSpan w:val="2"/>
            <w:shd w:val="clear" w:color="auto" w:fill="FFFFFF"/>
            <w:vAlign w:val="center"/>
          </w:tcPr>
          <w:p w14:paraId="16896B3E"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 xml:space="preserve">Abbreviations: CI, confidence interval; </w:t>
            </w:r>
            <w:proofErr w:type="gramStart"/>
            <w:r w:rsidRPr="00801F92">
              <w:rPr>
                <w:rFonts w:ascii="Times New Roman" w:eastAsia="Times New Roman" w:hAnsi="Times New Roman" w:cs="Times New Roman"/>
                <w:color w:val="000000"/>
                <w:sz w:val="18"/>
                <w:szCs w:val="18"/>
              </w:rPr>
              <w:t>OR,</w:t>
            </w:r>
            <w:proofErr w:type="gramEnd"/>
            <w:r w:rsidRPr="00801F92">
              <w:rPr>
                <w:rFonts w:ascii="Times New Roman" w:eastAsia="Times New Roman" w:hAnsi="Times New Roman" w:cs="Times New Roman"/>
                <w:color w:val="000000"/>
                <w:sz w:val="18"/>
                <w:szCs w:val="18"/>
              </w:rPr>
              <w:t xml:space="preserve"> odds ratio; pp, percentage points; SE, standard error.</w:t>
            </w:r>
          </w:p>
        </w:tc>
      </w:tr>
    </w:tbl>
    <w:p w14:paraId="16896B40"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B41" w14:textId="77777777" w:rsidR="00BE27A2" w:rsidRPr="00801F92" w:rsidRDefault="00BE27A2" w:rsidP="002E4329">
      <w:pPr>
        <w:rPr>
          <w:rFonts w:ascii="Times New Roman" w:hAnsi="Times New Roman" w:cs="Times New Roman"/>
        </w:rPr>
      </w:pPr>
    </w:p>
    <w:p w14:paraId="16896B42" w14:textId="77777777" w:rsidR="00BE27A2" w:rsidRPr="00801F92" w:rsidRDefault="00FF6CE7" w:rsidP="002E4329">
      <w:pPr>
        <w:pStyle w:val="TableCaption"/>
        <w:keepNext/>
        <w:ind w:left="60" w:right="60"/>
        <w:jc w:val="left"/>
        <w:rPr>
          <w:rFonts w:ascii="Times New Roman" w:hAnsi="Times New Roman" w:cs="Times New Roman"/>
          <w:b w:val="0"/>
          <w:bCs/>
          <w:i w:val="0"/>
          <w:iCs/>
        </w:rPr>
      </w:pPr>
      <w:r w:rsidRPr="00801F92">
        <w:rPr>
          <w:rFonts w:ascii="Times New Roman" w:hAnsi="Times New Roman" w:cs="Times New Roman"/>
          <w:i w:val="0"/>
          <w:iCs/>
        </w:rPr>
        <w:t>Table S3.</w:t>
      </w:r>
      <w:r w:rsidRPr="00801F92">
        <w:rPr>
          <w:rFonts w:ascii="Times New Roman" w:hAnsi="Times New Roman" w:cs="Times New Roman"/>
          <w:b w:val="0"/>
          <w:bCs/>
          <w:i w:val="0"/>
          <w:iCs/>
        </w:rPr>
        <w:t xml:space="preserve"> Complete-case (CC) versus multiple-imputation (MI) comparison, National Longitudinal Study of Adolescent to Adult Health, United States, 1994 to 2018</w:t>
      </w:r>
    </w:p>
    <w:tbl>
      <w:tblPr>
        <w:tblW w:w="4643" w:type="dxa"/>
        <w:jc w:val="center"/>
        <w:tblLayout w:type="fixed"/>
        <w:tblCellMar>
          <w:left w:w="0" w:type="dxa"/>
          <w:right w:w="0" w:type="dxa"/>
        </w:tblCellMar>
        <w:tblLook w:val="0420" w:firstRow="1" w:lastRow="0" w:firstColumn="0" w:lastColumn="0" w:noHBand="0" w:noVBand="1"/>
      </w:tblPr>
      <w:tblGrid>
        <w:gridCol w:w="955"/>
        <w:gridCol w:w="1843"/>
        <w:gridCol w:w="1845"/>
      </w:tblGrid>
      <w:tr w:rsidR="00BE27A2" w:rsidRPr="00801F92" w14:paraId="16896B46" w14:textId="77777777">
        <w:trPr>
          <w:trHeight w:val="614"/>
          <w:tblHeader/>
          <w:jc w:val="center"/>
        </w:trPr>
        <w:tc>
          <w:tcPr>
            <w:tcW w:w="955" w:type="dxa"/>
            <w:tcBorders>
              <w:top w:val="single" w:sz="12" w:space="0" w:color="666666"/>
              <w:bottom w:val="single" w:sz="12" w:space="0" w:color="666666"/>
            </w:tcBorders>
            <w:shd w:val="clear" w:color="auto" w:fill="FFFFFF"/>
            <w:vAlign w:val="center"/>
          </w:tcPr>
          <w:p w14:paraId="16896B43"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Model</w:t>
            </w:r>
          </w:p>
        </w:tc>
        <w:tc>
          <w:tcPr>
            <w:tcW w:w="1843" w:type="dxa"/>
            <w:tcBorders>
              <w:top w:val="single" w:sz="12" w:space="0" w:color="666666"/>
              <w:bottom w:val="single" w:sz="12" w:space="0" w:color="666666"/>
            </w:tcBorders>
            <w:shd w:val="clear" w:color="auto" w:fill="FFFFFF"/>
            <w:vAlign w:val="center"/>
          </w:tcPr>
          <w:p w14:paraId="16896B44"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CC (n = 7,758)</w:t>
            </w:r>
          </w:p>
        </w:tc>
        <w:tc>
          <w:tcPr>
            <w:tcW w:w="1845" w:type="dxa"/>
            <w:tcBorders>
              <w:top w:val="single" w:sz="12" w:space="0" w:color="666666"/>
              <w:bottom w:val="single" w:sz="12" w:space="0" w:color="666666"/>
            </w:tcBorders>
            <w:shd w:val="clear" w:color="auto" w:fill="FFFFFF"/>
            <w:vAlign w:val="center"/>
          </w:tcPr>
          <w:p w14:paraId="16896B45"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MI (n = 9,149)</w:t>
            </w:r>
          </w:p>
        </w:tc>
      </w:tr>
      <w:tr w:rsidR="00BE27A2" w:rsidRPr="00801F92" w14:paraId="16896B4A" w14:textId="77777777">
        <w:trPr>
          <w:trHeight w:val="584"/>
          <w:jc w:val="center"/>
        </w:trPr>
        <w:tc>
          <w:tcPr>
            <w:tcW w:w="955" w:type="dxa"/>
            <w:tcBorders>
              <w:top w:val="single" w:sz="12" w:space="0" w:color="666666"/>
            </w:tcBorders>
            <w:shd w:val="clear" w:color="auto" w:fill="FFFFFF"/>
            <w:vAlign w:val="center"/>
          </w:tcPr>
          <w:p w14:paraId="16896B4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M1</w:t>
            </w:r>
          </w:p>
        </w:tc>
        <w:tc>
          <w:tcPr>
            <w:tcW w:w="1843" w:type="dxa"/>
            <w:tcBorders>
              <w:top w:val="single" w:sz="12" w:space="0" w:color="666666"/>
            </w:tcBorders>
            <w:shd w:val="clear" w:color="auto" w:fill="FFFFFF"/>
            <w:vAlign w:val="center"/>
          </w:tcPr>
          <w:p w14:paraId="16896B4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1.198 (1.02, 1.40)</w:t>
            </w:r>
          </w:p>
        </w:tc>
        <w:tc>
          <w:tcPr>
            <w:tcW w:w="1845" w:type="dxa"/>
            <w:tcBorders>
              <w:top w:val="single" w:sz="12" w:space="0" w:color="666666"/>
            </w:tcBorders>
            <w:shd w:val="clear" w:color="auto" w:fill="FFFFFF"/>
            <w:vAlign w:val="center"/>
          </w:tcPr>
          <w:p w14:paraId="16896B4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1.188 (1.02, 1.39)</w:t>
            </w:r>
          </w:p>
        </w:tc>
      </w:tr>
      <w:tr w:rsidR="00BE27A2" w:rsidRPr="00801F92" w14:paraId="16896B4E" w14:textId="77777777">
        <w:trPr>
          <w:trHeight w:val="584"/>
          <w:jc w:val="center"/>
        </w:trPr>
        <w:tc>
          <w:tcPr>
            <w:tcW w:w="955" w:type="dxa"/>
            <w:shd w:val="clear" w:color="auto" w:fill="FFFFFF"/>
            <w:vAlign w:val="center"/>
          </w:tcPr>
          <w:p w14:paraId="16896B4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M2</w:t>
            </w:r>
          </w:p>
        </w:tc>
        <w:tc>
          <w:tcPr>
            <w:tcW w:w="1843" w:type="dxa"/>
            <w:shd w:val="clear" w:color="auto" w:fill="FFFFFF"/>
            <w:vAlign w:val="center"/>
          </w:tcPr>
          <w:p w14:paraId="16896B4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1.197 (1.02, 1.40)</w:t>
            </w:r>
          </w:p>
        </w:tc>
        <w:tc>
          <w:tcPr>
            <w:tcW w:w="1845" w:type="dxa"/>
            <w:shd w:val="clear" w:color="auto" w:fill="FFFFFF"/>
            <w:vAlign w:val="center"/>
          </w:tcPr>
          <w:p w14:paraId="16896B4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1.187 (1.01, 1.39)</w:t>
            </w:r>
          </w:p>
        </w:tc>
      </w:tr>
      <w:tr w:rsidR="00BE27A2" w:rsidRPr="00801F92" w14:paraId="16896B52" w14:textId="77777777">
        <w:trPr>
          <w:trHeight w:val="584"/>
          <w:jc w:val="center"/>
        </w:trPr>
        <w:tc>
          <w:tcPr>
            <w:tcW w:w="955" w:type="dxa"/>
            <w:shd w:val="clear" w:color="auto" w:fill="FFFFFF"/>
            <w:vAlign w:val="center"/>
          </w:tcPr>
          <w:p w14:paraId="16896B4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M3</w:t>
            </w:r>
          </w:p>
        </w:tc>
        <w:tc>
          <w:tcPr>
            <w:tcW w:w="1843" w:type="dxa"/>
            <w:shd w:val="clear" w:color="auto" w:fill="FFFFFF"/>
            <w:vAlign w:val="center"/>
          </w:tcPr>
          <w:p w14:paraId="16896B5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1.204 (1.03, 1.41)</w:t>
            </w:r>
          </w:p>
        </w:tc>
        <w:tc>
          <w:tcPr>
            <w:tcW w:w="1845" w:type="dxa"/>
            <w:shd w:val="clear" w:color="auto" w:fill="FFFFFF"/>
            <w:vAlign w:val="center"/>
          </w:tcPr>
          <w:p w14:paraId="16896B5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1.190 (1.02, 1.39)</w:t>
            </w:r>
          </w:p>
        </w:tc>
      </w:tr>
      <w:tr w:rsidR="00BE27A2" w:rsidRPr="00801F92" w14:paraId="16896B56" w14:textId="77777777">
        <w:trPr>
          <w:trHeight w:val="584"/>
          <w:jc w:val="center"/>
        </w:trPr>
        <w:tc>
          <w:tcPr>
            <w:tcW w:w="955" w:type="dxa"/>
            <w:shd w:val="clear" w:color="auto" w:fill="FFFFFF"/>
            <w:vAlign w:val="center"/>
          </w:tcPr>
          <w:p w14:paraId="16896B5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M4</w:t>
            </w:r>
          </w:p>
        </w:tc>
        <w:tc>
          <w:tcPr>
            <w:tcW w:w="1843" w:type="dxa"/>
            <w:shd w:val="clear" w:color="auto" w:fill="FFFFFF"/>
            <w:vAlign w:val="center"/>
          </w:tcPr>
          <w:p w14:paraId="16896B5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1.192 (1.02, 1.40)</w:t>
            </w:r>
          </w:p>
        </w:tc>
        <w:tc>
          <w:tcPr>
            <w:tcW w:w="1845" w:type="dxa"/>
            <w:shd w:val="clear" w:color="auto" w:fill="FFFFFF"/>
            <w:vAlign w:val="center"/>
          </w:tcPr>
          <w:p w14:paraId="16896B5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1.177 (1.01, 1.37)</w:t>
            </w:r>
          </w:p>
        </w:tc>
      </w:tr>
      <w:tr w:rsidR="00BE27A2" w:rsidRPr="00801F92" w14:paraId="16896B5A" w14:textId="77777777">
        <w:trPr>
          <w:trHeight w:val="599"/>
          <w:jc w:val="center"/>
        </w:trPr>
        <w:tc>
          <w:tcPr>
            <w:tcW w:w="955" w:type="dxa"/>
            <w:tcBorders>
              <w:bottom w:val="single" w:sz="12" w:space="0" w:color="666666"/>
            </w:tcBorders>
            <w:shd w:val="clear" w:color="auto" w:fill="FFFFFF"/>
            <w:vAlign w:val="center"/>
          </w:tcPr>
          <w:p w14:paraId="16896B5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M5</w:t>
            </w:r>
          </w:p>
        </w:tc>
        <w:tc>
          <w:tcPr>
            <w:tcW w:w="1843" w:type="dxa"/>
            <w:tcBorders>
              <w:bottom w:val="single" w:sz="12" w:space="0" w:color="666666"/>
            </w:tcBorders>
            <w:shd w:val="clear" w:color="auto" w:fill="FFFFFF"/>
            <w:vAlign w:val="center"/>
          </w:tcPr>
          <w:p w14:paraId="16896B5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1.173 (1.00, 1.37)</w:t>
            </w:r>
          </w:p>
        </w:tc>
        <w:tc>
          <w:tcPr>
            <w:tcW w:w="1845" w:type="dxa"/>
            <w:tcBorders>
              <w:bottom w:val="single" w:sz="12" w:space="0" w:color="666666"/>
            </w:tcBorders>
            <w:shd w:val="clear" w:color="auto" w:fill="FFFFFF"/>
            <w:vAlign w:val="center"/>
          </w:tcPr>
          <w:p w14:paraId="16896B5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1.155 (0.99, 1.35)</w:t>
            </w:r>
          </w:p>
        </w:tc>
      </w:tr>
      <w:tr w:rsidR="00BE27A2" w:rsidRPr="00801F92" w14:paraId="16896B5C" w14:textId="77777777">
        <w:trPr>
          <w:trHeight w:val="360"/>
          <w:jc w:val="center"/>
        </w:trPr>
        <w:tc>
          <w:tcPr>
            <w:tcW w:w="4643" w:type="dxa"/>
            <w:gridSpan w:val="3"/>
            <w:tcBorders>
              <w:top w:val="single" w:sz="12" w:space="0" w:color="666666"/>
            </w:tcBorders>
            <w:shd w:val="clear" w:color="auto" w:fill="FFFFFF"/>
            <w:vAlign w:val="center"/>
          </w:tcPr>
          <w:p w14:paraId="16896B5B"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 xml:space="preserve">Cells are odds ratios for </w:t>
            </w:r>
            <w:proofErr w:type="gramStart"/>
            <w:r w:rsidRPr="00801F92">
              <w:rPr>
                <w:rFonts w:ascii="Times New Roman" w:eastAsia="Times New Roman" w:hAnsi="Times New Roman" w:cs="Times New Roman"/>
                <w:color w:val="000000"/>
                <w:sz w:val="18"/>
                <w:szCs w:val="18"/>
              </w:rPr>
              <w:t>ever-redlined</w:t>
            </w:r>
            <w:proofErr w:type="gramEnd"/>
            <w:r w:rsidRPr="00801F92">
              <w:rPr>
                <w:rFonts w:ascii="Times New Roman" w:eastAsia="Times New Roman" w:hAnsi="Times New Roman" w:cs="Times New Roman"/>
                <w:color w:val="000000"/>
                <w:sz w:val="18"/>
                <w:szCs w:val="18"/>
              </w:rPr>
              <w:t xml:space="preserve"> with 95% confidence intervals.</w:t>
            </w:r>
          </w:p>
        </w:tc>
      </w:tr>
      <w:tr w:rsidR="00BE27A2" w:rsidRPr="00801F92" w14:paraId="16896B5E" w14:textId="77777777">
        <w:trPr>
          <w:trHeight w:val="360"/>
          <w:jc w:val="center"/>
        </w:trPr>
        <w:tc>
          <w:tcPr>
            <w:tcW w:w="4643" w:type="dxa"/>
            <w:gridSpan w:val="3"/>
            <w:shd w:val="clear" w:color="auto" w:fill="FFFFFF"/>
            <w:vAlign w:val="center"/>
          </w:tcPr>
          <w:p w14:paraId="16896B5D"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MI pooled across 20 imputations by Rubin's rules (</w:t>
            </w:r>
            <w:proofErr w:type="spellStart"/>
            <w:proofErr w:type="gramStart"/>
            <w:r w:rsidRPr="00801F92">
              <w:rPr>
                <w:rFonts w:ascii="Times New Roman" w:eastAsia="Times New Roman" w:hAnsi="Times New Roman" w:cs="Times New Roman"/>
                <w:color w:val="000000"/>
                <w:sz w:val="18"/>
                <w:szCs w:val="18"/>
              </w:rPr>
              <w:t>mitools</w:t>
            </w:r>
            <w:proofErr w:type="spellEnd"/>
            <w:r w:rsidRPr="00801F92">
              <w:rPr>
                <w:rFonts w:ascii="Times New Roman" w:eastAsia="Times New Roman" w:hAnsi="Times New Roman" w:cs="Times New Roman"/>
                <w:color w:val="000000"/>
                <w:sz w:val="18"/>
                <w:szCs w:val="18"/>
              </w:rPr>
              <w:t>::</w:t>
            </w:r>
            <w:proofErr w:type="spellStart"/>
            <w:proofErr w:type="gramEnd"/>
            <w:r w:rsidRPr="00801F92">
              <w:rPr>
                <w:rFonts w:ascii="Times New Roman" w:eastAsia="Times New Roman" w:hAnsi="Times New Roman" w:cs="Times New Roman"/>
                <w:color w:val="000000"/>
                <w:sz w:val="18"/>
                <w:szCs w:val="18"/>
              </w:rPr>
              <w:t>MIcombine</w:t>
            </w:r>
            <w:proofErr w:type="spellEnd"/>
            <w:r w:rsidRPr="00801F92">
              <w:rPr>
                <w:rFonts w:ascii="Times New Roman" w:eastAsia="Times New Roman" w:hAnsi="Times New Roman" w:cs="Times New Roman"/>
                <w:color w:val="000000"/>
                <w:sz w:val="18"/>
                <w:szCs w:val="18"/>
              </w:rPr>
              <w:t>).</w:t>
            </w:r>
          </w:p>
        </w:tc>
      </w:tr>
    </w:tbl>
    <w:p w14:paraId="16896B5F"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B61" w14:textId="77777777" w:rsidR="00BE27A2" w:rsidRPr="00801F92" w:rsidRDefault="00FF6CE7" w:rsidP="002E4329">
      <w:pPr>
        <w:pStyle w:val="TableCaption"/>
        <w:keepNext/>
        <w:ind w:left="60" w:right="60"/>
        <w:jc w:val="left"/>
        <w:rPr>
          <w:rFonts w:ascii="Times New Roman" w:hAnsi="Times New Roman" w:cs="Times New Roman"/>
          <w:b w:val="0"/>
          <w:bCs/>
          <w:i w:val="0"/>
          <w:iCs/>
        </w:rPr>
      </w:pPr>
      <w:r w:rsidRPr="00801F92">
        <w:rPr>
          <w:rFonts w:ascii="Times New Roman" w:hAnsi="Times New Roman" w:cs="Times New Roman"/>
          <w:i w:val="0"/>
          <w:iCs/>
        </w:rPr>
        <w:lastRenderedPageBreak/>
        <w:t>Table S4.</w:t>
      </w:r>
      <w:r w:rsidRPr="00801F92">
        <w:rPr>
          <w:rFonts w:ascii="Times New Roman" w:hAnsi="Times New Roman" w:cs="Times New Roman"/>
          <w:b w:val="0"/>
          <w:bCs/>
          <w:i w:val="0"/>
          <w:iCs/>
        </w:rPr>
        <w:t xml:space="preserve"> Combined structural mediation through physical and social availability, National Longitudinal Study of Adolescent to Adult Health, United States, 1994 to 2018 (n = 7,272)</w:t>
      </w:r>
    </w:p>
    <w:tbl>
      <w:tblPr>
        <w:tblW w:w="6858" w:type="dxa"/>
        <w:jc w:val="center"/>
        <w:tblLayout w:type="fixed"/>
        <w:tblCellMar>
          <w:left w:w="0" w:type="dxa"/>
          <w:right w:w="0" w:type="dxa"/>
        </w:tblCellMar>
        <w:tblLook w:val="0420" w:firstRow="1" w:lastRow="0" w:firstColumn="0" w:lastColumn="0" w:noHBand="0" w:noVBand="1"/>
      </w:tblPr>
      <w:tblGrid>
        <w:gridCol w:w="2898"/>
        <w:gridCol w:w="2488"/>
        <w:gridCol w:w="1472"/>
      </w:tblGrid>
      <w:tr w:rsidR="00BE27A2" w:rsidRPr="00801F92" w14:paraId="16896B65" w14:textId="77777777">
        <w:trPr>
          <w:trHeight w:val="614"/>
          <w:tblHeader/>
          <w:jc w:val="center"/>
        </w:trPr>
        <w:tc>
          <w:tcPr>
            <w:tcW w:w="2898" w:type="dxa"/>
            <w:tcBorders>
              <w:top w:val="single" w:sz="12" w:space="0" w:color="666666"/>
              <w:bottom w:val="single" w:sz="12" w:space="0" w:color="666666"/>
            </w:tcBorders>
            <w:shd w:val="clear" w:color="auto" w:fill="FFFFFF"/>
            <w:vAlign w:val="center"/>
          </w:tcPr>
          <w:p w14:paraId="16896B62"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Pathway</w:t>
            </w:r>
          </w:p>
        </w:tc>
        <w:tc>
          <w:tcPr>
            <w:tcW w:w="2488" w:type="dxa"/>
            <w:tcBorders>
              <w:top w:val="single" w:sz="12" w:space="0" w:color="666666"/>
              <w:bottom w:val="single" w:sz="12" w:space="0" w:color="666666"/>
            </w:tcBorders>
            <w:shd w:val="clear" w:color="auto" w:fill="FFFFFF"/>
            <w:vAlign w:val="center"/>
          </w:tcPr>
          <w:p w14:paraId="16896B63"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Logit / ACME (95% CI)</w:t>
            </w:r>
          </w:p>
        </w:tc>
        <w:tc>
          <w:tcPr>
            <w:tcW w:w="1472" w:type="dxa"/>
            <w:tcBorders>
              <w:top w:val="single" w:sz="12" w:space="0" w:color="666666"/>
              <w:bottom w:val="single" w:sz="12" w:space="0" w:color="666666"/>
            </w:tcBorders>
            <w:shd w:val="clear" w:color="auto" w:fill="FFFFFF"/>
            <w:vAlign w:val="center"/>
          </w:tcPr>
          <w:p w14:paraId="16896B64"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 Mediated</w:t>
            </w:r>
          </w:p>
        </w:tc>
      </w:tr>
      <w:tr w:rsidR="00BE27A2" w:rsidRPr="00801F92" w14:paraId="16896B69" w14:textId="77777777">
        <w:trPr>
          <w:trHeight w:val="584"/>
          <w:jc w:val="center"/>
        </w:trPr>
        <w:tc>
          <w:tcPr>
            <w:tcW w:w="2898" w:type="dxa"/>
            <w:tcBorders>
              <w:top w:val="single" w:sz="12" w:space="0" w:color="666666"/>
            </w:tcBorders>
            <w:shd w:val="clear" w:color="auto" w:fill="FFFFFF"/>
            <w:vAlign w:val="center"/>
          </w:tcPr>
          <w:p w14:paraId="16896B6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Total effect (no mediators)</w:t>
            </w:r>
          </w:p>
        </w:tc>
        <w:tc>
          <w:tcPr>
            <w:tcW w:w="2488" w:type="dxa"/>
            <w:tcBorders>
              <w:top w:val="single" w:sz="12" w:space="0" w:color="666666"/>
            </w:tcBorders>
            <w:shd w:val="clear" w:color="auto" w:fill="FFFFFF"/>
            <w:vAlign w:val="center"/>
          </w:tcPr>
          <w:p w14:paraId="16896B6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0.2091 (0.0446, 0.3736)</w:t>
            </w:r>
          </w:p>
        </w:tc>
        <w:tc>
          <w:tcPr>
            <w:tcW w:w="1472" w:type="dxa"/>
            <w:tcBorders>
              <w:top w:val="single" w:sz="12" w:space="0" w:color="666666"/>
            </w:tcBorders>
            <w:shd w:val="clear" w:color="auto" w:fill="FFFFFF"/>
            <w:vAlign w:val="center"/>
          </w:tcPr>
          <w:p w14:paraId="16896B68" w14:textId="77777777" w:rsidR="00BE27A2" w:rsidRPr="00801F92" w:rsidRDefault="00BE27A2" w:rsidP="002E4329">
            <w:pPr>
              <w:ind w:left="100" w:right="100"/>
              <w:rPr>
                <w:rFonts w:ascii="Times New Roman" w:eastAsia="Times New Roman" w:hAnsi="Times New Roman" w:cs="Times New Roman"/>
                <w:color w:val="000000"/>
                <w:sz w:val="20"/>
                <w:szCs w:val="20"/>
              </w:rPr>
            </w:pPr>
          </w:p>
        </w:tc>
      </w:tr>
      <w:tr w:rsidR="00BE27A2" w:rsidRPr="00801F92" w14:paraId="16896B6D" w14:textId="77777777">
        <w:trPr>
          <w:trHeight w:val="584"/>
          <w:jc w:val="center"/>
        </w:trPr>
        <w:tc>
          <w:tcPr>
            <w:tcW w:w="2898" w:type="dxa"/>
            <w:shd w:val="clear" w:color="auto" w:fill="FFFFFF"/>
            <w:vAlign w:val="center"/>
          </w:tcPr>
          <w:p w14:paraId="16896B6A"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Direct effect (both controlled)</w:t>
            </w:r>
          </w:p>
        </w:tc>
        <w:tc>
          <w:tcPr>
            <w:tcW w:w="2488" w:type="dxa"/>
            <w:shd w:val="clear" w:color="auto" w:fill="FFFFFF"/>
            <w:vAlign w:val="center"/>
          </w:tcPr>
          <w:p w14:paraId="16896B6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0.1603 (-0.0045, 0.3251)</w:t>
            </w:r>
          </w:p>
        </w:tc>
        <w:tc>
          <w:tcPr>
            <w:tcW w:w="1472" w:type="dxa"/>
            <w:shd w:val="clear" w:color="auto" w:fill="FFFFFF"/>
            <w:vAlign w:val="center"/>
          </w:tcPr>
          <w:p w14:paraId="16896B6C" w14:textId="77777777" w:rsidR="00BE27A2" w:rsidRPr="00801F92" w:rsidRDefault="00BE27A2" w:rsidP="002E4329">
            <w:pPr>
              <w:ind w:left="100" w:right="100"/>
              <w:rPr>
                <w:rFonts w:ascii="Times New Roman" w:eastAsia="Times New Roman" w:hAnsi="Times New Roman" w:cs="Times New Roman"/>
                <w:color w:val="000000"/>
                <w:sz w:val="20"/>
                <w:szCs w:val="20"/>
              </w:rPr>
            </w:pPr>
          </w:p>
        </w:tc>
      </w:tr>
      <w:tr w:rsidR="00BE27A2" w:rsidRPr="00801F92" w14:paraId="16896B71" w14:textId="77777777">
        <w:trPr>
          <w:trHeight w:val="584"/>
          <w:jc w:val="center"/>
        </w:trPr>
        <w:tc>
          <w:tcPr>
            <w:tcW w:w="2898" w:type="dxa"/>
            <w:shd w:val="clear" w:color="auto" w:fill="FFFFFF"/>
            <w:vAlign w:val="center"/>
          </w:tcPr>
          <w:p w14:paraId="16896B6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Physical availability (AOD)</w:t>
            </w:r>
          </w:p>
        </w:tc>
        <w:tc>
          <w:tcPr>
            <w:tcW w:w="2488" w:type="dxa"/>
            <w:shd w:val="clear" w:color="auto" w:fill="FFFFFF"/>
            <w:vAlign w:val="center"/>
          </w:tcPr>
          <w:p w14:paraId="16896B6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0.0065 (0.0019, 0.0131)</w:t>
            </w:r>
          </w:p>
        </w:tc>
        <w:tc>
          <w:tcPr>
            <w:tcW w:w="1472" w:type="dxa"/>
            <w:shd w:val="clear" w:color="auto" w:fill="FFFFFF"/>
            <w:vAlign w:val="center"/>
          </w:tcPr>
          <w:p w14:paraId="16896B7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~14%</w:t>
            </w:r>
          </w:p>
        </w:tc>
      </w:tr>
      <w:tr w:rsidR="00BE27A2" w:rsidRPr="00801F92" w14:paraId="16896B75" w14:textId="77777777">
        <w:trPr>
          <w:trHeight w:val="584"/>
          <w:jc w:val="center"/>
        </w:trPr>
        <w:tc>
          <w:tcPr>
            <w:tcW w:w="2898" w:type="dxa"/>
            <w:shd w:val="clear" w:color="auto" w:fill="FFFFFF"/>
            <w:vAlign w:val="center"/>
          </w:tcPr>
          <w:p w14:paraId="16896B72"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Social availability (CDRINK)</w:t>
            </w:r>
          </w:p>
        </w:tc>
        <w:tc>
          <w:tcPr>
            <w:tcW w:w="2488" w:type="dxa"/>
            <w:shd w:val="clear" w:color="auto" w:fill="FFFFFF"/>
            <w:vAlign w:val="center"/>
          </w:tcPr>
          <w:p w14:paraId="16896B7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0.0091 (0.0022, 0.0177)</w:t>
            </w:r>
          </w:p>
        </w:tc>
        <w:tc>
          <w:tcPr>
            <w:tcW w:w="1472" w:type="dxa"/>
            <w:shd w:val="clear" w:color="auto" w:fill="FFFFFF"/>
            <w:vAlign w:val="center"/>
          </w:tcPr>
          <w:p w14:paraId="16896B7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~18%</w:t>
            </w:r>
          </w:p>
        </w:tc>
      </w:tr>
      <w:tr w:rsidR="00BE27A2" w:rsidRPr="00801F92" w14:paraId="16896B79" w14:textId="77777777">
        <w:trPr>
          <w:trHeight w:val="599"/>
          <w:jc w:val="center"/>
        </w:trPr>
        <w:tc>
          <w:tcPr>
            <w:tcW w:w="2898" w:type="dxa"/>
            <w:tcBorders>
              <w:bottom w:val="single" w:sz="12" w:space="0" w:color="666666"/>
            </w:tcBorders>
            <w:shd w:val="clear" w:color="auto" w:fill="FFFFFF"/>
            <w:vAlign w:val="center"/>
          </w:tcPr>
          <w:p w14:paraId="16896B7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Combined indirect (difference)</w:t>
            </w:r>
          </w:p>
        </w:tc>
        <w:tc>
          <w:tcPr>
            <w:tcW w:w="2488" w:type="dxa"/>
            <w:tcBorders>
              <w:bottom w:val="single" w:sz="12" w:space="0" w:color="666666"/>
            </w:tcBorders>
            <w:shd w:val="clear" w:color="auto" w:fill="FFFFFF"/>
            <w:vAlign w:val="center"/>
          </w:tcPr>
          <w:p w14:paraId="16896B7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0.0488</w:t>
            </w:r>
          </w:p>
        </w:tc>
        <w:tc>
          <w:tcPr>
            <w:tcW w:w="1472" w:type="dxa"/>
            <w:tcBorders>
              <w:bottom w:val="single" w:sz="12" w:space="0" w:color="666666"/>
            </w:tcBorders>
            <w:shd w:val="clear" w:color="auto" w:fill="FFFFFF"/>
            <w:vAlign w:val="center"/>
          </w:tcPr>
          <w:p w14:paraId="16896B7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~23%</w:t>
            </w:r>
          </w:p>
        </w:tc>
      </w:tr>
      <w:tr w:rsidR="00BE27A2" w:rsidRPr="00801F92" w14:paraId="16896B7B" w14:textId="77777777">
        <w:trPr>
          <w:trHeight w:val="360"/>
          <w:jc w:val="center"/>
        </w:trPr>
        <w:tc>
          <w:tcPr>
            <w:tcW w:w="6858" w:type="dxa"/>
            <w:gridSpan w:val="3"/>
            <w:tcBorders>
              <w:top w:val="single" w:sz="12" w:space="0" w:color="666666"/>
            </w:tcBorders>
            <w:shd w:val="clear" w:color="auto" w:fill="FFFFFF"/>
            <w:vAlign w:val="center"/>
          </w:tcPr>
          <w:p w14:paraId="16896B7A"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 xml:space="preserve">Total and direct effects are logit coefficients for </w:t>
            </w:r>
            <w:proofErr w:type="gramStart"/>
            <w:r w:rsidRPr="00801F92">
              <w:rPr>
                <w:rFonts w:ascii="Times New Roman" w:eastAsia="Times New Roman" w:hAnsi="Times New Roman" w:cs="Times New Roman"/>
                <w:color w:val="000000"/>
                <w:sz w:val="18"/>
                <w:szCs w:val="18"/>
              </w:rPr>
              <w:t>ever-redlined</w:t>
            </w:r>
            <w:proofErr w:type="gramEnd"/>
            <w:r w:rsidRPr="00801F92">
              <w:rPr>
                <w:rFonts w:ascii="Times New Roman" w:eastAsia="Times New Roman" w:hAnsi="Times New Roman" w:cs="Times New Roman"/>
                <w:color w:val="000000"/>
                <w:sz w:val="18"/>
                <w:szCs w:val="18"/>
              </w:rPr>
              <w:t>.</w:t>
            </w:r>
          </w:p>
        </w:tc>
      </w:tr>
      <w:tr w:rsidR="00BE27A2" w:rsidRPr="00801F92" w14:paraId="16896B7D" w14:textId="77777777">
        <w:trPr>
          <w:trHeight w:val="360"/>
          <w:jc w:val="center"/>
        </w:trPr>
        <w:tc>
          <w:tcPr>
            <w:tcW w:w="6858" w:type="dxa"/>
            <w:gridSpan w:val="3"/>
            <w:shd w:val="clear" w:color="auto" w:fill="FFFFFF"/>
            <w:vAlign w:val="center"/>
          </w:tcPr>
          <w:p w14:paraId="16896B7C"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AOD and CDRINK tested as parallel mediators; combined indirect via the difference method.</w:t>
            </w:r>
          </w:p>
        </w:tc>
      </w:tr>
      <w:tr w:rsidR="00BE27A2" w:rsidRPr="00801F92" w14:paraId="16896B7F" w14:textId="77777777">
        <w:trPr>
          <w:trHeight w:val="360"/>
          <w:jc w:val="center"/>
        </w:trPr>
        <w:tc>
          <w:tcPr>
            <w:tcW w:w="6858" w:type="dxa"/>
            <w:gridSpan w:val="3"/>
            <w:shd w:val="clear" w:color="auto" w:fill="FFFFFF"/>
            <w:vAlign w:val="center"/>
          </w:tcPr>
          <w:p w14:paraId="16896B7E"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Quasi-Bayesian CIs from 1,000 simulations. Abbreviations: ACME, average causal mediation effect.</w:t>
            </w:r>
          </w:p>
        </w:tc>
      </w:tr>
    </w:tbl>
    <w:p w14:paraId="16896B80"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B82" w14:textId="77777777" w:rsidR="00BE27A2" w:rsidRPr="00801F92" w:rsidRDefault="00FF6CE7" w:rsidP="002E4329">
      <w:pPr>
        <w:pStyle w:val="TableCaption"/>
        <w:keepNext/>
        <w:ind w:right="60"/>
        <w:jc w:val="left"/>
        <w:rPr>
          <w:rFonts w:ascii="Times New Roman" w:hAnsi="Times New Roman" w:cs="Times New Roman"/>
          <w:b w:val="0"/>
          <w:bCs/>
          <w:i w:val="0"/>
          <w:iCs/>
        </w:rPr>
      </w:pPr>
      <w:r w:rsidRPr="00801F92">
        <w:rPr>
          <w:rFonts w:ascii="Times New Roman" w:hAnsi="Times New Roman" w:cs="Times New Roman"/>
          <w:i w:val="0"/>
          <w:iCs/>
        </w:rPr>
        <w:lastRenderedPageBreak/>
        <w:t>Table S5.</w:t>
      </w:r>
      <w:r w:rsidRPr="00801F92">
        <w:rPr>
          <w:rFonts w:ascii="Times New Roman" w:hAnsi="Times New Roman" w:cs="Times New Roman"/>
          <w:b w:val="0"/>
          <w:bCs/>
          <w:i w:val="0"/>
          <w:iCs/>
        </w:rPr>
        <w:t xml:space="preserve"> Psychosocial variables as candidate mediators of the redlining and binge drinking association, National Longitudinal Study of Adolescent to Adult Health, United States, 1994 to 2018 (n = 7,758)</w:t>
      </w:r>
    </w:p>
    <w:tbl>
      <w:tblPr>
        <w:tblW w:w="0" w:type="auto"/>
        <w:jc w:val="center"/>
        <w:tblCellMar>
          <w:left w:w="0" w:type="dxa"/>
          <w:right w:w="0" w:type="dxa"/>
        </w:tblCellMar>
        <w:tblLook w:val="0420" w:firstRow="1" w:lastRow="0" w:firstColumn="0" w:lastColumn="0" w:noHBand="0" w:noVBand="1"/>
      </w:tblPr>
      <w:tblGrid>
        <w:gridCol w:w="2752"/>
        <w:gridCol w:w="3222"/>
        <w:gridCol w:w="3098"/>
      </w:tblGrid>
      <w:tr w:rsidR="00BE27A2" w:rsidRPr="00801F92" w14:paraId="16896B86" w14:textId="77777777" w:rsidTr="002E4329">
        <w:trPr>
          <w:trHeight w:val="614"/>
          <w:tblHeader/>
          <w:jc w:val="center"/>
        </w:trPr>
        <w:tc>
          <w:tcPr>
            <w:tcW w:w="0" w:type="auto"/>
            <w:tcBorders>
              <w:top w:val="single" w:sz="12" w:space="0" w:color="666666"/>
              <w:bottom w:val="single" w:sz="12" w:space="0" w:color="666666"/>
            </w:tcBorders>
            <w:shd w:val="clear" w:color="auto" w:fill="FFFFFF"/>
            <w:vAlign w:val="center"/>
          </w:tcPr>
          <w:p w14:paraId="16896B83"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Variable</w:t>
            </w:r>
          </w:p>
        </w:tc>
        <w:tc>
          <w:tcPr>
            <w:tcW w:w="0" w:type="auto"/>
            <w:tcBorders>
              <w:top w:val="single" w:sz="12" w:space="0" w:color="666666"/>
              <w:bottom w:val="single" w:sz="12" w:space="0" w:color="666666"/>
            </w:tcBorders>
            <w:shd w:val="clear" w:color="auto" w:fill="FFFFFF"/>
            <w:vAlign w:val="center"/>
          </w:tcPr>
          <w:p w14:paraId="16896B84"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Redlining to variable, coefficient (95% CI)</w:t>
            </w:r>
          </w:p>
        </w:tc>
        <w:tc>
          <w:tcPr>
            <w:tcW w:w="0" w:type="auto"/>
            <w:tcBorders>
              <w:top w:val="single" w:sz="12" w:space="0" w:color="666666"/>
              <w:bottom w:val="single" w:sz="12" w:space="0" w:color="666666"/>
            </w:tcBorders>
            <w:shd w:val="clear" w:color="auto" w:fill="FFFFFF"/>
            <w:vAlign w:val="center"/>
          </w:tcPr>
          <w:p w14:paraId="16896B85"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Variable to binge drinking, OR (95% CI)</w:t>
            </w:r>
          </w:p>
        </w:tc>
      </w:tr>
      <w:tr w:rsidR="00BE27A2" w:rsidRPr="00801F92" w14:paraId="16896B8A" w14:textId="77777777" w:rsidTr="002E4329">
        <w:trPr>
          <w:trHeight w:val="584"/>
          <w:jc w:val="center"/>
        </w:trPr>
        <w:tc>
          <w:tcPr>
            <w:tcW w:w="0" w:type="auto"/>
            <w:tcBorders>
              <w:top w:val="single" w:sz="12" w:space="0" w:color="666666"/>
            </w:tcBorders>
            <w:shd w:val="clear" w:color="auto" w:fill="FFFFFF"/>
            <w:vAlign w:val="center"/>
          </w:tcPr>
          <w:p w14:paraId="16896B8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Perceived Stress (PSS-4)</w:t>
            </w:r>
          </w:p>
        </w:tc>
        <w:tc>
          <w:tcPr>
            <w:tcW w:w="0" w:type="auto"/>
            <w:tcBorders>
              <w:top w:val="single" w:sz="12" w:space="0" w:color="666666"/>
            </w:tcBorders>
            <w:shd w:val="clear" w:color="auto" w:fill="FFFFFF"/>
            <w:vAlign w:val="center"/>
          </w:tcPr>
          <w:p w14:paraId="16896B8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-0.1383 (-0.3761, 0.0996)</w:t>
            </w:r>
          </w:p>
        </w:tc>
        <w:tc>
          <w:tcPr>
            <w:tcW w:w="0" w:type="auto"/>
            <w:tcBorders>
              <w:top w:val="single" w:sz="12" w:space="0" w:color="666666"/>
            </w:tcBorders>
            <w:shd w:val="clear" w:color="auto" w:fill="FFFFFF"/>
            <w:vAlign w:val="center"/>
          </w:tcPr>
          <w:p w14:paraId="16896B8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1.034 (1.013, 1.055)</w:t>
            </w:r>
          </w:p>
        </w:tc>
      </w:tr>
      <w:tr w:rsidR="00BE27A2" w:rsidRPr="00801F92" w14:paraId="16896B8E" w14:textId="77777777" w:rsidTr="002E4329">
        <w:trPr>
          <w:trHeight w:val="584"/>
          <w:jc w:val="center"/>
        </w:trPr>
        <w:tc>
          <w:tcPr>
            <w:tcW w:w="0" w:type="auto"/>
            <w:shd w:val="clear" w:color="auto" w:fill="FFFFFF"/>
            <w:vAlign w:val="center"/>
          </w:tcPr>
          <w:p w14:paraId="16896B8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Everyday Discrimination (EDS)</w:t>
            </w:r>
          </w:p>
        </w:tc>
        <w:tc>
          <w:tcPr>
            <w:tcW w:w="0" w:type="auto"/>
            <w:shd w:val="clear" w:color="auto" w:fill="FFFFFF"/>
            <w:vAlign w:val="center"/>
          </w:tcPr>
          <w:p w14:paraId="16896B8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-0.0754 (-0.2820, 0.1312)</w:t>
            </w:r>
          </w:p>
        </w:tc>
        <w:tc>
          <w:tcPr>
            <w:tcW w:w="0" w:type="auto"/>
            <w:shd w:val="clear" w:color="auto" w:fill="FFFFFF"/>
            <w:vAlign w:val="center"/>
          </w:tcPr>
          <w:p w14:paraId="16896B8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1.035 (1.011, 1.061)</w:t>
            </w:r>
          </w:p>
        </w:tc>
      </w:tr>
      <w:tr w:rsidR="00BE27A2" w:rsidRPr="00801F92" w14:paraId="16896B92" w14:textId="77777777" w:rsidTr="002E4329">
        <w:trPr>
          <w:trHeight w:val="584"/>
          <w:jc w:val="center"/>
        </w:trPr>
        <w:tc>
          <w:tcPr>
            <w:tcW w:w="0" w:type="auto"/>
            <w:shd w:val="clear" w:color="auto" w:fill="FFFFFF"/>
            <w:vAlign w:val="center"/>
          </w:tcPr>
          <w:p w14:paraId="16896B8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Depressive Symptoms (CES-D)</w:t>
            </w:r>
          </w:p>
        </w:tc>
        <w:tc>
          <w:tcPr>
            <w:tcW w:w="0" w:type="auto"/>
            <w:shd w:val="clear" w:color="auto" w:fill="FFFFFF"/>
            <w:vAlign w:val="center"/>
          </w:tcPr>
          <w:p w14:paraId="16896B9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-0.0044 (-0.2352, 0.2265)</w:t>
            </w:r>
          </w:p>
        </w:tc>
        <w:tc>
          <w:tcPr>
            <w:tcW w:w="0" w:type="auto"/>
            <w:shd w:val="clear" w:color="auto" w:fill="FFFFFF"/>
            <w:vAlign w:val="center"/>
          </w:tcPr>
          <w:p w14:paraId="16896B9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1.069 (1.038, 1.100)</w:t>
            </w:r>
          </w:p>
        </w:tc>
      </w:tr>
      <w:tr w:rsidR="00BE27A2" w:rsidRPr="00801F92" w14:paraId="16896B96" w14:textId="77777777" w:rsidTr="002E4329">
        <w:trPr>
          <w:trHeight w:val="584"/>
          <w:jc w:val="center"/>
        </w:trPr>
        <w:tc>
          <w:tcPr>
            <w:tcW w:w="0" w:type="auto"/>
            <w:shd w:val="clear" w:color="auto" w:fill="FFFFFF"/>
            <w:vAlign w:val="center"/>
          </w:tcPr>
          <w:p w14:paraId="16896B9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Childhood SES</w:t>
            </w:r>
          </w:p>
        </w:tc>
        <w:tc>
          <w:tcPr>
            <w:tcW w:w="0" w:type="auto"/>
            <w:shd w:val="clear" w:color="auto" w:fill="FFFFFF"/>
            <w:vAlign w:val="center"/>
          </w:tcPr>
          <w:p w14:paraId="16896B9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0.0368 (-0.0479, 0.1216)</w:t>
            </w:r>
          </w:p>
        </w:tc>
        <w:tc>
          <w:tcPr>
            <w:tcW w:w="0" w:type="auto"/>
            <w:shd w:val="clear" w:color="auto" w:fill="FFFFFF"/>
            <w:vAlign w:val="center"/>
          </w:tcPr>
          <w:p w14:paraId="16896B9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1.040 (0.963, 1.122)</w:t>
            </w:r>
          </w:p>
        </w:tc>
      </w:tr>
      <w:tr w:rsidR="00BE27A2" w:rsidRPr="00801F92" w14:paraId="16896B9A" w14:textId="77777777" w:rsidTr="002E4329">
        <w:trPr>
          <w:trHeight w:val="584"/>
          <w:jc w:val="center"/>
        </w:trPr>
        <w:tc>
          <w:tcPr>
            <w:tcW w:w="0" w:type="auto"/>
            <w:shd w:val="clear" w:color="auto" w:fill="FFFFFF"/>
            <w:vAlign w:val="center"/>
          </w:tcPr>
          <w:p w14:paraId="16896B9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Unfair Police Contact</w:t>
            </w:r>
          </w:p>
        </w:tc>
        <w:tc>
          <w:tcPr>
            <w:tcW w:w="0" w:type="auto"/>
            <w:shd w:val="clear" w:color="auto" w:fill="FFFFFF"/>
            <w:vAlign w:val="center"/>
          </w:tcPr>
          <w:p w14:paraId="16896B9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0.0214 (-0.0156, 0.0585)</w:t>
            </w:r>
          </w:p>
        </w:tc>
        <w:tc>
          <w:tcPr>
            <w:tcW w:w="0" w:type="auto"/>
            <w:shd w:val="clear" w:color="auto" w:fill="FFFFFF"/>
            <w:vAlign w:val="center"/>
          </w:tcPr>
          <w:p w14:paraId="16896B9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1.294 (1.090, 1.535)</w:t>
            </w:r>
          </w:p>
        </w:tc>
      </w:tr>
      <w:tr w:rsidR="00BE27A2" w:rsidRPr="00801F92" w14:paraId="16896B9E" w14:textId="77777777" w:rsidTr="002E4329">
        <w:trPr>
          <w:trHeight w:val="599"/>
          <w:jc w:val="center"/>
        </w:trPr>
        <w:tc>
          <w:tcPr>
            <w:tcW w:w="0" w:type="auto"/>
            <w:tcBorders>
              <w:bottom w:val="single" w:sz="12" w:space="0" w:color="666666"/>
            </w:tcBorders>
            <w:shd w:val="clear" w:color="auto" w:fill="FFFFFF"/>
            <w:vAlign w:val="center"/>
          </w:tcPr>
          <w:p w14:paraId="16896B9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Religious Attendance</w:t>
            </w:r>
          </w:p>
        </w:tc>
        <w:tc>
          <w:tcPr>
            <w:tcW w:w="0" w:type="auto"/>
            <w:tcBorders>
              <w:bottom w:val="single" w:sz="12" w:space="0" w:color="666666"/>
            </w:tcBorders>
            <w:shd w:val="clear" w:color="auto" w:fill="FFFFFF"/>
            <w:vAlign w:val="center"/>
          </w:tcPr>
          <w:p w14:paraId="16896B9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-0.0826 (-0.2219, 0.0567)</w:t>
            </w:r>
          </w:p>
        </w:tc>
        <w:tc>
          <w:tcPr>
            <w:tcW w:w="0" w:type="auto"/>
            <w:tcBorders>
              <w:bottom w:val="single" w:sz="12" w:space="0" w:color="666666"/>
            </w:tcBorders>
            <w:shd w:val="clear" w:color="auto" w:fill="FFFFFF"/>
            <w:vAlign w:val="center"/>
          </w:tcPr>
          <w:p w14:paraId="16896B9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0.857 (0.820, 0.897)</w:t>
            </w:r>
          </w:p>
        </w:tc>
      </w:tr>
      <w:tr w:rsidR="00BE27A2" w:rsidRPr="00801F92" w14:paraId="16896BA0" w14:textId="77777777" w:rsidTr="002E4329">
        <w:trPr>
          <w:trHeight w:val="360"/>
          <w:jc w:val="center"/>
        </w:trPr>
        <w:tc>
          <w:tcPr>
            <w:tcW w:w="0" w:type="auto"/>
            <w:gridSpan w:val="3"/>
            <w:tcBorders>
              <w:top w:val="single" w:sz="12" w:space="0" w:color="666666"/>
            </w:tcBorders>
            <w:shd w:val="clear" w:color="auto" w:fill="FFFFFF"/>
            <w:vAlign w:val="center"/>
          </w:tcPr>
          <w:p w14:paraId="16896B9F"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 xml:space="preserve">Abbreviations: CES-D, Center for Epidemiologic Studies Depression scale; CI, confidence interval; EDS, Everyday Discrimination Scale; </w:t>
            </w:r>
            <w:proofErr w:type="gramStart"/>
            <w:r w:rsidRPr="00801F92">
              <w:rPr>
                <w:rFonts w:ascii="Times New Roman" w:eastAsia="Times New Roman" w:hAnsi="Times New Roman" w:cs="Times New Roman"/>
                <w:color w:val="000000"/>
                <w:sz w:val="18"/>
                <w:szCs w:val="18"/>
              </w:rPr>
              <w:t>OR,</w:t>
            </w:r>
            <w:proofErr w:type="gramEnd"/>
            <w:r w:rsidRPr="00801F92">
              <w:rPr>
                <w:rFonts w:ascii="Times New Roman" w:eastAsia="Times New Roman" w:hAnsi="Times New Roman" w:cs="Times New Roman"/>
                <w:color w:val="000000"/>
                <w:sz w:val="18"/>
                <w:szCs w:val="18"/>
              </w:rPr>
              <w:t xml:space="preserve"> odds ratio; PSS-4, four-item Perceived Stress Scale; SES, socioeconomic status.</w:t>
            </w:r>
          </w:p>
        </w:tc>
      </w:tr>
      <w:tr w:rsidR="00BE27A2" w:rsidRPr="00801F92" w14:paraId="16896BA2" w14:textId="77777777" w:rsidTr="002E4329">
        <w:trPr>
          <w:trHeight w:val="360"/>
          <w:jc w:val="center"/>
        </w:trPr>
        <w:tc>
          <w:tcPr>
            <w:tcW w:w="0" w:type="auto"/>
            <w:gridSpan w:val="3"/>
            <w:shd w:val="clear" w:color="auto" w:fill="FFFFFF"/>
            <w:vAlign w:val="center"/>
          </w:tcPr>
          <w:p w14:paraId="16896BA1"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The coefficient column is from survey-weighted regression of each variable on redlining, adjusted for sex, race/ethnicity, education, and age; the OR column is from survey-weighted logistic regression of binge drinking on each variable, adjusted for redlining and the same covariates.</w:t>
            </w:r>
          </w:p>
        </w:tc>
      </w:tr>
      <w:tr w:rsidR="00BE27A2" w:rsidRPr="00801F92" w14:paraId="16896BA4" w14:textId="77777777" w:rsidTr="002E4329">
        <w:trPr>
          <w:trHeight w:val="360"/>
          <w:jc w:val="center"/>
        </w:trPr>
        <w:tc>
          <w:tcPr>
            <w:tcW w:w="0" w:type="auto"/>
            <w:gridSpan w:val="3"/>
            <w:shd w:val="clear" w:color="auto" w:fill="FFFFFF"/>
            <w:vAlign w:val="center"/>
          </w:tcPr>
          <w:p w14:paraId="16896BA3"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No redlining-to-variable association reached significance, so the psychosocial variables cannot mediate the redlining and binge drinking association.</w:t>
            </w:r>
          </w:p>
        </w:tc>
      </w:tr>
    </w:tbl>
    <w:p w14:paraId="16896BA5"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BA7" w14:textId="6EA3CA91" w:rsidR="00BE27A2" w:rsidRPr="00801F92" w:rsidRDefault="00FF6CE7" w:rsidP="002E4329">
      <w:pPr>
        <w:pStyle w:val="TableCaption"/>
        <w:keepNext/>
        <w:ind w:right="60"/>
        <w:jc w:val="left"/>
        <w:rPr>
          <w:rFonts w:ascii="Times New Roman" w:hAnsi="Times New Roman" w:cs="Times New Roman"/>
          <w:b w:val="0"/>
          <w:bCs/>
          <w:i w:val="0"/>
          <w:iCs/>
        </w:rPr>
      </w:pPr>
      <w:r w:rsidRPr="00801F92">
        <w:rPr>
          <w:rFonts w:ascii="Times New Roman" w:hAnsi="Times New Roman" w:cs="Times New Roman"/>
          <w:i w:val="0"/>
          <w:iCs/>
        </w:rPr>
        <w:lastRenderedPageBreak/>
        <w:t>Table S6.</w:t>
      </w:r>
      <w:r w:rsidRPr="00801F92">
        <w:rPr>
          <w:rFonts w:ascii="Times New Roman" w:hAnsi="Times New Roman" w:cs="Times New Roman"/>
          <w:b w:val="0"/>
          <w:bCs/>
          <w:i w:val="0"/>
          <w:iCs/>
        </w:rPr>
        <w:t xml:space="preserve"> Race/ethnicity-stratified survey-weighted logistic regression of binge drinking on cumulative HOLC redlining exposure, National Longitudinal Study of Adolescent to Adult Health, United States, 1994 to 2018</w:t>
      </w:r>
    </w:p>
    <w:tbl>
      <w:tblPr>
        <w:tblW w:w="5382" w:type="dxa"/>
        <w:jc w:val="center"/>
        <w:tblLayout w:type="fixed"/>
        <w:tblCellMar>
          <w:left w:w="0" w:type="dxa"/>
          <w:right w:w="0" w:type="dxa"/>
        </w:tblCellMar>
        <w:tblLook w:val="0420" w:firstRow="1" w:lastRow="0" w:firstColumn="0" w:lastColumn="0" w:noHBand="0" w:noVBand="1"/>
      </w:tblPr>
      <w:tblGrid>
        <w:gridCol w:w="2070"/>
        <w:gridCol w:w="862"/>
        <w:gridCol w:w="2450"/>
      </w:tblGrid>
      <w:tr w:rsidR="00BE27A2" w:rsidRPr="00801F92" w14:paraId="16896BAB" w14:textId="77777777">
        <w:trPr>
          <w:trHeight w:val="614"/>
          <w:tblHeader/>
          <w:jc w:val="center"/>
        </w:trPr>
        <w:tc>
          <w:tcPr>
            <w:tcW w:w="2070" w:type="dxa"/>
            <w:tcBorders>
              <w:top w:val="single" w:sz="12" w:space="0" w:color="666666"/>
              <w:bottom w:val="single" w:sz="12" w:space="0" w:color="666666"/>
            </w:tcBorders>
            <w:shd w:val="clear" w:color="auto" w:fill="FFFFFF"/>
            <w:vAlign w:val="center"/>
          </w:tcPr>
          <w:p w14:paraId="16896BA8"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Race/Ethnicity</w:t>
            </w:r>
          </w:p>
        </w:tc>
        <w:tc>
          <w:tcPr>
            <w:tcW w:w="862" w:type="dxa"/>
            <w:tcBorders>
              <w:top w:val="single" w:sz="12" w:space="0" w:color="666666"/>
              <w:bottom w:val="single" w:sz="12" w:space="0" w:color="666666"/>
            </w:tcBorders>
            <w:shd w:val="clear" w:color="auto" w:fill="FFFFFF"/>
            <w:vAlign w:val="center"/>
          </w:tcPr>
          <w:p w14:paraId="16896BA9"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N</w:t>
            </w:r>
          </w:p>
        </w:tc>
        <w:tc>
          <w:tcPr>
            <w:tcW w:w="2450" w:type="dxa"/>
            <w:tcBorders>
              <w:top w:val="single" w:sz="12" w:space="0" w:color="666666"/>
              <w:bottom w:val="single" w:sz="12" w:space="0" w:color="666666"/>
            </w:tcBorders>
            <w:shd w:val="clear" w:color="auto" w:fill="FFFFFF"/>
            <w:vAlign w:val="center"/>
          </w:tcPr>
          <w:p w14:paraId="16896BAA"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Redlining OR (95% CI)</w:t>
            </w:r>
          </w:p>
        </w:tc>
      </w:tr>
      <w:tr w:rsidR="00BE27A2" w:rsidRPr="00801F92" w14:paraId="16896BAF" w14:textId="77777777">
        <w:trPr>
          <w:trHeight w:val="584"/>
          <w:jc w:val="center"/>
        </w:trPr>
        <w:tc>
          <w:tcPr>
            <w:tcW w:w="2070" w:type="dxa"/>
            <w:tcBorders>
              <w:top w:val="single" w:sz="12" w:space="0" w:color="666666"/>
            </w:tcBorders>
            <w:shd w:val="clear" w:color="auto" w:fill="FFFFFF"/>
            <w:vAlign w:val="center"/>
          </w:tcPr>
          <w:p w14:paraId="16896BA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White</w:t>
            </w:r>
          </w:p>
        </w:tc>
        <w:tc>
          <w:tcPr>
            <w:tcW w:w="862" w:type="dxa"/>
            <w:tcBorders>
              <w:top w:val="single" w:sz="12" w:space="0" w:color="666666"/>
            </w:tcBorders>
            <w:shd w:val="clear" w:color="auto" w:fill="FFFFFF"/>
            <w:vAlign w:val="center"/>
          </w:tcPr>
          <w:p w14:paraId="16896BA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4,664</w:t>
            </w:r>
          </w:p>
        </w:tc>
        <w:tc>
          <w:tcPr>
            <w:tcW w:w="2450" w:type="dxa"/>
            <w:tcBorders>
              <w:top w:val="single" w:sz="12" w:space="0" w:color="666666"/>
            </w:tcBorders>
            <w:shd w:val="clear" w:color="auto" w:fill="FFFFFF"/>
            <w:vAlign w:val="center"/>
          </w:tcPr>
          <w:p w14:paraId="16896BA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1.23 (1.00, 1.50)</w:t>
            </w:r>
          </w:p>
        </w:tc>
      </w:tr>
      <w:tr w:rsidR="00BE27A2" w:rsidRPr="00801F92" w14:paraId="16896BB3" w14:textId="77777777">
        <w:trPr>
          <w:trHeight w:val="584"/>
          <w:jc w:val="center"/>
        </w:trPr>
        <w:tc>
          <w:tcPr>
            <w:tcW w:w="2070" w:type="dxa"/>
            <w:shd w:val="clear" w:color="auto" w:fill="FFFFFF"/>
            <w:vAlign w:val="center"/>
          </w:tcPr>
          <w:p w14:paraId="16896BB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Black</w:t>
            </w:r>
          </w:p>
        </w:tc>
        <w:tc>
          <w:tcPr>
            <w:tcW w:w="862" w:type="dxa"/>
            <w:shd w:val="clear" w:color="auto" w:fill="FFFFFF"/>
            <w:vAlign w:val="center"/>
          </w:tcPr>
          <w:p w14:paraId="16896BB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1,454</w:t>
            </w:r>
          </w:p>
        </w:tc>
        <w:tc>
          <w:tcPr>
            <w:tcW w:w="2450" w:type="dxa"/>
            <w:shd w:val="clear" w:color="auto" w:fill="FFFFFF"/>
            <w:vAlign w:val="center"/>
          </w:tcPr>
          <w:p w14:paraId="16896BB2"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1.11 (0.75, 1.63)</w:t>
            </w:r>
          </w:p>
        </w:tc>
      </w:tr>
      <w:tr w:rsidR="00BE27A2" w:rsidRPr="00801F92" w14:paraId="16896BB7" w14:textId="77777777">
        <w:trPr>
          <w:trHeight w:val="584"/>
          <w:jc w:val="center"/>
        </w:trPr>
        <w:tc>
          <w:tcPr>
            <w:tcW w:w="2070" w:type="dxa"/>
            <w:shd w:val="clear" w:color="auto" w:fill="FFFFFF"/>
            <w:vAlign w:val="center"/>
          </w:tcPr>
          <w:p w14:paraId="16896BB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Hispanic</w:t>
            </w:r>
          </w:p>
        </w:tc>
        <w:tc>
          <w:tcPr>
            <w:tcW w:w="862" w:type="dxa"/>
            <w:shd w:val="clear" w:color="auto" w:fill="FFFFFF"/>
            <w:vAlign w:val="center"/>
          </w:tcPr>
          <w:p w14:paraId="16896BB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1,100</w:t>
            </w:r>
          </w:p>
        </w:tc>
        <w:tc>
          <w:tcPr>
            <w:tcW w:w="2450" w:type="dxa"/>
            <w:shd w:val="clear" w:color="auto" w:fill="FFFFFF"/>
            <w:vAlign w:val="center"/>
          </w:tcPr>
          <w:p w14:paraId="16896BB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0.88 (0.51, 1.51)</w:t>
            </w:r>
          </w:p>
        </w:tc>
      </w:tr>
      <w:tr w:rsidR="00BE27A2" w:rsidRPr="00801F92" w14:paraId="16896BBB" w14:textId="77777777">
        <w:trPr>
          <w:trHeight w:val="599"/>
          <w:jc w:val="center"/>
        </w:trPr>
        <w:tc>
          <w:tcPr>
            <w:tcW w:w="2070" w:type="dxa"/>
            <w:tcBorders>
              <w:bottom w:val="single" w:sz="12" w:space="0" w:color="666666"/>
            </w:tcBorders>
            <w:shd w:val="clear" w:color="auto" w:fill="FFFFFF"/>
            <w:vAlign w:val="center"/>
          </w:tcPr>
          <w:p w14:paraId="16896BB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Asian</w:t>
            </w:r>
          </w:p>
        </w:tc>
        <w:tc>
          <w:tcPr>
            <w:tcW w:w="862" w:type="dxa"/>
            <w:tcBorders>
              <w:bottom w:val="single" w:sz="12" w:space="0" w:color="666666"/>
            </w:tcBorders>
            <w:shd w:val="clear" w:color="auto" w:fill="FFFFFF"/>
            <w:vAlign w:val="center"/>
          </w:tcPr>
          <w:p w14:paraId="16896BB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488</w:t>
            </w:r>
          </w:p>
        </w:tc>
        <w:tc>
          <w:tcPr>
            <w:tcW w:w="2450" w:type="dxa"/>
            <w:tcBorders>
              <w:bottom w:val="single" w:sz="12" w:space="0" w:color="666666"/>
            </w:tcBorders>
            <w:shd w:val="clear" w:color="auto" w:fill="FFFFFF"/>
            <w:vAlign w:val="center"/>
          </w:tcPr>
          <w:p w14:paraId="16896BBA"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0.81 (0.36, 1.78)</w:t>
            </w:r>
          </w:p>
        </w:tc>
      </w:tr>
      <w:tr w:rsidR="00BE27A2" w:rsidRPr="00801F92" w14:paraId="16896BBD" w14:textId="77777777">
        <w:trPr>
          <w:trHeight w:val="360"/>
          <w:jc w:val="center"/>
        </w:trPr>
        <w:tc>
          <w:tcPr>
            <w:tcW w:w="5382" w:type="dxa"/>
            <w:gridSpan w:val="3"/>
            <w:tcBorders>
              <w:top w:val="single" w:sz="12" w:space="0" w:color="666666"/>
            </w:tcBorders>
            <w:shd w:val="clear" w:color="auto" w:fill="FFFFFF"/>
            <w:vAlign w:val="center"/>
          </w:tcPr>
          <w:p w14:paraId="16896BBC"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Each model adjusts for the Model 5 covariate set, fit within strata via subset() on the survey design.</w:t>
            </w:r>
          </w:p>
        </w:tc>
      </w:tr>
      <w:tr w:rsidR="00BE27A2" w:rsidRPr="00801F92" w14:paraId="16896BBF" w14:textId="77777777">
        <w:trPr>
          <w:trHeight w:val="360"/>
          <w:jc w:val="center"/>
        </w:trPr>
        <w:tc>
          <w:tcPr>
            <w:tcW w:w="5382" w:type="dxa"/>
            <w:gridSpan w:val="3"/>
            <w:shd w:val="clear" w:color="auto" w:fill="FFFFFF"/>
            <w:vAlign w:val="center"/>
          </w:tcPr>
          <w:p w14:paraId="16896BBE"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Design-adjusted likelihood-ratio test for the redlining x race interaction, P = 0.049.</w:t>
            </w:r>
          </w:p>
        </w:tc>
      </w:tr>
    </w:tbl>
    <w:p w14:paraId="16896BC0"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BC1" w14:textId="77777777" w:rsidR="00BE27A2" w:rsidRPr="00801F92" w:rsidRDefault="00BE27A2" w:rsidP="002E4329">
      <w:pPr>
        <w:rPr>
          <w:rFonts w:ascii="Times New Roman" w:hAnsi="Times New Roman" w:cs="Times New Roman"/>
        </w:rPr>
      </w:pPr>
    </w:p>
    <w:p w14:paraId="16896BC2" w14:textId="77777777" w:rsidR="00BE27A2" w:rsidRPr="00801F92" w:rsidRDefault="00FF6CE7" w:rsidP="002E4329">
      <w:pPr>
        <w:pStyle w:val="TableCaption"/>
        <w:keepNext/>
        <w:ind w:left="60" w:right="60"/>
        <w:jc w:val="left"/>
        <w:rPr>
          <w:rFonts w:ascii="Times New Roman" w:hAnsi="Times New Roman" w:cs="Times New Roman"/>
          <w:b w:val="0"/>
          <w:bCs/>
          <w:i w:val="0"/>
          <w:iCs/>
        </w:rPr>
      </w:pPr>
      <w:r w:rsidRPr="00801F92">
        <w:rPr>
          <w:rFonts w:ascii="Times New Roman" w:hAnsi="Times New Roman" w:cs="Times New Roman"/>
          <w:i w:val="0"/>
          <w:iCs/>
        </w:rPr>
        <w:t>Table S7.</w:t>
      </w:r>
      <w:r w:rsidRPr="00801F92">
        <w:rPr>
          <w:rFonts w:ascii="Times New Roman" w:hAnsi="Times New Roman" w:cs="Times New Roman"/>
          <w:b w:val="0"/>
          <w:bCs/>
          <w:i w:val="0"/>
          <w:iCs/>
        </w:rPr>
        <w:t xml:space="preserve"> Race/ethnicity-stratified mediation analysis of the AOD and CDRINK pathways, National Longitudinal Study of Adolescent to Adult Health, United States, 1994 to 2018</w:t>
      </w:r>
    </w:p>
    <w:tbl>
      <w:tblPr>
        <w:tblW w:w="0" w:type="auto"/>
        <w:jc w:val="center"/>
        <w:tblCellMar>
          <w:left w:w="0" w:type="dxa"/>
          <w:right w:w="0" w:type="dxa"/>
        </w:tblCellMar>
        <w:tblLook w:val="0420" w:firstRow="1" w:lastRow="0" w:firstColumn="0" w:lastColumn="0" w:noHBand="0" w:noVBand="1"/>
      </w:tblPr>
      <w:tblGrid>
        <w:gridCol w:w="1617"/>
        <w:gridCol w:w="1000"/>
        <w:gridCol w:w="650"/>
        <w:gridCol w:w="1847"/>
        <w:gridCol w:w="925"/>
        <w:gridCol w:w="1847"/>
        <w:gridCol w:w="1186"/>
      </w:tblGrid>
      <w:tr w:rsidR="00BE27A2" w:rsidRPr="00801F92" w14:paraId="16896BCA" w14:textId="77777777" w:rsidTr="00837C35">
        <w:trPr>
          <w:trHeight w:val="614"/>
          <w:tblHeader/>
          <w:jc w:val="center"/>
        </w:trPr>
        <w:tc>
          <w:tcPr>
            <w:tcW w:w="0" w:type="auto"/>
            <w:tcBorders>
              <w:top w:val="single" w:sz="12" w:space="0" w:color="666666"/>
              <w:bottom w:val="single" w:sz="12" w:space="0" w:color="666666"/>
            </w:tcBorders>
            <w:shd w:val="clear" w:color="auto" w:fill="FFFFFF"/>
            <w:vAlign w:val="center"/>
          </w:tcPr>
          <w:p w14:paraId="16896BC3"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Subgroup</w:t>
            </w:r>
          </w:p>
        </w:tc>
        <w:tc>
          <w:tcPr>
            <w:tcW w:w="0" w:type="auto"/>
            <w:tcBorders>
              <w:top w:val="single" w:sz="12" w:space="0" w:color="666666"/>
              <w:bottom w:val="single" w:sz="12" w:space="0" w:color="666666"/>
            </w:tcBorders>
            <w:shd w:val="clear" w:color="auto" w:fill="FFFFFF"/>
            <w:vAlign w:val="center"/>
          </w:tcPr>
          <w:p w14:paraId="16896BC4"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Mediator</w:t>
            </w:r>
          </w:p>
        </w:tc>
        <w:tc>
          <w:tcPr>
            <w:tcW w:w="0" w:type="auto"/>
            <w:tcBorders>
              <w:top w:val="single" w:sz="12" w:space="0" w:color="666666"/>
              <w:bottom w:val="single" w:sz="12" w:space="0" w:color="666666"/>
            </w:tcBorders>
            <w:shd w:val="clear" w:color="auto" w:fill="FFFFFF"/>
            <w:vAlign w:val="center"/>
          </w:tcPr>
          <w:p w14:paraId="16896BC5"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N</w:t>
            </w:r>
          </w:p>
        </w:tc>
        <w:tc>
          <w:tcPr>
            <w:tcW w:w="0" w:type="auto"/>
            <w:tcBorders>
              <w:top w:val="single" w:sz="12" w:space="0" w:color="666666"/>
              <w:bottom w:val="single" w:sz="12" w:space="0" w:color="666666"/>
            </w:tcBorders>
            <w:shd w:val="clear" w:color="auto" w:fill="FFFFFF"/>
            <w:vAlign w:val="center"/>
          </w:tcPr>
          <w:p w14:paraId="16896BC6"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ACME</w:t>
            </w:r>
          </w:p>
        </w:tc>
        <w:tc>
          <w:tcPr>
            <w:tcW w:w="0" w:type="auto"/>
            <w:tcBorders>
              <w:top w:val="single" w:sz="12" w:space="0" w:color="666666"/>
              <w:bottom w:val="single" w:sz="12" w:space="0" w:color="666666"/>
            </w:tcBorders>
            <w:shd w:val="clear" w:color="auto" w:fill="FFFFFF"/>
            <w:vAlign w:val="center"/>
          </w:tcPr>
          <w:p w14:paraId="16896BC7"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ACME p</w:t>
            </w:r>
          </w:p>
        </w:tc>
        <w:tc>
          <w:tcPr>
            <w:tcW w:w="0" w:type="auto"/>
            <w:tcBorders>
              <w:top w:val="single" w:sz="12" w:space="0" w:color="666666"/>
              <w:bottom w:val="single" w:sz="12" w:space="0" w:color="666666"/>
            </w:tcBorders>
            <w:shd w:val="clear" w:color="auto" w:fill="FFFFFF"/>
            <w:vAlign w:val="center"/>
          </w:tcPr>
          <w:p w14:paraId="16896BC8"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ADE</w:t>
            </w:r>
          </w:p>
        </w:tc>
        <w:tc>
          <w:tcPr>
            <w:tcW w:w="0" w:type="auto"/>
            <w:tcBorders>
              <w:top w:val="single" w:sz="12" w:space="0" w:color="666666"/>
              <w:bottom w:val="single" w:sz="12" w:space="0" w:color="666666"/>
            </w:tcBorders>
            <w:shd w:val="clear" w:color="auto" w:fill="FFFFFF"/>
            <w:vAlign w:val="center"/>
          </w:tcPr>
          <w:p w14:paraId="16896BC9"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 Mediated</w:t>
            </w:r>
          </w:p>
        </w:tc>
      </w:tr>
      <w:tr w:rsidR="00BE27A2" w:rsidRPr="00801F92" w14:paraId="16896BD2" w14:textId="77777777" w:rsidTr="00837C35">
        <w:trPr>
          <w:trHeight w:val="584"/>
          <w:jc w:val="center"/>
        </w:trPr>
        <w:tc>
          <w:tcPr>
            <w:tcW w:w="0" w:type="auto"/>
            <w:tcBorders>
              <w:top w:val="single" w:sz="12" w:space="0" w:color="666666"/>
            </w:tcBorders>
            <w:shd w:val="clear" w:color="auto" w:fill="FFFFFF"/>
            <w:vAlign w:val="center"/>
          </w:tcPr>
          <w:p w14:paraId="16896BC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White</w:t>
            </w:r>
          </w:p>
        </w:tc>
        <w:tc>
          <w:tcPr>
            <w:tcW w:w="0" w:type="auto"/>
            <w:tcBorders>
              <w:top w:val="single" w:sz="12" w:space="0" w:color="666666"/>
            </w:tcBorders>
            <w:shd w:val="clear" w:color="auto" w:fill="FFFFFF"/>
            <w:vAlign w:val="center"/>
          </w:tcPr>
          <w:p w14:paraId="16896BC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AOD</w:t>
            </w:r>
          </w:p>
        </w:tc>
        <w:tc>
          <w:tcPr>
            <w:tcW w:w="0" w:type="auto"/>
            <w:tcBorders>
              <w:top w:val="single" w:sz="12" w:space="0" w:color="666666"/>
            </w:tcBorders>
            <w:shd w:val="clear" w:color="auto" w:fill="FFFFFF"/>
            <w:vAlign w:val="center"/>
          </w:tcPr>
          <w:p w14:paraId="16896BC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4,664</w:t>
            </w:r>
          </w:p>
        </w:tc>
        <w:tc>
          <w:tcPr>
            <w:tcW w:w="0" w:type="auto"/>
            <w:tcBorders>
              <w:top w:val="single" w:sz="12" w:space="0" w:color="666666"/>
            </w:tcBorders>
            <w:shd w:val="clear" w:color="auto" w:fill="FFFFFF"/>
            <w:vAlign w:val="center"/>
          </w:tcPr>
          <w:p w14:paraId="16896BC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0.0090 (0.0022, 0.0179)</w:t>
            </w:r>
          </w:p>
        </w:tc>
        <w:tc>
          <w:tcPr>
            <w:tcW w:w="0" w:type="auto"/>
            <w:tcBorders>
              <w:top w:val="single" w:sz="12" w:space="0" w:color="666666"/>
            </w:tcBorders>
            <w:shd w:val="clear" w:color="auto" w:fill="FFFFFF"/>
            <w:vAlign w:val="center"/>
          </w:tcPr>
          <w:p w14:paraId="16896BC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0.004</w:t>
            </w:r>
          </w:p>
        </w:tc>
        <w:tc>
          <w:tcPr>
            <w:tcW w:w="0" w:type="auto"/>
            <w:tcBorders>
              <w:top w:val="single" w:sz="12" w:space="0" w:color="666666"/>
            </w:tcBorders>
            <w:shd w:val="clear" w:color="auto" w:fill="FFFFFF"/>
            <w:vAlign w:val="center"/>
          </w:tcPr>
          <w:p w14:paraId="16896BD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0.0485 (0.0001, 0.0968)</w:t>
            </w:r>
          </w:p>
        </w:tc>
        <w:tc>
          <w:tcPr>
            <w:tcW w:w="0" w:type="auto"/>
            <w:tcBorders>
              <w:top w:val="single" w:sz="12" w:space="0" w:color="666666"/>
            </w:tcBorders>
            <w:shd w:val="clear" w:color="auto" w:fill="FFFFFF"/>
            <w:vAlign w:val="center"/>
          </w:tcPr>
          <w:p w14:paraId="16896BD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15.4%</w:t>
            </w:r>
          </w:p>
        </w:tc>
      </w:tr>
      <w:tr w:rsidR="00BE27A2" w:rsidRPr="00801F92" w14:paraId="16896BDA" w14:textId="77777777" w:rsidTr="00837C35">
        <w:trPr>
          <w:trHeight w:val="584"/>
          <w:jc w:val="center"/>
        </w:trPr>
        <w:tc>
          <w:tcPr>
            <w:tcW w:w="0" w:type="auto"/>
            <w:shd w:val="clear" w:color="auto" w:fill="FFFFFF"/>
            <w:vAlign w:val="center"/>
          </w:tcPr>
          <w:p w14:paraId="16896BD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White</w:t>
            </w:r>
          </w:p>
        </w:tc>
        <w:tc>
          <w:tcPr>
            <w:tcW w:w="0" w:type="auto"/>
            <w:shd w:val="clear" w:color="auto" w:fill="FFFFFF"/>
            <w:vAlign w:val="center"/>
          </w:tcPr>
          <w:p w14:paraId="16896BD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CDRINK</w:t>
            </w:r>
          </w:p>
        </w:tc>
        <w:tc>
          <w:tcPr>
            <w:tcW w:w="0" w:type="auto"/>
            <w:shd w:val="clear" w:color="auto" w:fill="FFFFFF"/>
            <w:vAlign w:val="center"/>
          </w:tcPr>
          <w:p w14:paraId="16896BD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4,397</w:t>
            </w:r>
          </w:p>
        </w:tc>
        <w:tc>
          <w:tcPr>
            <w:tcW w:w="0" w:type="auto"/>
            <w:shd w:val="clear" w:color="auto" w:fill="FFFFFF"/>
            <w:vAlign w:val="center"/>
          </w:tcPr>
          <w:p w14:paraId="16896BD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0.0099 (0.0020, 0.0205)</w:t>
            </w:r>
          </w:p>
        </w:tc>
        <w:tc>
          <w:tcPr>
            <w:tcW w:w="0" w:type="auto"/>
            <w:shd w:val="clear" w:color="auto" w:fill="FFFFFF"/>
            <w:vAlign w:val="center"/>
          </w:tcPr>
          <w:p w14:paraId="16896BD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0.006</w:t>
            </w:r>
          </w:p>
        </w:tc>
        <w:tc>
          <w:tcPr>
            <w:tcW w:w="0" w:type="auto"/>
            <w:shd w:val="clear" w:color="auto" w:fill="FFFFFF"/>
            <w:vAlign w:val="center"/>
          </w:tcPr>
          <w:p w14:paraId="16896BD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0.0528 (0.0007, 0.1024)</w:t>
            </w:r>
          </w:p>
        </w:tc>
        <w:tc>
          <w:tcPr>
            <w:tcW w:w="0" w:type="auto"/>
            <w:shd w:val="clear" w:color="auto" w:fill="FFFFFF"/>
            <w:vAlign w:val="center"/>
          </w:tcPr>
          <w:p w14:paraId="16896BD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15.9%</w:t>
            </w:r>
          </w:p>
        </w:tc>
      </w:tr>
      <w:tr w:rsidR="00BE27A2" w:rsidRPr="00801F92" w14:paraId="16896BE2" w14:textId="77777777" w:rsidTr="00837C35">
        <w:trPr>
          <w:trHeight w:val="584"/>
          <w:jc w:val="center"/>
        </w:trPr>
        <w:tc>
          <w:tcPr>
            <w:tcW w:w="0" w:type="auto"/>
            <w:shd w:val="clear" w:color="auto" w:fill="FFFFFF"/>
            <w:vAlign w:val="center"/>
          </w:tcPr>
          <w:p w14:paraId="16896BD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Black</w:t>
            </w:r>
          </w:p>
        </w:tc>
        <w:tc>
          <w:tcPr>
            <w:tcW w:w="0" w:type="auto"/>
            <w:shd w:val="clear" w:color="auto" w:fill="FFFFFF"/>
            <w:vAlign w:val="center"/>
          </w:tcPr>
          <w:p w14:paraId="16896BD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AOD</w:t>
            </w:r>
          </w:p>
        </w:tc>
        <w:tc>
          <w:tcPr>
            <w:tcW w:w="0" w:type="auto"/>
            <w:shd w:val="clear" w:color="auto" w:fill="FFFFFF"/>
            <w:vAlign w:val="center"/>
          </w:tcPr>
          <w:p w14:paraId="16896BD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1,454</w:t>
            </w:r>
          </w:p>
        </w:tc>
        <w:tc>
          <w:tcPr>
            <w:tcW w:w="0" w:type="auto"/>
            <w:shd w:val="clear" w:color="auto" w:fill="FFFFFF"/>
            <w:vAlign w:val="center"/>
          </w:tcPr>
          <w:p w14:paraId="16896BD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-0.0006 (-0.0078, 0.0048)</w:t>
            </w:r>
          </w:p>
        </w:tc>
        <w:tc>
          <w:tcPr>
            <w:tcW w:w="0" w:type="auto"/>
            <w:shd w:val="clear" w:color="auto" w:fill="FFFFFF"/>
            <w:vAlign w:val="center"/>
          </w:tcPr>
          <w:p w14:paraId="16896BD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0.816</w:t>
            </w:r>
          </w:p>
        </w:tc>
        <w:tc>
          <w:tcPr>
            <w:tcW w:w="0" w:type="auto"/>
            <w:shd w:val="clear" w:color="auto" w:fill="FFFFFF"/>
            <w:vAlign w:val="center"/>
          </w:tcPr>
          <w:p w14:paraId="16896BE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0.0218 (-0.0659, 0.1094)</w:t>
            </w:r>
          </w:p>
        </w:tc>
        <w:tc>
          <w:tcPr>
            <w:tcW w:w="0" w:type="auto"/>
            <w:shd w:val="clear" w:color="auto" w:fill="FFFFFF"/>
            <w:vAlign w:val="center"/>
          </w:tcPr>
          <w:p w14:paraId="16896BE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-0.1%</w:t>
            </w:r>
          </w:p>
        </w:tc>
      </w:tr>
      <w:tr w:rsidR="00BE27A2" w:rsidRPr="00801F92" w14:paraId="16896BEA" w14:textId="77777777" w:rsidTr="00837C35">
        <w:trPr>
          <w:trHeight w:val="584"/>
          <w:jc w:val="center"/>
        </w:trPr>
        <w:tc>
          <w:tcPr>
            <w:tcW w:w="0" w:type="auto"/>
            <w:shd w:val="clear" w:color="auto" w:fill="FFFFFF"/>
            <w:vAlign w:val="center"/>
          </w:tcPr>
          <w:p w14:paraId="16896BE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Non-Hispanic Black</w:t>
            </w:r>
          </w:p>
        </w:tc>
        <w:tc>
          <w:tcPr>
            <w:tcW w:w="0" w:type="auto"/>
            <w:shd w:val="clear" w:color="auto" w:fill="FFFFFF"/>
            <w:vAlign w:val="center"/>
          </w:tcPr>
          <w:p w14:paraId="16896BE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CDRINK</w:t>
            </w:r>
          </w:p>
        </w:tc>
        <w:tc>
          <w:tcPr>
            <w:tcW w:w="0" w:type="auto"/>
            <w:shd w:val="clear" w:color="auto" w:fill="FFFFFF"/>
            <w:vAlign w:val="center"/>
          </w:tcPr>
          <w:p w14:paraId="16896BE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1,341</w:t>
            </w:r>
          </w:p>
        </w:tc>
        <w:tc>
          <w:tcPr>
            <w:tcW w:w="0" w:type="auto"/>
            <w:shd w:val="clear" w:color="auto" w:fill="FFFFFF"/>
            <w:vAlign w:val="center"/>
          </w:tcPr>
          <w:p w14:paraId="16896BE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0.0002 (-0.0064, 0.0081)</w:t>
            </w:r>
          </w:p>
        </w:tc>
        <w:tc>
          <w:tcPr>
            <w:tcW w:w="0" w:type="auto"/>
            <w:shd w:val="clear" w:color="auto" w:fill="FFFFFF"/>
            <w:vAlign w:val="center"/>
          </w:tcPr>
          <w:p w14:paraId="16896BE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0.988</w:t>
            </w:r>
          </w:p>
        </w:tc>
        <w:tc>
          <w:tcPr>
            <w:tcW w:w="0" w:type="auto"/>
            <w:shd w:val="clear" w:color="auto" w:fill="FFFFFF"/>
            <w:vAlign w:val="center"/>
          </w:tcPr>
          <w:p w14:paraId="16896BE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0.0220 (-0.0712, 0.1114)</w:t>
            </w:r>
          </w:p>
        </w:tc>
        <w:tc>
          <w:tcPr>
            <w:tcW w:w="0" w:type="auto"/>
            <w:shd w:val="clear" w:color="auto" w:fill="FFFFFF"/>
            <w:vAlign w:val="center"/>
          </w:tcPr>
          <w:p w14:paraId="16896BE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0.1%</w:t>
            </w:r>
          </w:p>
        </w:tc>
      </w:tr>
      <w:tr w:rsidR="00BE27A2" w:rsidRPr="00801F92" w14:paraId="16896BF2" w14:textId="77777777" w:rsidTr="00837C35">
        <w:trPr>
          <w:trHeight w:val="584"/>
          <w:jc w:val="center"/>
        </w:trPr>
        <w:tc>
          <w:tcPr>
            <w:tcW w:w="0" w:type="auto"/>
            <w:shd w:val="clear" w:color="auto" w:fill="FFFFFF"/>
            <w:vAlign w:val="center"/>
          </w:tcPr>
          <w:p w14:paraId="16896BE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Hispanic</w:t>
            </w:r>
          </w:p>
        </w:tc>
        <w:tc>
          <w:tcPr>
            <w:tcW w:w="0" w:type="auto"/>
            <w:shd w:val="clear" w:color="auto" w:fill="FFFFFF"/>
            <w:vAlign w:val="center"/>
          </w:tcPr>
          <w:p w14:paraId="16896BE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AOD</w:t>
            </w:r>
          </w:p>
        </w:tc>
        <w:tc>
          <w:tcPr>
            <w:tcW w:w="0" w:type="auto"/>
            <w:shd w:val="clear" w:color="auto" w:fill="FFFFFF"/>
            <w:vAlign w:val="center"/>
          </w:tcPr>
          <w:p w14:paraId="16896BE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1,100</w:t>
            </w:r>
          </w:p>
        </w:tc>
        <w:tc>
          <w:tcPr>
            <w:tcW w:w="0" w:type="auto"/>
            <w:shd w:val="clear" w:color="auto" w:fill="FFFFFF"/>
            <w:vAlign w:val="center"/>
          </w:tcPr>
          <w:p w14:paraId="16896BE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-0.0023 (-0.0137, 0.0050)</w:t>
            </w:r>
          </w:p>
        </w:tc>
        <w:tc>
          <w:tcPr>
            <w:tcW w:w="0" w:type="auto"/>
            <w:shd w:val="clear" w:color="auto" w:fill="FFFFFF"/>
            <w:vAlign w:val="center"/>
          </w:tcPr>
          <w:p w14:paraId="16896BE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0.626</w:t>
            </w:r>
          </w:p>
        </w:tc>
        <w:tc>
          <w:tcPr>
            <w:tcW w:w="0" w:type="auto"/>
            <w:shd w:val="clear" w:color="auto" w:fill="FFFFFF"/>
            <w:vAlign w:val="center"/>
          </w:tcPr>
          <w:p w14:paraId="16896BF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-0.0265 (-0.1365, 0.0930)</w:t>
            </w:r>
          </w:p>
        </w:tc>
        <w:tc>
          <w:tcPr>
            <w:tcW w:w="0" w:type="auto"/>
            <w:shd w:val="clear" w:color="auto" w:fill="FFFFFF"/>
            <w:vAlign w:val="center"/>
          </w:tcPr>
          <w:p w14:paraId="16896BF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0.7%</w:t>
            </w:r>
          </w:p>
        </w:tc>
      </w:tr>
      <w:tr w:rsidR="00BE27A2" w:rsidRPr="00801F92" w14:paraId="16896BFA" w14:textId="77777777" w:rsidTr="00837C35">
        <w:trPr>
          <w:trHeight w:val="599"/>
          <w:jc w:val="center"/>
        </w:trPr>
        <w:tc>
          <w:tcPr>
            <w:tcW w:w="0" w:type="auto"/>
            <w:tcBorders>
              <w:bottom w:val="single" w:sz="12" w:space="0" w:color="666666"/>
            </w:tcBorders>
            <w:shd w:val="clear" w:color="auto" w:fill="FFFFFF"/>
            <w:vAlign w:val="center"/>
          </w:tcPr>
          <w:p w14:paraId="16896BF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Hispanic</w:t>
            </w:r>
          </w:p>
        </w:tc>
        <w:tc>
          <w:tcPr>
            <w:tcW w:w="0" w:type="auto"/>
            <w:tcBorders>
              <w:bottom w:val="single" w:sz="12" w:space="0" w:color="666666"/>
            </w:tcBorders>
            <w:shd w:val="clear" w:color="auto" w:fill="FFFFFF"/>
            <w:vAlign w:val="center"/>
          </w:tcPr>
          <w:p w14:paraId="16896BF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CDRINK</w:t>
            </w:r>
          </w:p>
        </w:tc>
        <w:tc>
          <w:tcPr>
            <w:tcW w:w="0" w:type="auto"/>
            <w:tcBorders>
              <w:bottom w:val="single" w:sz="12" w:space="0" w:color="666666"/>
            </w:tcBorders>
            <w:shd w:val="clear" w:color="auto" w:fill="FFFFFF"/>
            <w:vAlign w:val="center"/>
          </w:tcPr>
          <w:p w14:paraId="16896BF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1,035</w:t>
            </w:r>
          </w:p>
        </w:tc>
        <w:tc>
          <w:tcPr>
            <w:tcW w:w="0" w:type="auto"/>
            <w:tcBorders>
              <w:bottom w:val="single" w:sz="12" w:space="0" w:color="666666"/>
            </w:tcBorders>
            <w:shd w:val="clear" w:color="auto" w:fill="FFFFFF"/>
            <w:vAlign w:val="center"/>
          </w:tcPr>
          <w:p w14:paraId="16896BF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-0.0014 (-0.0312, 0.0290)</w:t>
            </w:r>
          </w:p>
        </w:tc>
        <w:tc>
          <w:tcPr>
            <w:tcW w:w="0" w:type="auto"/>
            <w:tcBorders>
              <w:bottom w:val="single" w:sz="12" w:space="0" w:color="666666"/>
            </w:tcBorders>
            <w:shd w:val="clear" w:color="auto" w:fill="FFFFFF"/>
            <w:vAlign w:val="center"/>
          </w:tcPr>
          <w:p w14:paraId="16896BF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0.898</w:t>
            </w:r>
          </w:p>
        </w:tc>
        <w:tc>
          <w:tcPr>
            <w:tcW w:w="0" w:type="auto"/>
            <w:tcBorders>
              <w:bottom w:val="single" w:sz="12" w:space="0" w:color="666666"/>
            </w:tcBorders>
            <w:shd w:val="clear" w:color="auto" w:fill="FFFFFF"/>
            <w:vAlign w:val="center"/>
          </w:tcPr>
          <w:p w14:paraId="16896BF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0.0020 (-0.1234, 0.1279)</w:t>
            </w:r>
          </w:p>
        </w:tc>
        <w:tc>
          <w:tcPr>
            <w:tcW w:w="0" w:type="auto"/>
            <w:tcBorders>
              <w:bottom w:val="single" w:sz="12" w:space="0" w:color="666666"/>
            </w:tcBorders>
            <w:shd w:val="clear" w:color="auto" w:fill="FFFFFF"/>
            <w:vAlign w:val="center"/>
          </w:tcPr>
          <w:p w14:paraId="16896BF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4.8%</w:t>
            </w:r>
          </w:p>
        </w:tc>
      </w:tr>
      <w:tr w:rsidR="00BE27A2" w:rsidRPr="00801F92" w14:paraId="16896BFC" w14:textId="77777777" w:rsidTr="00837C35">
        <w:trPr>
          <w:trHeight w:val="360"/>
          <w:jc w:val="center"/>
        </w:trPr>
        <w:tc>
          <w:tcPr>
            <w:tcW w:w="0" w:type="auto"/>
            <w:gridSpan w:val="7"/>
            <w:tcBorders>
              <w:top w:val="single" w:sz="12" w:space="0" w:color="666666"/>
            </w:tcBorders>
            <w:shd w:val="clear" w:color="auto" w:fill="FFFFFF"/>
            <w:vAlign w:val="center"/>
          </w:tcPr>
          <w:p w14:paraId="16896BFB"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Quasi-Bayesian confidence intervals from 1,000 simulations (seed 7349).</w:t>
            </w:r>
          </w:p>
        </w:tc>
      </w:tr>
      <w:tr w:rsidR="00BE27A2" w:rsidRPr="00801F92" w14:paraId="16896BFE" w14:textId="77777777" w:rsidTr="00837C35">
        <w:trPr>
          <w:trHeight w:val="360"/>
          <w:jc w:val="center"/>
        </w:trPr>
        <w:tc>
          <w:tcPr>
            <w:tcW w:w="0" w:type="auto"/>
            <w:gridSpan w:val="7"/>
            <w:shd w:val="clear" w:color="auto" w:fill="FFFFFF"/>
            <w:vAlign w:val="center"/>
          </w:tcPr>
          <w:p w14:paraId="16896BFD"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Models adjusted for sex, education, age, gentrification, NCD, and SAPS.</w:t>
            </w:r>
          </w:p>
        </w:tc>
      </w:tr>
      <w:tr w:rsidR="00BE27A2" w:rsidRPr="00801F92" w14:paraId="16896C00" w14:textId="77777777" w:rsidTr="00837C35">
        <w:trPr>
          <w:trHeight w:val="360"/>
          <w:jc w:val="center"/>
        </w:trPr>
        <w:tc>
          <w:tcPr>
            <w:tcW w:w="0" w:type="auto"/>
            <w:gridSpan w:val="7"/>
            <w:shd w:val="clear" w:color="auto" w:fill="FFFFFF"/>
            <w:vAlign w:val="center"/>
          </w:tcPr>
          <w:p w14:paraId="16896BFF"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Abbreviations: ACME, average causal mediation effect; ADE, average direct effect.</w:t>
            </w:r>
          </w:p>
        </w:tc>
      </w:tr>
    </w:tbl>
    <w:p w14:paraId="487E1AB9" w14:textId="77777777" w:rsidR="00777081" w:rsidRPr="00801F92" w:rsidRDefault="00777081" w:rsidP="002E4329">
      <w:pPr>
        <w:rPr>
          <w:rFonts w:ascii="Times New Roman" w:hAnsi="Times New Roman" w:cs="Times New Roman"/>
          <w:b/>
        </w:rPr>
      </w:pPr>
      <w:r w:rsidRPr="00801F92">
        <w:rPr>
          <w:rFonts w:ascii="Times New Roman" w:hAnsi="Times New Roman" w:cs="Times New Roman"/>
          <w:b/>
        </w:rPr>
        <w:br w:type="page"/>
      </w:r>
    </w:p>
    <w:p w14:paraId="31B3031D" w14:textId="6203D7E3" w:rsidR="003874BB" w:rsidRPr="00801F92" w:rsidRDefault="00A0332E" w:rsidP="002E4329">
      <w:pPr>
        <w:rPr>
          <w:rFonts w:ascii="Times New Roman" w:hAnsi="Times New Roman" w:cs="Times New Roman"/>
          <w:bCs/>
        </w:rPr>
      </w:pPr>
      <w:r w:rsidRPr="00801F92">
        <w:rPr>
          <w:rFonts w:ascii="Times New Roman" w:hAnsi="Times New Roman" w:cs="Times New Roman"/>
          <w:b/>
        </w:rPr>
        <w:lastRenderedPageBreak/>
        <w:t>Figure S1.</w:t>
      </w:r>
      <w:r w:rsidRPr="00801F92">
        <w:rPr>
          <w:rFonts w:ascii="Times New Roman" w:hAnsi="Times New Roman" w:cs="Times New Roman"/>
          <w:bCs/>
        </w:rPr>
        <w:t xml:space="preserve"> Cumulative residence in a HOLC grade C or D tract and past-year binge drinking across nested adjustments, National Longitudinal Study of Adolescent to Adult Health, United States, 1994 to 2018 (n = 7,758).</w:t>
      </w:r>
    </w:p>
    <w:p w14:paraId="3B8B3345" w14:textId="77777777" w:rsidR="003874BB" w:rsidRPr="00801F92" w:rsidRDefault="00A0332E" w:rsidP="002E4329">
      <w:pPr>
        <w:rPr>
          <w:rFonts w:ascii="Times New Roman" w:hAnsi="Times New Roman" w:cs="Times New Roman"/>
        </w:rPr>
      </w:pPr>
      <w:r w:rsidRPr="00801F92">
        <w:rPr>
          <w:rFonts w:ascii="Times New Roman" w:hAnsi="Times New Roman" w:cs="Times New Roman"/>
          <w:noProof/>
        </w:rPr>
        <w:drawing>
          <wp:inline distT="0" distB="0" distL="0" distR="0" wp14:anchorId="28D3FD55" wp14:editId="67AA5C5A">
            <wp:extent cx="5486400" cy="37621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_Nested_Forest_AJE.png"/>
                    <pic:cNvPicPr/>
                  </pic:nvPicPr>
                  <pic:blipFill>
                    <a:blip r:embed="rId7"/>
                    <a:stretch>
                      <a:fillRect/>
                    </a:stretch>
                  </pic:blipFill>
                  <pic:spPr>
                    <a:xfrm>
                      <a:off x="0" y="0"/>
                      <a:ext cx="5486400" cy="3762103"/>
                    </a:xfrm>
                    <a:prstGeom prst="rect">
                      <a:avLst/>
                    </a:prstGeom>
                  </pic:spPr>
                </pic:pic>
              </a:graphicData>
            </a:graphic>
          </wp:inline>
        </w:drawing>
      </w:r>
    </w:p>
    <w:p w14:paraId="663ABFB2" w14:textId="77777777" w:rsidR="003874BB" w:rsidRPr="00801F92" w:rsidRDefault="00A0332E" w:rsidP="002E4329">
      <w:pPr>
        <w:rPr>
          <w:rFonts w:ascii="Times New Roman" w:hAnsi="Times New Roman" w:cs="Times New Roman"/>
        </w:rPr>
      </w:pPr>
      <w:r w:rsidRPr="00801F92">
        <w:rPr>
          <w:rFonts w:ascii="Times New Roman" w:hAnsi="Times New Roman" w:cs="Times New Roman"/>
        </w:rPr>
        <w:t>Note. Odds ratios with 95% confidence intervals from survey-weighted logistic regression, plotted on a logarithmic scale; each model adds the listed covariates to the previous one. Model 0 is unadjusted; Model 1 adds sex, race and ethnicity, educational attainment, and age; Model 2 adds gentrification; Model 3 adds neighborhood concentrated disadvantage; Model 4 adds alcohol outlet density; Model 5 adds state alcohol policy stringency. The dashed line marks the null (OR = 1.0), and Model 5 (filled point) is</w:t>
      </w:r>
      <w:r w:rsidRPr="00801F92">
        <w:rPr>
          <w:rFonts w:ascii="Times New Roman" w:hAnsi="Times New Roman" w:cs="Times New Roman"/>
        </w:rPr>
        <w:t xml:space="preserve"> the a priori preferred estimate. The estimate strengthens slightly after demographic adjustment, consistent with negative confounding by race and ethnicity. Estimates correspond to Table 2 in the main text. CI, confidence interval; HOLC, Home Owners’ Loan Corporation; OR, odds ratio.</w:t>
      </w:r>
    </w:p>
    <w:p w14:paraId="76D90380" w14:textId="77777777" w:rsidR="003874BB" w:rsidRPr="00801F92" w:rsidRDefault="00A0332E" w:rsidP="002E4329">
      <w:pPr>
        <w:rPr>
          <w:rFonts w:ascii="Times New Roman" w:hAnsi="Times New Roman" w:cs="Times New Roman"/>
        </w:rPr>
      </w:pPr>
      <w:r w:rsidRPr="00801F92">
        <w:rPr>
          <w:rFonts w:ascii="Times New Roman" w:hAnsi="Times New Roman" w:cs="Times New Roman"/>
        </w:rPr>
        <w:t>Alt text: Forest plot of six odds ratios with 95% confidence interval bars on a logarithmic axis, one for each nested model from Model 0 to Model 5. All points lie between 1.17 and 1.20, above the null line at 1.0, and Model 5 appears as a filled point at 1.17.</w:t>
      </w:r>
    </w:p>
    <w:p w14:paraId="7E683EA8" w14:textId="77777777" w:rsidR="003874BB" w:rsidRPr="00801F92" w:rsidRDefault="003874BB" w:rsidP="002E4329">
      <w:pPr>
        <w:rPr>
          <w:rFonts w:ascii="Times New Roman" w:hAnsi="Times New Roman" w:cs="Times New Roman"/>
        </w:rPr>
      </w:pPr>
    </w:p>
    <w:p w14:paraId="0038A84C" w14:textId="77777777" w:rsidR="003874BB" w:rsidRPr="00801F92" w:rsidRDefault="003874BB" w:rsidP="002E4329">
      <w:pPr>
        <w:rPr>
          <w:rFonts w:ascii="Times New Roman" w:hAnsi="Times New Roman" w:cs="Times New Roman"/>
        </w:rPr>
      </w:pPr>
    </w:p>
    <w:p w14:paraId="16896C02" w14:textId="4057CF13"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r w:rsidR="00336853" w:rsidRPr="00801F92">
        <w:rPr>
          <w:rFonts w:ascii="Times New Roman" w:eastAsia="Times New Roman" w:hAnsi="Times New Roman" w:cs="Times New Roman"/>
          <w:b/>
          <w:bCs/>
          <w:color w:val="000000"/>
          <w:szCs w:val="22"/>
        </w:rPr>
        <w:lastRenderedPageBreak/>
        <w:t>F</w:t>
      </w:r>
      <w:r w:rsidRPr="00801F92">
        <w:rPr>
          <w:rFonts w:ascii="Times New Roman" w:eastAsia="Times New Roman" w:hAnsi="Times New Roman" w:cs="Times New Roman"/>
          <w:b/>
          <w:bCs/>
          <w:color w:val="000000"/>
          <w:szCs w:val="22"/>
        </w:rPr>
        <w:t>igure S2.</w:t>
      </w:r>
      <w:r w:rsidRPr="00801F92">
        <w:rPr>
          <w:rFonts w:ascii="Times New Roman" w:eastAsia="Times New Roman" w:hAnsi="Times New Roman" w:cs="Times New Roman"/>
          <w:color w:val="000000"/>
          <w:szCs w:val="22"/>
        </w:rPr>
        <w:t xml:space="preserve"> Dose-response association between number of Add Health waves reporting residence in a HOLC grade C or D tract and past-year binge drinking at Wave V.</w:t>
      </w:r>
    </w:p>
    <w:p w14:paraId="16896C03" w14:textId="77777777" w:rsidR="00BE27A2" w:rsidRPr="00801F92" w:rsidRDefault="00FF6CE7" w:rsidP="002E4329">
      <w:pPr>
        <w:rPr>
          <w:rFonts w:ascii="Times New Roman" w:hAnsi="Times New Roman" w:cs="Times New Roman"/>
        </w:rPr>
      </w:pPr>
      <w:r w:rsidRPr="00801F92">
        <w:rPr>
          <w:rFonts w:ascii="Times New Roman" w:hAnsi="Times New Roman" w:cs="Times New Roman"/>
          <w:noProof/>
        </w:rPr>
        <w:drawing>
          <wp:inline distT="0" distB="0" distL="0" distR="0" wp14:anchorId="16896C60" wp14:editId="16896C61">
            <wp:extent cx="5486400" cy="411480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5486400" cy="4114800"/>
                    </a:xfrm>
                    <a:prstGeom prst="rect">
                      <a:avLst/>
                    </a:prstGeom>
                    <a:noFill/>
                  </pic:spPr>
                </pic:pic>
              </a:graphicData>
            </a:graphic>
          </wp:inline>
        </w:drawing>
      </w:r>
    </w:p>
    <w:p w14:paraId="16896C04"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Note. Survey-weighted logistic regression of past-year binge drinking on the number of Add Health waves (Wave I, Wave III, Wave IV) at which the respondent resided in a HOLC grade C or D tract, restricted to respondents with non-missing HOLC at all three waves. Point estimates with 95% confidence intervals are shown. The association is elevated at two waves (odds ratio = 1.28; 95% CI, 1.01 to 1.63) and attenuates at three waves (non-monotonic), reflecting the racial composition of the three-wave-exposed subgroup, which is disproportionately non-Hispanic Black, a group with lower binge drinking prevalence in this cohort.</w:t>
      </w:r>
    </w:p>
    <w:p w14:paraId="16896C05"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Alt text: Plot of odds ratios with 95% confidence interval bars for residence in a HOLC grade C or D tract at one, two, or three waves, relative to zero waves. The two-wave estimate is highest at 1.28 and the three-wave estimate returns toward the null.</w:t>
      </w:r>
    </w:p>
    <w:p w14:paraId="16896C06" w14:textId="77777777" w:rsidR="00BE27A2" w:rsidRPr="00801F92" w:rsidRDefault="00BE27A2" w:rsidP="002E4329">
      <w:pPr>
        <w:rPr>
          <w:rFonts w:ascii="Times New Roman" w:hAnsi="Times New Roman" w:cs="Times New Roman"/>
        </w:rPr>
      </w:pPr>
    </w:p>
    <w:p w14:paraId="16896C07" w14:textId="77777777" w:rsidR="00BE27A2" w:rsidRPr="00801F92" w:rsidRDefault="00BE27A2" w:rsidP="002E4329">
      <w:pPr>
        <w:rPr>
          <w:rFonts w:ascii="Times New Roman" w:hAnsi="Times New Roman" w:cs="Times New Roman"/>
        </w:rPr>
      </w:pPr>
    </w:p>
    <w:p w14:paraId="43FCC8D2" w14:textId="77777777" w:rsidR="00336853" w:rsidRPr="00801F92" w:rsidRDefault="00336853" w:rsidP="002E4329">
      <w:pPr>
        <w:pStyle w:val="TableCaption"/>
        <w:keepNext/>
        <w:ind w:left="60" w:right="60"/>
        <w:rPr>
          <w:rFonts w:ascii="Times New Roman" w:hAnsi="Times New Roman" w:cs="Times New Roman"/>
        </w:rPr>
      </w:pPr>
      <w:r w:rsidRPr="00801F92">
        <w:rPr>
          <w:rFonts w:ascii="Times New Roman" w:hAnsi="Times New Roman" w:cs="Times New Roman"/>
        </w:rPr>
        <w:br w:type="page"/>
      </w:r>
    </w:p>
    <w:p w14:paraId="16896C08" w14:textId="0EB15454" w:rsidR="00BE27A2" w:rsidRPr="00801F92" w:rsidRDefault="00FF6CE7" w:rsidP="002E4329">
      <w:pPr>
        <w:pStyle w:val="TableCaption"/>
        <w:keepNext/>
        <w:ind w:left="60" w:right="60"/>
        <w:jc w:val="left"/>
        <w:rPr>
          <w:rFonts w:ascii="Times New Roman" w:hAnsi="Times New Roman" w:cs="Times New Roman"/>
          <w:b w:val="0"/>
          <w:bCs/>
          <w:i w:val="0"/>
          <w:iCs/>
        </w:rPr>
      </w:pPr>
      <w:r w:rsidRPr="00801F92">
        <w:rPr>
          <w:rFonts w:ascii="Times New Roman" w:hAnsi="Times New Roman" w:cs="Times New Roman"/>
          <w:i w:val="0"/>
          <w:iCs/>
        </w:rPr>
        <w:lastRenderedPageBreak/>
        <w:t>Table S8.</w:t>
      </w:r>
      <w:r w:rsidRPr="00801F92">
        <w:rPr>
          <w:rFonts w:ascii="Times New Roman" w:hAnsi="Times New Roman" w:cs="Times New Roman"/>
          <w:b w:val="0"/>
          <w:bCs/>
          <w:i w:val="0"/>
          <w:iCs/>
        </w:rPr>
        <w:t xml:space="preserve"> Sensitivity analyses for alternative redlining operationalizations, National Longitudinal Study of Adolescent to Adult Health, United States, 1994 to 2018 (n = 7,758)</w:t>
      </w:r>
    </w:p>
    <w:tbl>
      <w:tblPr>
        <w:tblW w:w="4604" w:type="dxa"/>
        <w:jc w:val="center"/>
        <w:tblLayout w:type="fixed"/>
        <w:tblCellMar>
          <w:left w:w="0" w:type="dxa"/>
          <w:right w:w="0" w:type="dxa"/>
        </w:tblCellMar>
        <w:tblLook w:val="0420" w:firstRow="1" w:lastRow="0" w:firstColumn="0" w:lastColumn="0" w:noHBand="0" w:noVBand="1"/>
      </w:tblPr>
      <w:tblGrid>
        <w:gridCol w:w="2860"/>
        <w:gridCol w:w="1744"/>
      </w:tblGrid>
      <w:tr w:rsidR="00BE27A2" w:rsidRPr="00801F92" w14:paraId="16896C0B" w14:textId="77777777">
        <w:trPr>
          <w:trHeight w:val="614"/>
          <w:tblHeader/>
          <w:jc w:val="center"/>
        </w:trPr>
        <w:tc>
          <w:tcPr>
            <w:tcW w:w="2860" w:type="dxa"/>
            <w:tcBorders>
              <w:top w:val="single" w:sz="12" w:space="0" w:color="666666"/>
              <w:bottom w:val="single" w:sz="12" w:space="0" w:color="666666"/>
            </w:tcBorders>
            <w:shd w:val="clear" w:color="auto" w:fill="FFFFFF"/>
            <w:vAlign w:val="center"/>
          </w:tcPr>
          <w:p w14:paraId="16896C09"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Characteristic</w:t>
            </w:r>
          </w:p>
        </w:tc>
        <w:tc>
          <w:tcPr>
            <w:tcW w:w="1744" w:type="dxa"/>
            <w:tcBorders>
              <w:top w:val="single" w:sz="12" w:space="0" w:color="666666"/>
              <w:bottom w:val="single" w:sz="12" w:space="0" w:color="666666"/>
            </w:tcBorders>
            <w:shd w:val="clear" w:color="auto" w:fill="FFFFFF"/>
            <w:vAlign w:val="center"/>
          </w:tcPr>
          <w:p w14:paraId="16896C0A"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OR (95% CI)</w:t>
            </w:r>
          </w:p>
        </w:tc>
      </w:tr>
      <w:tr w:rsidR="00BE27A2" w:rsidRPr="00801F92" w14:paraId="16896C0E" w14:textId="77777777">
        <w:trPr>
          <w:trHeight w:val="584"/>
          <w:jc w:val="center"/>
        </w:trPr>
        <w:tc>
          <w:tcPr>
            <w:tcW w:w="2860" w:type="dxa"/>
            <w:tcBorders>
              <w:top w:val="single" w:sz="12" w:space="0" w:color="666666"/>
            </w:tcBorders>
            <w:shd w:val="clear" w:color="auto" w:fill="FFFFFF"/>
            <w:vAlign w:val="center"/>
          </w:tcPr>
          <w:p w14:paraId="16896C0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Dose-response (waves in C/D)</w:t>
            </w:r>
          </w:p>
        </w:tc>
        <w:tc>
          <w:tcPr>
            <w:tcW w:w="1744" w:type="dxa"/>
            <w:tcBorders>
              <w:top w:val="single" w:sz="12" w:space="0" w:color="666666"/>
            </w:tcBorders>
            <w:shd w:val="clear" w:color="auto" w:fill="FFFFFF"/>
            <w:vAlign w:val="center"/>
          </w:tcPr>
          <w:p w14:paraId="16896C0D" w14:textId="77777777" w:rsidR="00BE27A2" w:rsidRPr="00801F92" w:rsidRDefault="00BE27A2" w:rsidP="002E4329">
            <w:pPr>
              <w:ind w:left="100" w:right="100"/>
              <w:rPr>
                <w:rFonts w:ascii="Times New Roman" w:eastAsia="Times New Roman" w:hAnsi="Times New Roman" w:cs="Times New Roman"/>
                <w:color w:val="000000"/>
                <w:sz w:val="20"/>
                <w:szCs w:val="20"/>
              </w:rPr>
            </w:pPr>
          </w:p>
        </w:tc>
      </w:tr>
      <w:tr w:rsidR="00BE27A2" w:rsidRPr="00801F92" w14:paraId="16896C11" w14:textId="77777777">
        <w:trPr>
          <w:trHeight w:val="584"/>
          <w:jc w:val="center"/>
        </w:trPr>
        <w:tc>
          <w:tcPr>
            <w:tcW w:w="2860" w:type="dxa"/>
            <w:shd w:val="clear" w:color="auto" w:fill="FFFFFF"/>
            <w:vAlign w:val="center"/>
          </w:tcPr>
          <w:p w14:paraId="16896C0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 wave</w:t>
            </w:r>
          </w:p>
        </w:tc>
        <w:tc>
          <w:tcPr>
            <w:tcW w:w="1744" w:type="dxa"/>
            <w:shd w:val="clear" w:color="auto" w:fill="FFFFFF"/>
            <w:vAlign w:val="center"/>
          </w:tcPr>
          <w:p w14:paraId="16896C10"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1.20 (0.99, 1.46)</w:t>
            </w:r>
          </w:p>
        </w:tc>
      </w:tr>
      <w:tr w:rsidR="00BE27A2" w:rsidRPr="00801F92" w14:paraId="16896C14" w14:textId="77777777">
        <w:trPr>
          <w:trHeight w:val="584"/>
          <w:jc w:val="center"/>
        </w:trPr>
        <w:tc>
          <w:tcPr>
            <w:tcW w:w="2860" w:type="dxa"/>
            <w:shd w:val="clear" w:color="auto" w:fill="FFFFFF"/>
            <w:vAlign w:val="center"/>
          </w:tcPr>
          <w:p w14:paraId="16896C12"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2 waves</w:t>
            </w:r>
          </w:p>
        </w:tc>
        <w:tc>
          <w:tcPr>
            <w:tcW w:w="1744" w:type="dxa"/>
            <w:shd w:val="clear" w:color="auto" w:fill="FFFFFF"/>
            <w:vAlign w:val="center"/>
          </w:tcPr>
          <w:p w14:paraId="16896C1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1.28 (1.01, 1.63)</w:t>
            </w:r>
          </w:p>
        </w:tc>
      </w:tr>
      <w:tr w:rsidR="00BE27A2" w:rsidRPr="00801F92" w14:paraId="16896C17" w14:textId="77777777">
        <w:trPr>
          <w:trHeight w:val="584"/>
          <w:jc w:val="center"/>
        </w:trPr>
        <w:tc>
          <w:tcPr>
            <w:tcW w:w="2860" w:type="dxa"/>
            <w:shd w:val="clear" w:color="auto" w:fill="FFFFFF"/>
            <w:vAlign w:val="center"/>
          </w:tcPr>
          <w:p w14:paraId="16896C1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3 waves</w:t>
            </w:r>
          </w:p>
        </w:tc>
        <w:tc>
          <w:tcPr>
            <w:tcW w:w="1744" w:type="dxa"/>
            <w:shd w:val="clear" w:color="auto" w:fill="FFFFFF"/>
            <w:vAlign w:val="center"/>
          </w:tcPr>
          <w:p w14:paraId="16896C1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1.12 (0.95, 1.33)</w:t>
            </w:r>
          </w:p>
        </w:tc>
      </w:tr>
      <w:tr w:rsidR="00BE27A2" w:rsidRPr="00801F92" w14:paraId="16896C1A" w14:textId="77777777">
        <w:trPr>
          <w:trHeight w:val="584"/>
          <w:jc w:val="center"/>
        </w:trPr>
        <w:tc>
          <w:tcPr>
            <w:tcW w:w="2860" w:type="dxa"/>
            <w:shd w:val="clear" w:color="auto" w:fill="FFFFFF"/>
            <w:vAlign w:val="center"/>
          </w:tcPr>
          <w:p w14:paraId="16896C1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Worst-ever HOLC grade</w:t>
            </w:r>
          </w:p>
        </w:tc>
        <w:tc>
          <w:tcPr>
            <w:tcW w:w="1744" w:type="dxa"/>
            <w:shd w:val="clear" w:color="auto" w:fill="FFFFFF"/>
            <w:vAlign w:val="center"/>
          </w:tcPr>
          <w:p w14:paraId="16896C19" w14:textId="77777777" w:rsidR="00BE27A2" w:rsidRPr="00801F92" w:rsidRDefault="00BE27A2" w:rsidP="002E4329">
            <w:pPr>
              <w:ind w:left="100" w:right="100"/>
              <w:rPr>
                <w:rFonts w:ascii="Times New Roman" w:eastAsia="Times New Roman" w:hAnsi="Times New Roman" w:cs="Times New Roman"/>
                <w:color w:val="000000"/>
                <w:sz w:val="20"/>
                <w:szCs w:val="20"/>
              </w:rPr>
            </w:pPr>
          </w:p>
        </w:tc>
      </w:tr>
      <w:tr w:rsidR="00BE27A2" w:rsidRPr="00801F92" w14:paraId="16896C1D" w14:textId="77777777">
        <w:trPr>
          <w:trHeight w:val="584"/>
          <w:jc w:val="center"/>
        </w:trPr>
        <w:tc>
          <w:tcPr>
            <w:tcW w:w="2860" w:type="dxa"/>
            <w:shd w:val="clear" w:color="auto" w:fill="FFFFFF"/>
            <w:vAlign w:val="center"/>
          </w:tcPr>
          <w:p w14:paraId="16896C1B"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B (Desirable)</w:t>
            </w:r>
          </w:p>
        </w:tc>
        <w:tc>
          <w:tcPr>
            <w:tcW w:w="1744" w:type="dxa"/>
            <w:shd w:val="clear" w:color="auto" w:fill="FFFFFF"/>
            <w:vAlign w:val="center"/>
          </w:tcPr>
          <w:p w14:paraId="16896C1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1.03 (0.76, 1.40)</w:t>
            </w:r>
          </w:p>
        </w:tc>
      </w:tr>
      <w:tr w:rsidR="00BE27A2" w:rsidRPr="00801F92" w14:paraId="16896C20" w14:textId="77777777">
        <w:trPr>
          <w:trHeight w:val="584"/>
          <w:jc w:val="center"/>
        </w:trPr>
        <w:tc>
          <w:tcPr>
            <w:tcW w:w="2860" w:type="dxa"/>
            <w:shd w:val="clear" w:color="auto" w:fill="FFFFFF"/>
            <w:vAlign w:val="center"/>
          </w:tcPr>
          <w:p w14:paraId="16896C1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C (Declining)</w:t>
            </w:r>
          </w:p>
        </w:tc>
        <w:tc>
          <w:tcPr>
            <w:tcW w:w="1744" w:type="dxa"/>
            <w:shd w:val="clear" w:color="auto" w:fill="FFFFFF"/>
            <w:vAlign w:val="center"/>
          </w:tcPr>
          <w:p w14:paraId="16896C1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1.23 (0.94, 1.61)</w:t>
            </w:r>
          </w:p>
        </w:tc>
      </w:tr>
      <w:tr w:rsidR="00BE27A2" w:rsidRPr="00801F92" w14:paraId="16896C23" w14:textId="77777777">
        <w:trPr>
          <w:trHeight w:val="599"/>
          <w:jc w:val="center"/>
        </w:trPr>
        <w:tc>
          <w:tcPr>
            <w:tcW w:w="2860" w:type="dxa"/>
            <w:tcBorders>
              <w:bottom w:val="single" w:sz="12" w:space="0" w:color="666666"/>
            </w:tcBorders>
            <w:shd w:val="clear" w:color="auto" w:fill="FFFFFF"/>
            <w:vAlign w:val="center"/>
          </w:tcPr>
          <w:p w14:paraId="16896C2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D (Hazardous)</w:t>
            </w:r>
          </w:p>
        </w:tc>
        <w:tc>
          <w:tcPr>
            <w:tcW w:w="1744" w:type="dxa"/>
            <w:tcBorders>
              <w:bottom w:val="single" w:sz="12" w:space="0" w:color="666666"/>
            </w:tcBorders>
            <w:shd w:val="clear" w:color="auto" w:fill="FFFFFF"/>
            <w:vAlign w:val="center"/>
          </w:tcPr>
          <w:p w14:paraId="16896C22"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1.16 (0.90, 1.51)</w:t>
            </w:r>
          </w:p>
        </w:tc>
      </w:tr>
      <w:tr w:rsidR="00BE27A2" w:rsidRPr="00801F92" w14:paraId="16896C25" w14:textId="77777777">
        <w:trPr>
          <w:trHeight w:val="360"/>
          <w:jc w:val="center"/>
        </w:trPr>
        <w:tc>
          <w:tcPr>
            <w:tcW w:w="4604" w:type="dxa"/>
            <w:gridSpan w:val="2"/>
            <w:tcBorders>
              <w:top w:val="single" w:sz="12" w:space="0" w:color="666666"/>
            </w:tcBorders>
            <w:shd w:val="clear" w:color="auto" w:fill="FFFFFF"/>
            <w:vAlign w:val="center"/>
          </w:tcPr>
          <w:p w14:paraId="16896C24"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Reference: 0 waves in C/D (dose-response) and grade A (worst-grade).</w:t>
            </w:r>
          </w:p>
        </w:tc>
      </w:tr>
      <w:tr w:rsidR="00BE27A2" w:rsidRPr="00801F92" w14:paraId="16896C27" w14:textId="77777777">
        <w:trPr>
          <w:trHeight w:val="360"/>
          <w:jc w:val="center"/>
        </w:trPr>
        <w:tc>
          <w:tcPr>
            <w:tcW w:w="4604" w:type="dxa"/>
            <w:gridSpan w:val="2"/>
            <w:shd w:val="clear" w:color="auto" w:fill="FFFFFF"/>
            <w:vAlign w:val="center"/>
          </w:tcPr>
          <w:p w14:paraId="16896C26"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Dose-response restricted to respondents with HOLC observed at all three waves; worst-grade uses the full sample.</w:t>
            </w:r>
          </w:p>
        </w:tc>
      </w:tr>
    </w:tbl>
    <w:p w14:paraId="16896C28"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C29" w14:textId="77777777" w:rsidR="00BE27A2" w:rsidRPr="00801F92" w:rsidRDefault="00BE27A2" w:rsidP="002E4329">
      <w:pPr>
        <w:rPr>
          <w:rFonts w:ascii="Times New Roman" w:hAnsi="Times New Roman" w:cs="Times New Roman"/>
        </w:rPr>
      </w:pPr>
    </w:p>
    <w:p w14:paraId="16896C2A" w14:textId="77777777" w:rsidR="00BE27A2" w:rsidRPr="00801F92" w:rsidRDefault="00FF6CE7" w:rsidP="002E4329">
      <w:pPr>
        <w:pStyle w:val="TableCaption"/>
        <w:keepNext/>
        <w:ind w:left="60" w:right="60"/>
        <w:jc w:val="left"/>
        <w:rPr>
          <w:rFonts w:ascii="Times New Roman" w:hAnsi="Times New Roman" w:cs="Times New Roman"/>
          <w:b w:val="0"/>
          <w:bCs/>
          <w:i w:val="0"/>
          <w:iCs/>
        </w:rPr>
      </w:pPr>
      <w:r w:rsidRPr="00801F92">
        <w:rPr>
          <w:rFonts w:ascii="Times New Roman" w:hAnsi="Times New Roman" w:cs="Times New Roman"/>
          <w:i w:val="0"/>
          <w:iCs/>
        </w:rPr>
        <w:t>Table S9.</w:t>
      </w:r>
      <w:r w:rsidRPr="00801F92">
        <w:rPr>
          <w:rFonts w:ascii="Times New Roman" w:hAnsi="Times New Roman" w:cs="Times New Roman"/>
          <w:b w:val="0"/>
          <w:bCs/>
          <w:i w:val="0"/>
          <w:iCs/>
        </w:rPr>
        <w:t xml:space="preserve"> Restricted comparison of HOLC A/B-only versus C/D-only residential histories, National Longitudinal Study of Adolescent to Adult Health, United States, 1994 to 2018 (n = 5,126)</w:t>
      </w:r>
    </w:p>
    <w:tbl>
      <w:tblPr>
        <w:tblW w:w="4571" w:type="dxa"/>
        <w:jc w:val="center"/>
        <w:tblLayout w:type="fixed"/>
        <w:tblCellMar>
          <w:left w:w="0" w:type="dxa"/>
          <w:right w:w="0" w:type="dxa"/>
        </w:tblCellMar>
        <w:tblLook w:val="0420" w:firstRow="1" w:lastRow="0" w:firstColumn="0" w:lastColumn="0" w:noHBand="0" w:noVBand="1"/>
      </w:tblPr>
      <w:tblGrid>
        <w:gridCol w:w="2827"/>
        <w:gridCol w:w="1744"/>
      </w:tblGrid>
      <w:tr w:rsidR="00BE27A2" w:rsidRPr="00801F92" w14:paraId="16896C2D" w14:textId="77777777">
        <w:trPr>
          <w:trHeight w:val="614"/>
          <w:tblHeader/>
          <w:jc w:val="center"/>
        </w:trPr>
        <w:tc>
          <w:tcPr>
            <w:tcW w:w="2827" w:type="dxa"/>
            <w:tcBorders>
              <w:top w:val="single" w:sz="12" w:space="0" w:color="666666"/>
              <w:bottom w:val="single" w:sz="12" w:space="0" w:color="666666"/>
            </w:tcBorders>
            <w:shd w:val="clear" w:color="auto" w:fill="FFFFFF"/>
            <w:vAlign w:val="center"/>
          </w:tcPr>
          <w:p w14:paraId="16896C2B"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Specification</w:t>
            </w:r>
          </w:p>
        </w:tc>
        <w:tc>
          <w:tcPr>
            <w:tcW w:w="1744" w:type="dxa"/>
            <w:tcBorders>
              <w:top w:val="single" w:sz="12" w:space="0" w:color="666666"/>
              <w:bottom w:val="single" w:sz="12" w:space="0" w:color="666666"/>
            </w:tcBorders>
            <w:shd w:val="clear" w:color="auto" w:fill="FFFFFF"/>
            <w:vAlign w:val="center"/>
          </w:tcPr>
          <w:p w14:paraId="16896C2C"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Value</w:t>
            </w:r>
          </w:p>
        </w:tc>
      </w:tr>
      <w:tr w:rsidR="00BE27A2" w:rsidRPr="00801F92" w14:paraId="16896C30" w14:textId="77777777">
        <w:trPr>
          <w:trHeight w:val="584"/>
          <w:jc w:val="center"/>
        </w:trPr>
        <w:tc>
          <w:tcPr>
            <w:tcW w:w="2827" w:type="dxa"/>
            <w:tcBorders>
              <w:top w:val="single" w:sz="12" w:space="0" w:color="666666"/>
            </w:tcBorders>
            <w:shd w:val="clear" w:color="auto" w:fill="FFFFFF"/>
            <w:vAlign w:val="center"/>
          </w:tcPr>
          <w:p w14:paraId="16896C2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HOLC A or B at all waves (n)</w:t>
            </w:r>
          </w:p>
        </w:tc>
        <w:tc>
          <w:tcPr>
            <w:tcW w:w="1744" w:type="dxa"/>
            <w:tcBorders>
              <w:top w:val="single" w:sz="12" w:space="0" w:color="666666"/>
            </w:tcBorders>
            <w:shd w:val="clear" w:color="auto" w:fill="FFFFFF"/>
            <w:vAlign w:val="center"/>
          </w:tcPr>
          <w:p w14:paraId="16896C2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1,469</w:t>
            </w:r>
          </w:p>
        </w:tc>
      </w:tr>
      <w:tr w:rsidR="00BE27A2" w:rsidRPr="00801F92" w14:paraId="16896C33" w14:textId="77777777">
        <w:trPr>
          <w:trHeight w:val="584"/>
          <w:jc w:val="center"/>
        </w:trPr>
        <w:tc>
          <w:tcPr>
            <w:tcW w:w="2827" w:type="dxa"/>
            <w:shd w:val="clear" w:color="auto" w:fill="FFFFFF"/>
            <w:vAlign w:val="center"/>
          </w:tcPr>
          <w:p w14:paraId="16896C3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HOLC C or D at all waves (n)</w:t>
            </w:r>
          </w:p>
        </w:tc>
        <w:tc>
          <w:tcPr>
            <w:tcW w:w="1744" w:type="dxa"/>
            <w:shd w:val="clear" w:color="auto" w:fill="FFFFFF"/>
            <w:vAlign w:val="center"/>
          </w:tcPr>
          <w:p w14:paraId="16896C32"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3,657</w:t>
            </w:r>
          </w:p>
        </w:tc>
      </w:tr>
      <w:tr w:rsidR="00BE27A2" w:rsidRPr="00801F92" w14:paraId="16896C36" w14:textId="77777777">
        <w:trPr>
          <w:trHeight w:val="599"/>
          <w:jc w:val="center"/>
        </w:trPr>
        <w:tc>
          <w:tcPr>
            <w:tcW w:w="2827" w:type="dxa"/>
            <w:tcBorders>
              <w:bottom w:val="single" w:sz="12" w:space="0" w:color="666666"/>
            </w:tcBorders>
            <w:shd w:val="clear" w:color="auto" w:fill="FFFFFF"/>
            <w:vAlign w:val="center"/>
          </w:tcPr>
          <w:p w14:paraId="16896C3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OR for C/D vs A/B (Model 5)</w:t>
            </w:r>
          </w:p>
        </w:tc>
        <w:tc>
          <w:tcPr>
            <w:tcW w:w="1744" w:type="dxa"/>
            <w:tcBorders>
              <w:bottom w:val="single" w:sz="12" w:space="0" w:color="666666"/>
            </w:tcBorders>
            <w:shd w:val="clear" w:color="auto" w:fill="FFFFFF"/>
            <w:vAlign w:val="center"/>
          </w:tcPr>
          <w:p w14:paraId="16896C35"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1.12 (0.95, 1.33)</w:t>
            </w:r>
          </w:p>
        </w:tc>
      </w:tr>
      <w:tr w:rsidR="00BE27A2" w:rsidRPr="00801F92" w14:paraId="16896C38" w14:textId="77777777">
        <w:trPr>
          <w:trHeight w:val="360"/>
          <w:jc w:val="center"/>
        </w:trPr>
        <w:tc>
          <w:tcPr>
            <w:tcW w:w="4571" w:type="dxa"/>
            <w:gridSpan w:val="2"/>
            <w:tcBorders>
              <w:top w:val="single" w:sz="12" w:space="0" w:color="666666"/>
            </w:tcBorders>
            <w:shd w:val="clear" w:color="auto" w:fill="FFFFFF"/>
            <w:vAlign w:val="center"/>
          </w:tcPr>
          <w:p w14:paraId="16896C37"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Excludes respondents with mixed A/B and C/D histories or any missing HOLC grade. Covariates as in Model 5.</w:t>
            </w:r>
          </w:p>
        </w:tc>
      </w:tr>
    </w:tbl>
    <w:p w14:paraId="16896C3A" w14:textId="1DFFA09B"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r w:rsidRPr="00801F92">
        <w:rPr>
          <w:rFonts w:ascii="Times New Roman" w:eastAsia="Times New Roman" w:hAnsi="Times New Roman" w:cs="Times New Roman"/>
          <w:b/>
          <w:color w:val="000000"/>
          <w:sz w:val="24"/>
        </w:rPr>
        <w:lastRenderedPageBreak/>
        <w:t>Supplementary results. Additional sensitivity analyses</w:t>
      </w:r>
    </w:p>
    <w:p w14:paraId="16896C3B"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The dose-response model showed elevated odds of past-year binge drinking at two waves of cumulative exposure (OR = 1.28; 95% CI, 1.01 to 1.63) and a non-monotonic pattern at three waves (Figure S2, Table S8) that reflects the racial composition of the most-exposed group. Binge drinking intensity defined by sex-specific NIAAA thresholds showed no association with redlining (OR = 0.89; Table S1). Mediation sensitivity analysis indicated that the residual correlation between mediator and outcome residuals would need to reach rho = 0.75 for the alcohol-outlet-density indirect effect to be nullified. Adjusting for adolescent drinking at Wave I (n = 4,424) changed the redlining OR by less than 2%, indicating that early drinking does not substantially confound the association. In a restricted comparison excluding respondents with mixed A and B versus C and D residential histories (n = 5,126), the association was attenuated (OR = 1.12; 95% CI, 0.95 to 1.33), consistent with some compositional contribution to the primary estimate (Table S9).</w:t>
      </w:r>
    </w:p>
    <w:p w14:paraId="16896C3C" w14:textId="77777777" w:rsidR="00BE27A2" w:rsidRPr="00801F92" w:rsidRDefault="00FF6CE7" w:rsidP="002E4329">
      <w:pPr>
        <w:rPr>
          <w:rFonts w:ascii="Times New Roman" w:hAnsi="Times New Roman" w:cs="Times New Roman"/>
        </w:rPr>
      </w:pPr>
      <w:r w:rsidRPr="00801F92">
        <w:rPr>
          <w:rFonts w:ascii="Times New Roman" w:hAnsi="Times New Roman" w:cs="Times New Roman"/>
        </w:rPr>
        <w:br w:type="page"/>
      </w:r>
    </w:p>
    <w:p w14:paraId="16896C3D"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b/>
          <w:color w:val="000000"/>
          <w:sz w:val="24"/>
        </w:rPr>
        <w:lastRenderedPageBreak/>
        <w:t>Supplementary note. County-level excessive drinking prevalence (exploratory mediator)</w:t>
      </w:r>
    </w:p>
    <w:p w14:paraId="16896C3E" w14:textId="77777777" w:rsidR="00BE27A2" w:rsidRPr="00801F92" w:rsidRDefault="00FF6CE7" w:rsidP="002E4329">
      <w:pPr>
        <w:rPr>
          <w:rFonts w:ascii="Times New Roman" w:hAnsi="Times New Roman" w:cs="Times New Roman"/>
        </w:rPr>
      </w:pPr>
      <w:r w:rsidRPr="00801F92">
        <w:rPr>
          <w:rFonts w:ascii="Times New Roman" w:eastAsia="Times New Roman" w:hAnsi="Times New Roman" w:cs="Times New Roman"/>
          <w:color w:val="000000"/>
          <w:szCs w:val="22"/>
        </w:rPr>
        <w:t>County-level excessive drinking prevalence (CDRINK) was a continuous measure of the proportion of adults reporting excessive drinking in the respondent's residential county at Wave V, drawn from CDC PLACES estimates and standardized. The measure is retained in the supplementary materials rather than the main text for two reasons. It is assessed at the county scale, which is broader than the tract scale at which the exposure, alcohol outlet density, and neighborhood covariates are measured, and it is assessed concurrently with the Wave V outcome, so temporal ordering between mediator and outcome is not satisfied. No tract-level measure of drinking norms is available in the Add Health contextual database; community drinking norms are conceptualized as operating over a broader geography than retail availability, but the county scale remains a coarse proxy. Treated as an exploratory single mediator, CDRINK yielded an average causal mediation effect of 0.0091 (95% CI, 0.0022 to 0.0177; approximately 18% of the total effect mediated). In race-stratified models, the CDRINK pathway was statistically significant only among non-Hispanic White respondents (average causal mediation effect = 0.010; 95% CI, 0.002 to 0.021; approximately 15.9% mediated; Table S7). Mediation sensitivity analysis indicated that the indirect effect would be nullified at rho = 0.80. Combined difference-method mediation through alcohol outlet density and CDRINK jointly was approximately 23% (Table S4). These estimates should be interpreted as descriptive of the social alcohol environment rather than causal mediation.</w:t>
      </w:r>
    </w:p>
    <w:p w14:paraId="16896C3F" w14:textId="77777777" w:rsidR="00BE27A2" w:rsidRPr="00801F92" w:rsidRDefault="00BE27A2" w:rsidP="002E4329">
      <w:pPr>
        <w:rPr>
          <w:rFonts w:ascii="Times New Roman" w:hAnsi="Times New Roman" w:cs="Times New Roman"/>
        </w:rPr>
      </w:pPr>
    </w:p>
    <w:p w14:paraId="16896C40" w14:textId="77777777" w:rsidR="00BE27A2" w:rsidRPr="00801F92" w:rsidRDefault="00BE27A2" w:rsidP="002E4329">
      <w:pPr>
        <w:rPr>
          <w:rFonts w:ascii="Times New Roman" w:hAnsi="Times New Roman" w:cs="Times New Roman"/>
        </w:rPr>
      </w:pPr>
    </w:p>
    <w:p w14:paraId="6304D98C" w14:textId="77777777" w:rsidR="00336853" w:rsidRPr="00801F92" w:rsidRDefault="00336853" w:rsidP="002E4329">
      <w:pPr>
        <w:pStyle w:val="TableCaption"/>
        <w:keepNext/>
        <w:ind w:left="60" w:right="60"/>
        <w:rPr>
          <w:rFonts w:ascii="Times New Roman" w:hAnsi="Times New Roman" w:cs="Times New Roman"/>
        </w:rPr>
      </w:pPr>
      <w:r w:rsidRPr="00801F92">
        <w:rPr>
          <w:rFonts w:ascii="Times New Roman" w:hAnsi="Times New Roman" w:cs="Times New Roman"/>
        </w:rPr>
        <w:br w:type="page"/>
      </w:r>
    </w:p>
    <w:p w14:paraId="16896C41" w14:textId="773FBB64" w:rsidR="00BE27A2" w:rsidRPr="00801F92" w:rsidRDefault="00FF6CE7" w:rsidP="00801F92">
      <w:pPr>
        <w:pStyle w:val="TableCaption"/>
        <w:keepNext/>
        <w:ind w:right="60"/>
        <w:jc w:val="left"/>
        <w:rPr>
          <w:rFonts w:ascii="Times New Roman" w:hAnsi="Times New Roman" w:cs="Times New Roman"/>
          <w:b w:val="0"/>
          <w:bCs/>
          <w:i w:val="0"/>
          <w:iCs/>
        </w:rPr>
      </w:pPr>
      <w:r w:rsidRPr="00801F92">
        <w:rPr>
          <w:rFonts w:ascii="Times New Roman" w:hAnsi="Times New Roman" w:cs="Times New Roman"/>
          <w:i w:val="0"/>
          <w:iCs/>
        </w:rPr>
        <w:lastRenderedPageBreak/>
        <w:t>Table S10.</w:t>
      </w:r>
      <w:r w:rsidRPr="00801F92">
        <w:rPr>
          <w:rFonts w:ascii="Times New Roman" w:hAnsi="Times New Roman" w:cs="Times New Roman"/>
          <w:b w:val="0"/>
          <w:bCs/>
          <w:i w:val="0"/>
          <w:iCs/>
        </w:rPr>
        <w:t xml:space="preserve"> Alternative exposure definitions separating HOLC grade C from grade D, fully adjusted models, National Longitudinal Study of Adolescent to Adult Health, United States, 1994 to 2018 (n = 7,758)</w:t>
      </w:r>
    </w:p>
    <w:tbl>
      <w:tblPr>
        <w:tblW w:w="8314" w:type="dxa"/>
        <w:jc w:val="center"/>
        <w:tblLayout w:type="fixed"/>
        <w:tblCellMar>
          <w:left w:w="0" w:type="dxa"/>
          <w:right w:w="0" w:type="dxa"/>
        </w:tblCellMar>
        <w:tblLook w:val="0420" w:firstRow="1" w:lastRow="0" w:firstColumn="0" w:lastColumn="0" w:noHBand="0" w:noVBand="1"/>
      </w:tblPr>
      <w:tblGrid>
        <w:gridCol w:w="3027"/>
        <w:gridCol w:w="2505"/>
        <w:gridCol w:w="1744"/>
        <w:gridCol w:w="1038"/>
      </w:tblGrid>
      <w:tr w:rsidR="00BE27A2" w:rsidRPr="00801F92" w14:paraId="16896C46" w14:textId="77777777">
        <w:trPr>
          <w:trHeight w:val="614"/>
          <w:tblHeader/>
          <w:jc w:val="center"/>
        </w:trPr>
        <w:tc>
          <w:tcPr>
            <w:tcW w:w="3027" w:type="dxa"/>
            <w:tcBorders>
              <w:top w:val="single" w:sz="12" w:space="0" w:color="666666"/>
              <w:bottom w:val="single" w:sz="12" w:space="0" w:color="666666"/>
            </w:tcBorders>
            <w:shd w:val="clear" w:color="auto" w:fill="FFFFFF"/>
            <w:vAlign w:val="center"/>
          </w:tcPr>
          <w:p w14:paraId="16896C42"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Exposure</w:t>
            </w:r>
          </w:p>
        </w:tc>
        <w:tc>
          <w:tcPr>
            <w:tcW w:w="2505" w:type="dxa"/>
            <w:tcBorders>
              <w:top w:val="single" w:sz="12" w:space="0" w:color="666666"/>
              <w:bottom w:val="single" w:sz="12" w:space="0" w:color="666666"/>
            </w:tcBorders>
            <w:shd w:val="clear" w:color="auto" w:fill="FFFFFF"/>
            <w:vAlign w:val="center"/>
          </w:tcPr>
          <w:p w14:paraId="16896C43"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Weighted prevalence, %</w:t>
            </w:r>
          </w:p>
        </w:tc>
        <w:tc>
          <w:tcPr>
            <w:tcW w:w="1744" w:type="dxa"/>
            <w:tcBorders>
              <w:top w:val="single" w:sz="12" w:space="0" w:color="666666"/>
              <w:bottom w:val="single" w:sz="12" w:space="0" w:color="666666"/>
            </w:tcBorders>
            <w:shd w:val="clear" w:color="auto" w:fill="FFFFFF"/>
            <w:vAlign w:val="center"/>
          </w:tcPr>
          <w:p w14:paraId="16896C44"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OR (95% CI)</w:t>
            </w:r>
          </w:p>
        </w:tc>
        <w:tc>
          <w:tcPr>
            <w:tcW w:w="1038" w:type="dxa"/>
            <w:tcBorders>
              <w:top w:val="single" w:sz="12" w:space="0" w:color="666666"/>
              <w:bottom w:val="single" w:sz="12" w:space="0" w:color="666666"/>
            </w:tcBorders>
            <w:shd w:val="clear" w:color="auto" w:fill="FFFFFF"/>
            <w:vAlign w:val="center"/>
          </w:tcPr>
          <w:p w14:paraId="16896C45" w14:textId="77777777" w:rsidR="00BE27A2" w:rsidRPr="00801F92" w:rsidRDefault="00FF6CE7" w:rsidP="002E4329">
            <w:pPr>
              <w:ind w:left="100" w:right="100"/>
              <w:rPr>
                <w:rFonts w:ascii="Times New Roman" w:eastAsia="Times New Roman" w:hAnsi="Times New Roman" w:cs="Times New Roman"/>
                <w:b/>
                <w:color w:val="000000"/>
                <w:sz w:val="20"/>
                <w:szCs w:val="20"/>
              </w:rPr>
            </w:pPr>
            <w:r w:rsidRPr="00801F92">
              <w:rPr>
                <w:rFonts w:ascii="Times New Roman" w:eastAsia="Times New Roman" w:hAnsi="Times New Roman" w:cs="Times New Roman"/>
                <w:b/>
                <w:color w:val="000000"/>
                <w:sz w:val="20"/>
                <w:szCs w:val="20"/>
              </w:rPr>
              <w:t>P value</w:t>
            </w:r>
          </w:p>
        </w:tc>
      </w:tr>
      <w:tr w:rsidR="00BE27A2" w:rsidRPr="00801F92" w14:paraId="16896C4B" w14:textId="77777777">
        <w:trPr>
          <w:trHeight w:val="584"/>
          <w:jc w:val="center"/>
        </w:trPr>
        <w:tc>
          <w:tcPr>
            <w:tcW w:w="3027" w:type="dxa"/>
            <w:tcBorders>
              <w:top w:val="single" w:sz="12" w:space="0" w:color="666666"/>
            </w:tcBorders>
            <w:shd w:val="clear" w:color="auto" w:fill="FFFFFF"/>
            <w:vAlign w:val="center"/>
          </w:tcPr>
          <w:p w14:paraId="16896C4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Ever grade C or D (primary)</w:t>
            </w:r>
          </w:p>
        </w:tc>
        <w:tc>
          <w:tcPr>
            <w:tcW w:w="2505" w:type="dxa"/>
            <w:tcBorders>
              <w:top w:val="single" w:sz="12" w:space="0" w:color="666666"/>
            </w:tcBorders>
            <w:shd w:val="clear" w:color="auto" w:fill="FFFFFF"/>
            <w:vAlign w:val="center"/>
          </w:tcPr>
          <w:p w14:paraId="16896C4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79.5</w:t>
            </w:r>
          </w:p>
        </w:tc>
        <w:tc>
          <w:tcPr>
            <w:tcW w:w="1744" w:type="dxa"/>
            <w:tcBorders>
              <w:top w:val="single" w:sz="12" w:space="0" w:color="666666"/>
            </w:tcBorders>
            <w:shd w:val="clear" w:color="auto" w:fill="FFFFFF"/>
            <w:vAlign w:val="center"/>
          </w:tcPr>
          <w:p w14:paraId="16896C4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1.17 (1.00, 1.37)</w:t>
            </w:r>
          </w:p>
        </w:tc>
        <w:tc>
          <w:tcPr>
            <w:tcW w:w="1038" w:type="dxa"/>
            <w:tcBorders>
              <w:top w:val="single" w:sz="12" w:space="0" w:color="666666"/>
            </w:tcBorders>
            <w:shd w:val="clear" w:color="auto" w:fill="FFFFFF"/>
            <w:vAlign w:val="center"/>
          </w:tcPr>
          <w:p w14:paraId="16896C4A"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0.048</w:t>
            </w:r>
          </w:p>
        </w:tc>
      </w:tr>
      <w:tr w:rsidR="00BE27A2" w:rsidRPr="00801F92" w14:paraId="16896C50" w14:textId="77777777">
        <w:trPr>
          <w:trHeight w:val="584"/>
          <w:jc w:val="center"/>
        </w:trPr>
        <w:tc>
          <w:tcPr>
            <w:tcW w:w="3027" w:type="dxa"/>
            <w:shd w:val="clear" w:color="auto" w:fill="FFFFFF"/>
            <w:vAlign w:val="center"/>
          </w:tcPr>
          <w:p w14:paraId="16896C4C"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Ever grade D</w:t>
            </w:r>
          </w:p>
        </w:tc>
        <w:tc>
          <w:tcPr>
            <w:tcW w:w="2505" w:type="dxa"/>
            <w:shd w:val="clear" w:color="auto" w:fill="FFFFFF"/>
            <w:vAlign w:val="center"/>
          </w:tcPr>
          <w:p w14:paraId="16896C4D"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42.5</w:t>
            </w:r>
          </w:p>
        </w:tc>
        <w:tc>
          <w:tcPr>
            <w:tcW w:w="1744" w:type="dxa"/>
            <w:shd w:val="clear" w:color="auto" w:fill="FFFFFF"/>
            <w:vAlign w:val="center"/>
          </w:tcPr>
          <w:p w14:paraId="16896C4E"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1.01 (0.88, 1.16)</w:t>
            </w:r>
          </w:p>
        </w:tc>
        <w:tc>
          <w:tcPr>
            <w:tcW w:w="1038" w:type="dxa"/>
            <w:shd w:val="clear" w:color="auto" w:fill="FFFFFF"/>
            <w:vAlign w:val="center"/>
          </w:tcPr>
          <w:p w14:paraId="16896C4F"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0.873</w:t>
            </w:r>
          </w:p>
        </w:tc>
      </w:tr>
      <w:tr w:rsidR="00BE27A2" w:rsidRPr="00801F92" w14:paraId="16896C55" w14:textId="77777777">
        <w:trPr>
          <w:trHeight w:val="584"/>
          <w:jc w:val="center"/>
        </w:trPr>
        <w:tc>
          <w:tcPr>
            <w:tcW w:w="3027" w:type="dxa"/>
            <w:shd w:val="clear" w:color="auto" w:fill="FFFFFF"/>
            <w:vAlign w:val="center"/>
          </w:tcPr>
          <w:p w14:paraId="16896C51"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Grade C worst (vs never C or D)</w:t>
            </w:r>
          </w:p>
        </w:tc>
        <w:tc>
          <w:tcPr>
            <w:tcW w:w="2505" w:type="dxa"/>
            <w:shd w:val="clear" w:color="auto" w:fill="FFFFFF"/>
            <w:vAlign w:val="center"/>
          </w:tcPr>
          <w:p w14:paraId="16896C52"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37.0</w:t>
            </w:r>
          </w:p>
        </w:tc>
        <w:tc>
          <w:tcPr>
            <w:tcW w:w="1744" w:type="dxa"/>
            <w:shd w:val="clear" w:color="auto" w:fill="FFFFFF"/>
            <w:vAlign w:val="center"/>
          </w:tcPr>
          <w:p w14:paraId="16896C53"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1.21 (1.00, 1.45)</w:t>
            </w:r>
          </w:p>
        </w:tc>
        <w:tc>
          <w:tcPr>
            <w:tcW w:w="1038" w:type="dxa"/>
            <w:shd w:val="clear" w:color="auto" w:fill="FFFFFF"/>
            <w:vAlign w:val="center"/>
          </w:tcPr>
          <w:p w14:paraId="16896C54"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0.044</w:t>
            </w:r>
          </w:p>
        </w:tc>
      </w:tr>
      <w:tr w:rsidR="00BE27A2" w:rsidRPr="00801F92" w14:paraId="16896C5A" w14:textId="77777777">
        <w:trPr>
          <w:trHeight w:val="599"/>
          <w:jc w:val="center"/>
        </w:trPr>
        <w:tc>
          <w:tcPr>
            <w:tcW w:w="3027" w:type="dxa"/>
            <w:tcBorders>
              <w:bottom w:val="single" w:sz="12" w:space="0" w:color="666666"/>
            </w:tcBorders>
            <w:shd w:val="clear" w:color="auto" w:fill="FFFFFF"/>
            <w:vAlign w:val="center"/>
          </w:tcPr>
          <w:p w14:paraId="16896C56"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Ever grade D (vs never C or D)</w:t>
            </w:r>
          </w:p>
        </w:tc>
        <w:tc>
          <w:tcPr>
            <w:tcW w:w="2505" w:type="dxa"/>
            <w:tcBorders>
              <w:bottom w:val="single" w:sz="12" w:space="0" w:color="666666"/>
            </w:tcBorders>
            <w:shd w:val="clear" w:color="auto" w:fill="FFFFFF"/>
            <w:vAlign w:val="center"/>
          </w:tcPr>
          <w:p w14:paraId="16896C57"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42.5</w:t>
            </w:r>
          </w:p>
        </w:tc>
        <w:tc>
          <w:tcPr>
            <w:tcW w:w="1744" w:type="dxa"/>
            <w:tcBorders>
              <w:bottom w:val="single" w:sz="12" w:space="0" w:color="666666"/>
            </w:tcBorders>
            <w:shd w:val="clear" w:color="auto" w:fill="FFFFFF"/>
            <w:vAlign w:val="center"/>
          </w:tcPr>
          <w:p w14:paraId="16896C58"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1.14 (0.97, 1.35)</w:t>
            </w:r>
          </w:p>
        </w:tc>
        <w:tc>
          <w:tcPr>
            <w:tcW w:w="1038" w:type="dxa"/>
            <w:tcBorders>
              <w:bottom w:val="single" w:sz="12" w:space="0" w:color="666666"/>
            </w:tcBorders>
            <w:shd w:val="clear" w:color="auto" w:fill="FFFFFF"/>
            <w:vAlign w:val="center"/>
          </w:tcPr>
          <w:p w14:paraId="16896C59" w14:textId="77777777" w:rsidR="00BE27A2" w:rsidRPr="00801F92" w:rsidRDefault="00FF6CE7" w:rsidP="002E4329">
            <w:pPr>
              <w:ind w:left="100" w:right="100"/>
              <w:rPr>
                <w:rFonts w:ascii="Times New Roman" w:eastAsia="Times New Roman" w:hAnsi="Times New Roman" w:cs="Times New Roman"/>
                <w:color w:val="000000"/>
                <w:sz w:val="20"/>
                <w:szCs w:val="20"/>
              </w:rPr>
            </w:pPr>
            <w:r w:rsidRPr="00801F92">
              <w:rPr>
                <w:rFonts w:ascii="Times New Roman" w:eastAsia="Times New Roman" w:hAnsi="Times New Roman" w:cs="Times New Roman"/>
                <w:color w:val="000000"/>
                <w:sz w:val="20"/>
                <w:szCs w:val="20"/>
              </w:rPr>
              <w:t>0.119</w:t>
            </w:r>
          </w:p>
        </w:tc>
      </w:tr>
      <w:tr w:rsidR="00BE27A2" w:rsidRPr="00801F92" w14:paraId="16896C5C" w14:textId="77777777">
        <w:trPr>
          <w:trHeight w:val="360"/>
          <w:jc w:val="center"/>
        </w:trPr>
        <w:tc>
          <w:tcPr>
            <w:tcW w:w="8314" w:type="dxa"/>
            <w:gridSpan w:val="4"/>
            <w:tcBorders>
              <w:top w:val="single" w:sz="12" w:space="0" w:color="666666"/>
            </w:tcBorders>
            <w:shd w:val="clear" w:color="auto" w:fill="FFFFFF"/>
            <w:vAlign w:val="center"/>
          </w:tcPr>
          <w:p w14:paraId="16896C5B"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Each OR is from a survey-weighted logistic regression with the Model 5 covariate set.</w:t>
            </w:r>
          </w:p>
        </w:tc>
      </w:tr>
      <w:tr w:rsidR="00BE27A2" w:rsidRPr="00801F92" w14:paraId="16896C5E" w14:textId="77777777">
        <w:trPr>
          <w:trHeight w:val="360"/>
          <w:jc w:val="center"/>
        </w:trPr>
        <w:tc>
          <w:tcPr>
            <w:tcW w:w="8314" w:type="dxa"/>
            <w:gridSpan w:val="4"/>
            <w:shd w:val="clear" w:color="auto" w:fill="FFFFFF"/>
            <w:vAlign w:val="center"/>
          </w:tcPr>
          <w:p w14:paraId="16896C5D" w14:textId="77777777" w:rsidR="00BE27A2" w:rsidRPr="00801F92" w:rsidRDefault="00FF6CE7" w:rsidP="002E4329">
            <w:pPr>
              <w:ind w:left="100" w:right="100"/>
              <w:rPr>
                <w:rFonts w:ascii="Times New Roman" w:eastAsia="Times New Roman" w:hAnsi="Times New Roman" w:cs="Times New Roman"/>
                <w:color w:val="000000"/>
                <w:sz w:val="18"/>
                <w:szCs w:val="18"/>
              </w:rPr>
            </w:pPr>
            <w:r w:rsidRPr="00801F92">
              <w:rPr>
                <w:rFonts w:ascii="Times New Roman" w:eastAsia="Times New Roman" w:hAnsi="Times New Roman" w:cs="Times New Roman"/>
                <w:color w:val="000000"/>
                <w:sz w:val="18"/>
                <w:szCs w:val="18"/>
              </w:rPr>
              <w:t>Rows 1-2 use binary exposures with all other respondents as referent; rows 3-4 are from a single three-level model (never C or D as referent).</w:t>
            </w:r>
          </w:p>
        </w:tc>
      </w:tr>
    </w:tbl>
    <w:p w14:paraId="16896C5F" w14:textId="77777777" w:rsidR="00BE27A2" w:rsidRPr="00801F92" w:rsidRDefault="00BE27A2" w:rsidP="002E4329">
      <w:pPr>
        <w:rPr>
          <w:rFonts w:ascii="Times New Roman" w:hAnsi="Times New Roman" w:cs="Times New Roman"/>
        </w:rPr>
      </w:pPr>
    </w:p>
    <w:sectPr w:rsidR="00BE27A2" w:rsidRPr="00801F92">
      <w:footerReference w:type="even" r:id="rId9"/>
      <w:footerReference w:type="default" r:id="rId10"/>
      <w:pgSz w:w="11906" w:h="16838"/>
      <w:pgMar w:top="141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2235F6" w14:textId="77777777" w:rsidR="00A0332E" w:rsidRDefault="00A0332E" w:rsidP="00167E8B">
      <w:r>
        <w:separator/>
      </w:r>
    </w:p>
  </w:endnote>
  <w:endnote w:type="continuationSeparator" w:id="0">
    <w:p w14:paraId="4B24A322" w14:textId="77777777" w:rsidR="00A0332E" w:rsidRDefault="00A0332E" w:rsidP="0016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76793043"/>
      <w:docPartObj>
        <w:docPartGallery w:val="Page Numbers (Bottom of Page)"/>
        <w:docPartUnique/>
      </w:docPartObj>
    </w:sdtPr>
    <w:sdtContent>
      <w:p w14:paraId="682C9ED8" w14:textId="4FF9BD8F" w:rsidR="00167E8B" w:rsidRDefault="00167E8B" w:rsidP="00167E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9825612" w14:textId="77777777" w:rsidR="00167E8B" w:rsidRDefault="00167E8B" w:rsidP="00167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3189373"/>
      <w:docPartObj>
        <w:docPartGallery w:val="Page Numbers (Bottom of Page)"/>
        <w:docPartUnique/>
      </w:docPartObj>
    </w:sdtPr>
    <w:sdtContent>
      <w:p w14:paraId="2BD0E8E7" w14:textId="3437E85B" w:rsidR="00167E8B" w:rsidRDefault="00167E8B" w:rsidP="00167E8B">
        <w:pPr>
          <w:pStyle w:val="Footer"/>
          <w:framePr w:wrap="none" w:vAnchor="text" w:hAnchor="page" w:x="10348" w:y="-62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6EE81FA" w14:textId="77777777" w:rsidR="00167E8B" w:rsidRDefault="00167E8B" w:rsidP="00167E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B368B4" w14:textId="77777777" w:rsidR="00A0332E" w:rsidRDefault="00A0332E" w:rsidP="00167E8B">
      <w:r>
        <w:separator/>
      </w:r>
    </w:p>
  </w:footnote>
  <w:footnote w:type="continuationSeparator" w:id="0">
    <w:p w14:paraId="2B169183" w14:textId="77777777" w:rsidR="00A0332E" w:rsidRDefault="00A0332E" w:rsidP="00167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C65157"/>
    <w:multiLevelType w:val="multilevel"/>
    <w:tmpl w:val="0409001F"/>
    <w:lvl w:ilvl="0">
      <w:start w:val="1"/>
      <w:numFmt w:val="decimal"/>
      <w:pStyle w:val="Heading1"/>
      <w:lvlText w:val="%1."/>
      <w:lvlJc w:val="left"/>
      <w:pPr>
        <w:tabs>
          <w:tab w:val="num" w:pos="0"/>
        </w:tabs>
        <w:ind w:left="360" w:hanging="360"/>
      </w:pPr>
    </w:lvl>
    <w:lvl w:ilvl="1">
      <w:start w:val="1"/>
      <w:numFmt w:val="decimal"/>
      <w:pStyle w:val="Heading2"/>
      <w:lvlText w:val="%1.%2."/>
      <w:lvlJc w:val="left"/>
      <w:pPr>
        <w:tabs>
          <w:tab w:val="num" w:pos="0"/>
        </w:tabs>
        <w:ind w:left="792" w:hanging="432"/>
      </w:pPr>
    </w:lvl>
    <w:lvl w:ilvl="2">
      <w:start w:val="1"/>
      <w:numFmt w:val="decimal"/>
      <w:pStyle w:val="Heading3"/>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60D04964"/>
    <w:multiLevelType w:val="multilevel"/>
    <w:tmpl w:val="8B40AA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36275328">
    <w:abstractNumId w:val="0"/>
  </w:num>
  <w:num w:numId="2" w16cid:durableId="191315134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A2"/>
    <w:rsid w:val="00167E8B"/>
    <w:rsid w:val="002702FB"/>
    <w:rsid w:val="002E4329"/>
    <w:rsid w:val="00336853"/>
    <w:rsid w:val="003874BB"/>
    <w:rsid w:val="006E38C3"/>
    <w:rsid w:val="00777081"/>
    <w:rsid w:val="00801F92"/>
    <w:rsid w:val="00837C35"/>
    <w:rsid w:val="008A2003"/>
    <w:rsid w:val="00A0332E"/>
    <w:rsid w:val="00BE27A2"/>
    <w:rsid w:val="00F114A9"/>
    <w:rsid w:val="00FC7601"/>
    <w:rsid w:val="00FF6CE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ecimalSymbol w:val="."/>
  <w:listSeparator w:val=","/>
  <w14:docId w14:val="16896A7B"/>
  <w15:docId w15:val="{FD97753B-291B-6946-9BAA-BC8C3833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EastAsia" w:hAnsi="Calibri" w:cstheme="minorBidi"/>
        <w:sz w:val="22"/>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E65"/>
    <w:pPr>
      <w:keepNext/>
      <w:keepLines/>
      <w:numPr>
        <w:numId w:val="1"/>
      </w:numPr>
      <w:pBdr>
        <w:bottom w:val="single" w:sz="4" w:space="1" w:color="000000"/>
      </w:pBdr>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rsid w:val="00362E65"/>
    <w:pPr>
      <w:keepNext/>
      <w:keepLines/>
      <w:numPr>
        <w:ilvl w:val="1"/>
        <w:numId w:val="1"/>
      </w:num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62E65"/>
    <w:pPr>
      <w:keepNext/>
      <w:keepLines/>
      <w:numPr>
        <w:ilvl w:val="2"/>
        <w:numId w:val="1"/>
      </w:numPr>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1">
    <w:name w:val="Strong1"/>
    <w:basedOn w:val="DefaultParagraphFont"/>
    <w:uiPriority w:val="1"/>
    <w:qFormat/>
    <w:rsid w:val="007B3E96"/>
    <w:rPr>
      <w:b/>
    </w:rPr>
  </w:style>
  <w:style w:type="character" w:customStyle="1" w:styleId="Heading1Char">
    <w:name w:val="Heading 1 Char"/>
    <w:basedOn w:val="DefaultParagraphFont"/>
    <w:link w:val="Heading1"/>
    <w:uiPriority w:val="9"/>
    <w:qFormat/>
    <w:rsid w:val="00362E65"/>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qFormat/>
    <w:rsid w:val="00362E6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qFormat/>
    <w:rsid w:val="00362E65"/>
    <w:rPr>
      <w:rFonts w:asciiTheme="majorHAnsi" w:eastAsiaTheme="majorEastAsia" w:hAnsiTheme="majorHAnsi" w:cstheme="majorBidi"/>
      <w:b/>
      <w:bCs/>
    </w:rPr>
  </w:style>
  <w:style w:type="character" w:customStyle="1" w:styleId="BalloonTextChar">
    <w:name w:val="Balloon Text Char"/>
    <w:basedOn w:val="DefaultParagraphFont"/>
    <w:link w:val="BalloonText"/>
    <w:uiPriority w:val="99"/>
    <w:semiHidden/>
    <w:qFormat/>
    <w:rsid w:val="00FB63E7"/>
    <w:rPr>
      <w:rFonts w:ascii="Lucida Grande" w:hAnsi="Lucida Grande"/>
      <w:sz w:val="18"/>
      <w:szCs w:val="18"/>
    </w:rPr>
  </w:style>
  <w:style w:type="character" w:customStyle="1" w:styleId="referenceid">
    <w:name w:val="reference_id"/>
    <w:basedOn w:val="DefaultParagraphFont"/>
    <w:uiPriority w:val="1"/>
    <w:qFormat/>
    <w:rsid w:val="00457CF1"/>
    <w:rPr>
      <w:vertAlign w:val="superscript"/>
    </w:rPr>
  </w:style>
  <w:style w:type="paragraph" w:customStyle="1" w:styleId="Heading">
    <w:name w:val="Heading"/>
    <w:basedOn w:val="Normal"/>
    <w:next w:val="BodyText"/>
    <w:qFormat/>
    <w:pPr>
      <w:keepNext/>
      <w:spacing w:before="240" w:after="120"/>
    </w:pPr>
    <w:rPr>
      <w:rFonts w:ascii="Liberation Sans" w:eastAsia="Arial Unicode MS"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rPr>
  </w:style>
  <w:style w:type="paragraph" w:customStyle="1" w:styleId="Index">
    <w:name w:val="Index"/>
    <w:basedOn w:val="Normal"/>
    <w:qFormat/>
    <w:pPr>
      <w:suppressLineNumbers/>
    </w:pPr>
    <w:rPr>
      <w:rFonts w:cs="Arial Unicode MS"/>
    </w:rPr>
  </w:style>
  <w:style w:type="paragraph" w:customStyle="1" w:styleId="centered">
    <w:name w:val="centered"/>
    <w:basedOn w:val="Normal"/>
    <w:qFormat/>
    <w:rsid w:val="001D75AB"/>
    <w:pPr>
      <w:jc w:val="center"/>
    </w:p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paragraph" w:styleId="TOC1">
    <w:name w:val="toc 1"/>
    <w:basedOn w:val="Normal"/>
    <w:next w:val="Normal"/>
    <w:autoRedefine/>
    <w:uiPriority w:val="39"/>
    <w:unhideWhenUsed/>
    <w:rsid w:val="00FB63E7"/>
    <w:pPr>
      <w:spacing w:after="100"/>
    </w:pPr>
  </w:style>
  <w:style w:type="paragraph" w:styleId="TOC2">
    <w:name w:val="toc 2"/>
    <w:basedOn w:val="Normal"/>
    <w:next w:val="Normal"/>
    <w:autoRedefine/>
    <w:uiPriority w:val="39"/>
    <w:unhideWhenUsed/>
    <w:rsid w:val="00FB63E7"/>
    <w:pPr>
      <w:spacing w:after="100"/>
      <w:ind w:left="240"/>
    </w:pPr>
  </w:style>
  <w:style w:type="paragraph" w:styleId="BalloonText">
    <w:name w:val="Balloon Text"/>
    <w:basedOn w:val="Normal"/>
    <w:link w:val="BalloonTextChar"/>
    <w:uiPriority w:val="99"/>
    <w:semiHidden/>
    <w:unhideWhenUsed/>
    <w:qFormat/>
    <w:rsid w:val="00FB63E7"/>
    <w:rPr>
      <w:rFonts w:ascii="Lucida Grande" w:hAnsi="Lucida Grande"/>
      <w:sz w:val="18"/>
      <w:szCs w:val="18"/>
    </w:rPr>
  </w:style>
  <w:style w:type="paragraph" w:customStyle="1" w:styleId="graphictitle">
    <w:name w:val="graphic title"/>
    <w:basedOn w:val="ImageCaption"/>
    <w:next w:val="Normal"/>
    <w:qFormat/>
    <w:rsid w:val="0035500D"/>
  </w:style>
  <w:style w:type="paragraph" w:customStyle="1" w:styleId="tabletitle">
    <w:name w:val="table title"/>
    <w:basedOn w:val="TableCaption"/>
    <w:next w:val="Normal"/>
    <w:qFormat/>
    <w:rsid w:val="00901463"/>
  </w:style>
  <w:style w:type="table" w:customStyle="1" w:styleId="tabletemplate">
    <w:name w:val="table_template"/>
    <w:basedOn w:val="TableNormal"/>
    <w:uiPriority w:val="59"/>
    <w:rsid w:val="00F12158"/>
    <w:pPr>
      <w:jc w:val="right"/>
    </w:pPr>
    <w:tblPr>
      <w:tblBorders>
        <w:top w:val="single" w:sz="8" w:space="0" w:color="auto"/>
        <w:bottom w:val="single" w:sz="8" w:space="0" w:color="auto"/>
        <w:insideH w:val="single" w:sz="8" w:space="0" w:color="auto"/>
      </w:tblBorders>
    </w:tbl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TableProfessional">
    <w:name w:val="Table Professional"/>
    <w:basedOn w:val="Table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rPr>
      <w:tblPr/>
      <w:tcPr>
        <w:shd w:val="solid" w:color="000000" w:fill="FFFFFF"/>
      </w:tcPr>
    </w:tblStylePr>
  </w:style>
  <w:style w:type="paragraph" w:styleId="Footer">
    <w:name w:val="footer"/>
    <w:basedOn w:val="Normal"/>
    <w:link w:val="FooterChar"/>
    <w:uiPriority w:val="99"/>
    <w:unhideWhenUsed/>
    <w:rsid w:val="00167E8B"/>
    <w:pPr>
      <w:tabs>
        <w:tab w:val="center" w:pos="4680"/>
        <w:tab w:val="right" w:pos="9360"/>
      </w:tabs>
    </w:pPr>
  </w:style>
  <w:style w:type="character" w:customStyle="1" w:styleId="FooterChar">
    <w:name w:val="Footer Char"/>
    <w:basedOn w:val="DefaultParagraphFont"/>
    <w:link w:val="Footer"/>
    <w:uiPriority w:val="99"/>
    <w:rsid w:val="00167E8B"/>
  </w:style>
  <w:style w:type="character" w:styleId="PageNumber">
    <w:name w:val="page number"/>
    <w:basedOn w:val="DefaultParagraphFont"/>
    <w:uiPriority w:val="99"/>
    <w:semiHidden/>
    <w:unhideWhenUsed/>
    <w:rsid w:val="00167E8B"/>
  </w:style>
  <w:style w:type="paragraph" w:styleId="Header">
    <w:name w:val="header"/>
    <w:basedOn w:val="Normal"/>
    <w:link w:val="HeaderChar"/>
    <w:uiPriority w:val="99"/>
    <w:unhideWhenUsed/>
    <w:rsid w:val="00167E8B"/>
    <w:pPr>
      <w:tabs>
        <w:tab w:val="center" w:pos="4680"/>
        <w:tab w:val="right" w:pos="9360"/>
      </w:tabs>
    </w:pPr>
  </w:style>
  <w:style w:type="character" w:customStyle="1" w:styleId="HeaderChar">
    <w:name w:val="Header Char"/>
    <w:basedOn w:val="DefaultParagraphFont"/>
    <w:link w:val="Header"/>
    <w:uiPriority w:val="99"/>
    <w:rsid w:val="00167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2190</Words>
  <Characters>12484</Characters>
  <Application>Microsoft Office Word</Application>
  <DocSecurity>0</DocSecurity>
  <Lines>104</Lines>
  <Paragraphs>29</Paragraphs>
  <ScaleCrop>false</ScaleCrop>
  <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Muntasir Masum</cp:lastModifiedBy>
  <cp:revision>17</cp:revision>
  <dcterms:created xsi:type="dcterms:W3CDTF">2017-02-28T11:18:00Z</dcterms:created>
  <dcterms:modified xsi:type="dcterms:W3CDTF">2026-07-14T02:29:00Z</dcterms:modified>
  <dc:language>en-US</dc:language>
</cp:coreProperties>
</file>