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CBBC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Figure S1. Module robustness and extended cross-cohort summaries.</w:t>
      </w:r>
    </w:p>
    <w:p w14:paraId="2401DAF1" w14:textId="77777777" w:rsidR="008A397A" w:rsidRPr="00227330" w:rsidRDefault="008A397A" w:rsidP="008A397A">
      <w:pPr>
        <w:pStyle w:val="p2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227330">
        <w:rPr>
          <w:rFonts w:ascii="Times New Roman" w:hAnsi="Times New Roman" w:cs="Times New Roman"/>
          <w:color w:val="000000" w:themeColor="text1"/>
        </w:rPr>
        <w:t xml:space="preserve">, Leave-one-taxon-out analysis evaluating whether the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</w:t>
      </w:r>
      <w:r w:rsidRPr="00227330">
        <w:rPr>
          <w:rFonts w:ascii="Times New Roman" w:hAnsi="Times New Roman" w:cs="Times New Roman"/>
          <w:color w:val="000000" w:themeColor="text1"/>
        </w:rPr>
        <w:t xml:space="preserve">-associated module–BMI association was driven by any single module member. </w:t>
      </w:r>
      <w:r w:rsidRPr="00227330">
        <w:rPr>
          <w:rStyle w:val="s1"/>
          <w:rFonts w:ascii="Times New Roman" w:hAnsi="Times New Roman" w:cs="Times New Roman"/>
          <w:b/>
          <w:bCs/>
          <w:color w:val="000000" w:themeColor="text1"/>
        </w:rPr>
        <w:t>B</w:t>
      </w:r>
      <w:r w:rsidRPr="00227330">
        <w:rPr>
          <w:rFonts w:ascii="Times New Roman" w:hAnsi="Times New Roman" w:cs="Times New Roman"/>
          <w:color w:val="000000" w:themeColor="text1"/>
        </w:rPr>
        <w:t xml:space="preserve">, Extended forest plot summarizing cross-cohort associations of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</w:t>
      </w:r>
      <w:r w:rsidRPr="00227330">
        <w:rPr>
          <w:rFonts w:ascii="Times New Roman" w:hAnsi="Times New Roman" w:cs="Times New Roman"/>
          <w:color w:val="000000" w:themeColor="text1"/>
        </w:rPr>
        <w:t xml:space="preserve">-related features with BMI. </w:t>
      </w:r>
      <w:r w:rsidRPr="00227330">
        <w:rPr>
          <w:rStyle w:val="s1"/>
          <w:rFonts w:ascii="Times New Roman" w:hAnsi="Times New Roman" w:cs="Times New Roman"/>
          <w:b/>
          <w:bCs/>
          <w:color w:val="000000" w:themeColor="text1"/>
        </w:rPr>
        <w:t>C</w:t>
      </w:r>
      <w:r w:rsidRPr="00227330">
        <w:rPr>
          <w:rFonts w:ascii="Times New Roman" w:hAnsi="Times New Roman" w:cs="Times New Roman"/>
          <w:color w:val="000000" w:themeColor="text1"/>
        </w:rPr>
        <w:t>, Faceted forest plot showing cohort-specific association patterns across microbiome feature levels.</w:t>
      </w:r>
    </w:p>
    <w:p w14:paraId="76391BE6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Figure S2. Extended pathway-level associations with the Akkermansia-associated module.</w:t>
      </w:r>
    </w:p>
    <w:p w14:paraId="07F04A48" w14:textId="77777777" w:rsidR="008A397A" w:rsidRPr="00227330" w:rsidRDefault="008A397A" w:rsidP="008A397A">
      <w:pPr>
        <w:pStyle w:val="p2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color w:val="000000" w:themeColor="text1"/>
        </w:rPr>
        <w:t xml:space="preserve">Heatmap showing extended pathway-level associations with the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</w:t>
      </w:r>
      <w:r w:rsidRPr="00227330">
        <w:rPr>
          <w:rFonts w:ascii="Times New Roman" w:hAnsi="Times New Roman" w:cs="Times New Roman"/>
          <w:color w:val="000000" w:themeColor="text1"/>
        </w:rPr>
        <w:t>-associated microbial module. Pathways were selected from the broader module-associated pathway landscape beyond the core energy/carbon and amino acid–fermentation axes.</w:t>
      </w:r>
    </w:p>
    <w:p w14:paraId="285E6C39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Figure S3. Validation of the amino acid–fermentation axis across human cohorts.</w:t>
      </w:r>
    </w:p>
    <w:p w14:paraId="496A85CC" w14:textId="77777777" w:rsidR="008A397A" w:rsidRPr="00227330" w:rsidRDefault="008A397A" w:rsidP="008A397A">
      <w:pPr>
        <w:pStyle w:val="p2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b/>
          <w:bCs/>
          <w:color w:val="000000" w:themeColor="text1"/>
        </w:rPr>
        <w:t>A–B</w:t>
      </w:r>
      <w:r w:rsidRPr="00227330">
        <w:rPr>
          <w:rFonts w:ascii="Times New Roman" w:hAnsi="Times New Roman" w:cs="Times New Roman"/>
          <w:color w:val="000000" w:themeColor="text1"/>
        </w:rPr>
        <w:t xml:space="preserve">, Associations of the amino acid–fermentation axis with the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</w:t>
      </w:r>
      <w:r w:rsidRPr="00227330">
        <w:rPr>
          <w:rFonts w:ascii="Times New Roman" w:hAnsi="Times New Roman" w:cs="Times New Roman"/>
          <w:color w:val="000000" w:themeColor="text1"/>
        </w:rPr>
        <w:t xml:space="preserve">-associated module and BMI in the AsnicarF_2021 discovery cohort. </w:t>
      </w:r>
      <w:r w:rsidRPr="00227330">
        <w:rPr>
          <w:rStyle w:val="s1"/>
          <w:rFonts w:ascii="Times New Roman" w:hAnsi="Times New Roman" w:cs="Times New Roman"/>
          <w:b/>
          <w:bCs/>
          <w:color w:val="000000" w:themeColor="text1"/>
        </w:rPr>
        <w:t>C–D</w:t>
      </w:r>
      <w:r w:rsidRPr="00227330">
        <w:rPr>
          <w:rFonts w:ascii="Times New Roman" w:hAnsi="Times New Roman" w:cs="Times New Roman"/>
          <w:color w:val="000000" w:themeColor="text1"/>
        </w:rPr>
        <w:t xml:space="preserve">, Corresponding associations in the LifeLinesDeep_2016 validation cohort. </w:t>
      </w:r>
      <w:r w:rsidRPr="00227330">
        <w:rPr>
          <w:rStyle w:val="s1"/>
          <w:rFonts w:ascii="Times New Roman" w:hAnsi="Times New Roman" w:cs="Times New Roman"/>
          <w:b/>
          <w:bCs/>
          <w:color w:val="000000" w:themeColor="text1"/>
        </w:rPr>
        <w:t>E–F</w:t>
      </w:r>
      <w:r w:rsidRPr="00227330">
        <w:rPr>
          <w:rFonts w:ascii="Times New Roman" w:hAnsi="Times New Roman" w:cs="Times New Roman"/>
          <w:color w:val="000000" w:themeColor="text1"/>
        </w:rPr>
        <w:t>, Corresponding associations in the ZeeviD_2015 validation cohort.</w:t>
      </w:r>
    </w:p>
    <w:p w14:paraId="169BBAB4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Figure S4. Additional cohort-specific validation in ZeeviD_2015.</w:t>
      </w:r>
    </w:p>
    <w:p w14:paraId="6F564BD4" w14:textId="77777777" w:rsidR="008A397A" w:rsidRPr="00227330" w:rsidRDefault="008A397A" w:rsidP="008A397A">
      <w:pPr>
        <w:pStyle w:val="p2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227330">
        <w:rPr>
          <w:rFonts w:ascii="Times New Roman" w:hAnsi="Times New Roman" w:cs="Times New Roman"/>
          <w:color w:val="000000" w:themeColor="text1"/>
        </w:rPr>
        <w:t xml:space="preserve">, Association between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A. muciniphila</w:t>
      </w:r>
      <w:r w:rsidRPr="00227330">
        <w:rPr>
          <w:rFonts w:ascii="Times New Roman" w:hAnsi="Times New Roman" w:cs="Times New Roman"/>
          <w:color w:val="000000" w:themeColor="text1"/>
        </w:rPr>
        <w:t xml:space="preserve"> abundance and BMI in the ZeeviD_2015 cohort. </w:t>
      </w:r>
      <w:r w:rsidRPr="00227330">
        <w:rPr>
          <w:rStyle w:val="s1"/>
          <w:rFonts w:ascii="Times New Roman" w:hAnsi="Times New Roman" w:cs="Times New Roman"/>
          <w:b/>
          <w:bCs/>
          <w:color w:val="000000" w:themeColor="text1"/>
        </w:rPr>
        <w:t>B</w:t>
      </w:r>
      <w:r w:rsidRPr="00227330">
        <w:rPr>
          <w:rFonts w:ascii="Times New Roman" w:hAnsi="Times New Roman" w:cs="Times New Roman"/>
          <w:color w:val="000000" w:themeColor="text1"/>
        </w:rPr>
        <w:t xml:space="preserve">, Association between the fixed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</w:t>
      </w:r>
      <w:r w:rsidRPr="00227330">
        <w:rPr>
          <w:rFonts w:ascii="Times New Roman" w:hAnsi="Times New Roman" w:cs="Times New Roman"/>
          <w:color w:val="000000" w:themeColor="text1"/>
        </w:rPr>
        <w:t xml:space="preserve">-associated module score and BMI. </w:t>
      </w:r>
      <w:r w:rsidRPr="00227330">
        <w:rPr>
          <w:rStyle w:val="s1"/>
          <w:rFonts w:ascii="Times New Roman" w:hAnsi="Times New Roman" w:cs="Times New Roman"/>
          <w:b/>
          <w:bCs/>
          <w:color w:val="000000" w:themeColor="text1"/>
        </w:rPr>
        <w:t>C</w:t>
      </w:r>
      <w:r w:rsidRPr="00227330">
        <w:rPr>
          <w:rFonts w:ascii="Times New Roman" w:hAnsi="Times New Roman" w:cs="Times New Roman"/>
          <w:color w:val="000000" w:themeColor="text1"/>
        </w:rPr>
        <w:t xml:space="preserve">, Association between the energy/carbon axis score and the fixed module score. </w:t>
      </w:r>
      <w:r w:rsidRPr="00227330">
        <w:rPr>
          <w:rStyle w:val="s1"/>
          <w:rFonts w:ascii="Times New Roman" w:hAnsi="Times New Roman" w:cs="Times New Roman"/>
          <w:b/>
          <w:bCs/>
          <w:color w:val="000000" w:themeColor="text1"/>
        </w:rPr>
        <w:t>D</w:t>
      </w:r>
      <w:r w:rsidRPr="00227330">
        <w:rPr>
          <w:rFonts w:ascii="Times New Roman" w:hAnsi="Times New Roman" w:cs="Times New Roman"/>
          <w:color w:val="000000" w:themeColor="text1"/>
        </w:rPr>
        <w:t>, Association between the energy/carbon axis score and BMI.</w:t>
      </w:r>
    </w:p>
    <w:p w14:paraId="5CA7E5F2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Figure S5. Stratified and sensitivity analyses.</w:t>
      </w:r>
    </w:p>
    <w:p w14:paraId="302D5E57" w14:textId="77777777" w:rsidR="008A397A" w:rsidRPr="00227330" w:rsidRDefault="008A397A" w:rsidP="008A397A">
      <w:pPr>
        <w:pStyle w:val="p2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227330">
        <w:rPr>
          <w:rFonts w:ascii="Times New Roman" w:hAnsi="Times New Roman" w:cs="Times New Roman"/>
          <w:color w:val="000000" w:themeColor="text1"/>
        </w:rPr>
        <w:t xml:space="preserve">, Sex-stratified analyses of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</w:t>
      </w:r>
      <w:r w:rsidRPr="00227330">
        <w:rPr>
          <w:rFonts w:ascii="Times New Roman" w:hAnsi="Times New Roman" w:cs="Times New Roman"/>
          <w:color w:val="000000" w:themeColor="text1"/>
        </w:rPr>
        <w:t xml:space="preserve">-related microbiome signatures and BMI. </w:t>
      </w:r>
      <w:r w:rsidRPr="00227330">
        <w:rPr>
          <w:rStyle w:val="s1"/>
          <w:rFonts w:ascii="Times New Roman" w:hAnsi="Times New Roman" w:cs="Times New Roman"/>
          <w:b/>
          <w:bCs/>
          <w:color w:val="000000" w:themeColor="text1"/>
        </w:rPr>
        <w:t>B</w:t>
      </w:r>
      <w:r w:rsidRPr="00227330">
        <w:rPr>
          <w:rFonts w:ascii="Times New Roman" w:hAnsi="Times New Roman" w:cs="Times New Roman"/>
          <w:color w:val="000000" w:themeColor="text1"/>
        </w:rPr>
        <w:t xml:space="preserve">, Age-stratified analyses. </w:t>
      </w:r>
      <w:r w:rsidRPr="00227330">
        <w:rPr>
          <w:rStyle w:val="s1"/>
          <w:rFonts w:ascii="Times New Roman" w:hAnsi="Times New Roman" w:cs="Times New Roman"/>
          <w:b/>
          <w:bCs/>
          <w:color w:val="000000" w:themeColor="text1"/>
        </w:rPr>
        <w:t>C</w:t>
      </w:r>
      <w:r w:rsidRPr="00227330">
        <w:rPr>
          <w:rFonts w:ascii="Times New Roman" w:hAnsi="Times New Roman" w:cs="Times New Roman"/>
          <w:color w:val="000000" w:themeColor="text1"/>
        </w:rPr>
        <w:t xml:space="preserve">, Sensitivity analyses after trimming extreme BMI values. </w:t>
      </w:r>
      <w:r w:rsidRPr="00227330">
        <w:rPr>
          <w:rStyle w:val="s1"/>
          <w:rFonts w:ascii="Times New Roman" w:hAnsi="Times New Roman" w:cs="Times New Roman"/>
          <w:b/>
          <w:bCs/>
          <w:color w:val="000000" w:themeColor="text1"/>
        </w:rPr>
        <w:t>D</w:t>
      </w:r>
      <w:r w:rsidRPr="00227330">
        <w:rPr>
          <w:rFonts w:ascii="Times New Roman" w:hAnsi="Times New Roman" w:cs="Times New Roman"/>
          <w:color w:val="000000" w:themeColor="text1"/>
        </w:rPr>
        <w:t>, Analyses using obesity classification as an alternative adiposity-related phenotype.</w:t>
      </w:r>
    </w:p>
    <w:p w14:paraId="5788F8E2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Figure S6. Dose-response and incremental model analyses.</w:t>
      </w:r>
    </w:p>
    <w:p w14:paraId="3CC0E8AB" w14:textId="77777777" w:rsidR="008A397A" w:rsidRPr="00227330" w:rsidRDefault="008A397A" w:rsidP="008A397A">
      <w:pPr>
        <w:pStyle w:val="p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227330">
        <w:rPr>
          <w:rFonts w:ascii="Times New Roman" w:hAnsi="Times New Roman" w:cs="Times New Roman"/>
          <w:color w:val="000000" w:themeColor="text1"/>
        </w:rPr>
        <w:t xml:space="preserve">, Dose-response relationship between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A. muciniphila</w:t>
      </w:r>
      <w:r w:rsidRPr="00227330">
        <w:rPr>
          <w:rFonts w:ascii="Times New Roman" w:hAnsi="Times New Roman" w:cs="Times New Roman"/>
          <w:color w:val="000000" w:themeColor="text1"/>
        </w:rPr>
        <w:t xml:space="preserve"> abundance quartiles and BMI-related variation. </w:t>
      </w:r>
      <w:r w:rsidRPr="00227330">
        <w:rPr>
          <w:rStyle w:val="s1"/>
          <w:rFonts w:ascii="Times New Roman" w:hAnsi="Times New Roman" w:cs="Times New Roman"/>
          <w:b/>
          <w:bCs/>
          <w:color w:val="000000" w:themeColor="text1"/>
        </w:rPr>
        <w:t>B</w:t>
      </w:r>
      <w:r w:rsidRPr="00227330">
        <w:rPr>
          <w:rFonts w:ascii="Times New Roman" w:hAnsi="Times New Roman" w:cs="Times New Roman"/>
          <w:color w:val="000000" w:themeColor="text1"/>
        </w:rPr>
        <w:t xml:space="preserve">, Dose-response relationship for the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</w:t>
      </w:r>
      <w:r w:rsidRPr="00227330">
        <w:rPr>
          <w:rFonts w:ascii="Times New Roman" w:hAnsi="Times New Roman" w:cs="Times New Roman"/>
          <w:color w:val="000000" w:themeColor="text1"/>
        </w:rPr>
        <w:t xml:space="preserve">-associated module score. </w:t>
      </w:r>
      <w:r w:rsidRPr="00227330">
        <w:rPr>
          <w:rStyle w:val="s1"/>
          <w:rFonts w:ascii="Times New Roman" w:hAnsi="Times New Roman" w:cs="Times New Roman"/>
          <w:b/>
          <w:bCs/>
          <w:color w:val="000000" w:themeColor="text1"/>
        </w:rPr>
        <w:t>C</w:t>
      </w:r>
      <w:r w:rsidRPr="00227330">
        <w:rPr>
          <w:rFonts w:ascii="Times New Roman" w:hAnsi="Times New Roman" w:cs="Times New Roman"/>
          <w:color w:val="000000" w:themeColor="text1"/>
        </w:rPr>
        <w:t xml:space="preserve">, Dose-response relationship for the energy/carbon axis score. </w:t>
      </w:r>
      <w:r w:rsidRPr="00227330">
        <w:rPr>
          <w:rStyle w:val="s1"/>
          <w:rFonts w:ascii="Times New Roman" w:hAnsi="Times New Roman" w:cs="Times New Roman"/>
          <w:b/>
          <w:bCs/>
          <w:color w:val="000000" w:themeColor="text1"/>
        </w:rPr>
        <w:t>D</w:t>
      </w:r>
      <w:r w:rsidRPr="00227330">
        <w:rPr>
          <w:rFonts w:ascii="Times New Roman" w:hAnsi="Times New Roman" w:cs="Times New Roman"/>
          <w:color w:val="000000" w:themeColor="text1"/>
        </w:rPr>
        <w:t xml:space="preserve">, Incremental model analysis evaluating the added explanatory value of module- and pathway-level features beyond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A. muciniphila</w:t>
      </w:r>
      <w:r w:rsidRPr="00227330">
        <w:rPr>
          <w:rFonts w:ascii="Times New Roman" w:hAnsi="Times New Roman" w:cs="Times New Roman"/>
          <w:color w:val="000000" w:themeColor="text1"/>
        </w:rPr>
        <w:t xml:space="preserve"> abundance alone.</w:t>
      </w:r>
    </w:p>
    <w:p w14:paraId="4FAAB78B" w14:textId="77777777" w:rsidR="008A397A" w:rsidRPr="00227330" w:rsidRDefault="008A397A" w:rsidP="008A397A">
      <w:pPr>
        <w:widowControl/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3503E03" w14:textId="77777777" w:rsidR="008A397A" w:rsidRPr="00227330" w:rsidRDefault="008A397A" w:rsidP="008A397A">
      <w:pPr>
        <w:widowControl/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1867F639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Table S1. Metadata availability across human cohorts.</w:t>
      </w:r>
    </w:p>
    <w:p w14:paraId="675DA938" w14:textId="77777777" w:rsidR="008A397A" w:rsidRPr="00227330" w:rsidRDefault="008A397A" w:rsidP="008A397A">
      <w:pPr>
        <w:pStyle w:val="p2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color w:val="000000" w:themeColor="text1"/>
        </w:rPr>
        <w:t>Summary of harmonized host metadata variables available across the three human metagenomic cohorts, including BMI, age, sex, and other cohort-specific variables used for downstream stratified or sensitivity analyses.</w:t>
      </w:r>
    </w:p>
    <w:p w14:paraId="0F31B23F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Table S2. Taxa defining the Akkermansia-associated microbial modules.</w:t>
      </w:r>
    </w:p>
    <w:p w14:paraId="008FD9C1" w14:textId="77777777" w:rsidR="008A397A" w:rsidRPr="00227330" w:rsidRDefault="008A397A" w:rsidP="008A397A">
      <w:pPr>
        <w:pStyle w:val="p2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color w:val="000000" w:themeColor="text1"/>
        </w:rPr>
        <w:t xml:space="preserve">List of microbial taxa positively and negatively associated with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 muciniphila</w:t>
      </w:r>
      <w:r w:rsidRPr="00227330">
        <w:rPr>
          <w:rFonts w:ascii="Times New Roman" w:hAnsi="Times New Roman" w:cs="Times New Roman"/>
          <w:color w:val="000000" w:themeColor="text1"/>
        </w:rPr>
        <w:t xml:space="preserve"> in the AsnicarF_2021 discovery cohort. Positive taxa were used to construct the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</w:t>
      </w:r>
      <w:r w:rsidRPr="00227330">
        <w:rPr>
          <w:rFonts w:ascii="Times New Roman" w:hAnsi="Times New Roman" w:cs="Times New Roman"/>
          <w:color w:val="000000" w:themeColor="text1"/>
        </w:rPr>
        <w:t>-associated microbial module.</w:t>
      </w:r>
    </w:p>
    <w:p w14:paraId="29A183CD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Table S3. Pathways defining the energy/carbon metabolic axis.</w:t>
      </w:r>
    </w:p>
    <w:p w14:paraId="344A1C47" w14:textId="77777777" w:rsidR="008A397A" w:rsidRPr="00227330" w:rsidRDefault="008A397A" w:rsidP="008A397A">
      <w:pPr>
        <w:pStyle w:val="p2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color w:val="000000" w:themeColor="text1"/>
        </w:rPr>
        <w:t xml:space="preserve">List of MetaCyc pathways included in the energy/carbon axis, together with pathway annotations and association statistics with the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</w:t>
      </w:r>
      <w:r w:rsidRPr="00227330">
        <w:rPr>
          <w:rFonts w:ascii="Times New Roman" w:hAnsi="Times New Roman" w:cs="Times New Roman"/>
          <w:color w:val="000000" w:themeColor="text1"/>
        </w:rPr>
        <w:t>-associated module.</w:t>
      </w:r>
    </w:p>
    <w:p w14:paraId="1A2B95BE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Table S4. Pathways defining the amino acid–fermentation axis.</w:t>
      </w:r>
    </w:p>
    <w:p w14:paraId="151C4FDD" w14:textId="77777777" w:rsidR="008A397A" w:rsidRPr="00227330" w:rsidRDefault="008A397A" w:rsidP="008A397A">
      <w:pPr>
        <w:pStyle w:val="p2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color w:val="000000" w:themeColor="text1"/>
        </w:rPr>
        <w:t xml:space="preserve">List of MetaCyc pathways included in the amino acid–fermentation axis, together with pathway annotations and association statistics with the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</w:t>
      </w:r>
      <w:r w:rsidRPr="00227330">
        <w:rPr>
          <w:rFonts w:ascii="Times New Roman" w:hAnsi="Times New Roman" w:cs="Times New Roman"/>
          <w:color w:val="000000" w:themeColor="text1"/>
        </w:rPr>
        <w:t>-associated module.</w:t>
      </w:r>
    </w:p>
    <w:p w14:paraId="7A308518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Table S5. Full cross-cohort regression results.</w:t>
      </w:r>
    </w:p>
    <w:p w14:paraId="326EEDEE" w14:textId="77777777" w:rsidR="008A397A" w:rsidRPr="00227330" w:rsidRDefault="008A397A" w:rsidP="008A397A">
      <w:pPr>
        <w:pStyle w:val="p2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color w:val="000000" w:themeColor="text1"/>
        </w:rPr>
        <w:t xml:space="preserve">Complete regression outputs for associations between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 muciniphila</w:t>
      </w:r>
      <w:r w:rsidRPr="00227330">
        <w:rPr>
          <w:rFonts w:ascii="Times New Roman" w:hAnsi="Times New Roman" w:cs="Times New Roman"/>
          <w:color w:val="000000" w:themeColor="text1"/>
        </w:rPr>
        <w:t xml:space="preserve"> abundance, the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</w:t>
      </w:r>
      <w:r w:rsidRPr="00227330">
        <w:rPr>
          <w:rFonts w:ascii="Times New Roman" w:hAnsi="Times New Roman" w:cs="Times New Roman"/>
          <w:color w:val="000000" w:themeColor="text1"/>
        </w:rPr>
        <w:t>-associated module, pathway-derived metabolic axes, and BMI across the discovery and validation cohorts.</w:t>
      </w:r>
    </w:p>
    <w:p w14:paraId="64AA9D99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Table S6. Standardized effects and sensitivity analyses.</w:t>
      </w:r>
    </w:p>
    <w:p w14:paraId="006CE422" w14:textId="77777777" w:rsidR="008A397A" w:rsidRPr="00227330" w:rsidRDefault="008A397A" w:rsidP="008A397A">
      <w:pPr>
        <w:pStyle w:val="p2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color w:val="000000" w:themeColor="text1"/>
        </w:rPr>
        <w:t>Standardized association estimates and sensitivity analysis results, including analyses after trimming extreme BMI values and analyses using obesity classification as an alternative adiposity-related phenotype.</w:t>
      </w:r>
    </w:p>
    <w:p w14:paraId="6C788EE4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Table S7. Stratified analysis results.</w:t>
      </w:r>
    </w:p>
    <w:p w14:paraId="680EB6EA" w14:textId="77777777" w:rsidR="008A397A" w:rsidRPr="00227330" w:rsidRDefault="008A397A" w:rsidP="008A397A">
      <w:pPr>
        <w:pStyle w:val="p2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color w:val="000000" w:themeColor="text1"/>
        </w:rPr>
        <w:t xml:space="preserve">Results of sex- and age-stratified analyses evaluating the consistency of associations between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</w:t>
      </w:r>
      <w:r w:rsidRPr="00227330">
        <w:rPr>
          <w:rFonts w:ascii="Times New Roman" w:hAnsi="Times New Roman" w:cs="Times New Roman"/>
          <w:color w:val="000000" w:themeColor="text1"/>
        </w:rPr>
        <w:t>-related microbiome signatures and BMI across available human cohorts.</w:t>
      </w:r>
    </w:p>
    <w:p w14:paraId="178C1E94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Table S8. Source data for key human cohort figures.</w:t>
      </w:r>
    </w:p>
    <w:p w14:paraId="757DD8FF" w14:textId="77777777" w:rsidR="008A397A" w:rsidRPr="00227330" w:rsidRDefault="008A397A" w:rsidP="008A397A">
      <w:pPr>
        <w:pStyle w:val="p2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color w:val="000000" w:themeColor="text1"/>
        </w:rPr>
        <w:t>Source data used to generate key human cohort figures, including taxa-level lollipop plots, core pathway lollipop plots, and cross-cohort pathway heatmaps.</w:t>
      </w:r>
    </w:p>
    <w:p w14:paraId="77FAA88B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Table S9. Mouse batch 1 group comparison statistics.</w:t>
      </w:r>
    </w:p>
    <w:p w14:paraId="6620CAB7" w14:textId="77777777" w:rsidR="008A397A" w:rsidRPr="00227330" w:rsidRDefault="008A397A" w:rsidP="008A397A">
      <w:pPr>
        <w:pStyle w:val="p2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color w:val="000000" w:themeColor="text1"/>
        </w:rPr>
        <w:t xml:space="preserve">Group comparison statistics for the empagliflozin mouse dataset, including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 muciniphila</w:t>
      </w:r>
      <w:r w:rsidRPr="00227330">
        <w:rPr>
          <w:rFonts w:ascii="Times New Roman" w:hAnsi="Times New Roman" w:cs="Times New Roman"/>
          <w:color w:val="000000" w:themeColor="text1"/>
        </w:rPr>
        <w:t xml:space="preserve"> abundance and the human-derived fixed microbial module score across normal diet, high-fat diet, and high-fat diet plus empagliflozin groups.</w:t>
      </w:r>
    </w:p>
    <w:p w14:paraId="130DAFD1" w14:textId="77777777" w:rsidR="008A397A" w:rsidRPr="00227330" w:rsidRDefault="008A397A" w:rsidP="008A397A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330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Table S10. Mouse batch 2 group comparison and microbiome–metabolome association statistics.</w:t>
      </w:r>
    </w:p>
    <w:p w14:paraId="0F1E9688" w14:textId="77777777" w:rsidR="008A397A" w:rsidRPr="00227330" w:rsidRDefault="008A397A" w:rsidP="008A397A">
      <w:pPr>
        <w:pStyle w:val="p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7330">
        <w:rPr>
          <w:rFonts w:ascii="Times New Roman" w:hAnsi="Times New Roman" w:cs="Times New Roman"/>
          <w:color w:val="000000" w:themeColor="text1"/>
        </w:rPr>
        <w:t xml:space="preserve">Group comparison statistics for the ketogenic diet mouse dataset, including </w:t>
      </w:r>
      <w:r w:rsidRPr="00227330">
        <w:rPr>
          <w:rStyle w:val="s1"/>
          <w:rFonts w:ascii="Times New Roman" w:hAnsi="Times New Roman" w:cs="Times New Roman"/>
          <w:i/>
          <w:iCs/>
          <w:color w:val="000000" w:themeColor="text1"/>
        </w:rPr>
        <w:t>Akkermansia muciniphila</w:t>
      </w:r>
      <w:r w:rsidRPr="00227330">
        <w:rPr>
          <w:rFonts w:ascii="Times New Roman" w:hAnsi="Times New Roman" w:cs="Times New Roman"/>
          <w:color w:val="000000" w:themeColor="text1"/>
        </w:rPr>
        <w:t xml:space="preserve"> abundance, fixed microbial module score, energy/carbon axis score, metabolite-level group comparisons, and top microbiome–metabolome associations between the energy/carbon axis and fecal metabolite features.</w:t>
      </w:r>
    </w:p>
    <w:p w14:paraId="37911588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7A"/>
    <w:rsid w:val="005B6877"/>
    <w:rsid w:val="00606F66"/>
    <w:rsid w:val="008A397A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FF302"/>
  <w15:chartTrackingRefBased/>
  <w15:docId w15:val="{F476C91D-3C1A-4B24-B9F3-7E350386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97A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397A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397A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97A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97A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97A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97A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97A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97A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97A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9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A39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9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9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9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9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9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9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9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97A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A3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97A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A3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97A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8A39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97A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8A39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97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9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97A"/>
    <w:rPr>
      <w:b/>
      <w:bCs/>
      <w:smallCaps/>
      <w:color w:val="0F4761" w:themeColor="accent1" w:themeShade="BF"/>
      <w:spacing w:val="5"/>
    </w:rPr>
  </w:style>
  <w:style w:type="paragraph" w:customStyle="1" w:styleId="p2">
    <w:name w:val="p2"/>
    <w:basedOn w:val="Normal"/>
    <w:rsid w:val="008A397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14:ligatures w14:val="none"/>
    </w:rPr>
  </w:style>
  <w:style w:type="character" w:customStyle="1" w:styleId="s1">
    <w:name w:val="s1"/>
    <w:basedOn w:val="DefaultParagraphFont"/>
    <w:rsid w:val="008A397A"/>
  </w:style>
  <w:style w:type="paragraph" w:customStyle="1" w:styleId="p3">
    <w:name w:val="p3"/>
    <w:basedOn w:val="Normal"/>
    <w:rsid w:val="008A397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2026-08-18T17:15:00Z</dcterms:created>
  <dcterms:modified xsi:type="dcterms:W3CDTF">2026-08-18T17:15:00Z</dcterms:modified>
</cp:coreProperties>
</file>