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E2ACD" w14:textId="77777777" w:rsidR="004531FD" w:rsidRPr="004531FD" w:rsidRDefault="004531FD" w:rsidP="004531FD">
      <w:pPr>
        <w:rPr>
          <w:b/>
          <w:bCs/>
          <w:lang w:val="en-US"/>
        </w:rPr>
      </w:pPr>
      <w:r w:rsidRPr="004531FD">
        <w:rPr>
          <w:b/>
          <w:bCs/>
          <w:lang w:val="en-US"/>
        </w:rPr>
        <w:t>Appendix A. Reproducibility Manifest</w:t>
      </w:r>
    </w:p>
    <w:p w14:paraId="6DACC03A" w14:textId="77777777" w:rsidR="004531FD" w:rsidRPr="004531FD" w:rsidRDefault="004531FD" w:rsidP="004531FD">
      <w:pPr>
        <w:rPr>
          <w:lang w:val="en-US"/>
        </w:rPr>
      </w:pPr>
      <w:r w:rsidRPr="004531FD">
        <w:rPr>
          <w:lang w:val="en-US"/>
        </w:rPr>
        <w:t>The revision can be reconstructed from the frozen ledgers and the local analysis package. API keys and diagnostic screenshots are not part of the artefact. Table A1 lists the minimum files needed to reproduce the claims that changed during major revision, prospective confirmation, and corpus–policy extension.</w:t>
      </w:r>
    </w:p>
    <w:p w14:paraId="17577566" w14:textId="77777777" w:rsidR="004531FD" w:rsidRPr="004531FD" w:rsidRDefault="004531FD" w:rsidP="004531FD">
      <w:pPr>
        <w:rPr>
          <w:lang w:val="en-US"/>
        </w:rPr>
      </w:pPr>
      <w:r w:rsidRPr="004531FD">
        <w:rPr>
          <w:b/>
          <w:lang w:val="en-US"/>
        </w:rPr>
        <w:t xml:space="preserve">Table A1. </w:t>
      </w:r>
      <w:r w:rsidRPr="004531FD">
        <w:rPr>
          <w:lang w:val="en-US"/>
        </w:rPr>
        <w:t>Minimum artefacts for the revised analysis</w:t>
      </w: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ook w:val="04A0" w:firstRow="1" w:lastRow="0" w:firstColumn="1" w:lastColumn="0" w:noHBand="0" w:noVBand="1"/>
      </w:tblPr>
      <w:tblGrid>
        <w:gridCol w:w="1649"/>
        <w:gridCol w:w="5904"/>
        <w:gridCol w:w="1457"/>
      </w:tblGrid>
      <w:tr w:rsidR="004531FD" w:rsidRPr="004531FD" w14:paraId="2C31D88C" w14:textId="77777777">
        <w:trPr>
          <w:tblHeader/>
          <w:jc w:val="center"/>
        </w:trPr>
        <w:tc>
          <w:tcPr>
            <w:tcW w:w="3081" w:type="dxa"/>
            <w:tcBorders>
              <w:top w:val="single" w:sz="6" w:space="0" w:color="666666"/>
              <w:left w:val="single" w:sz="6" w:space="0" w:color="666666"/>
              <w:bottom w:val="single" w:sz="6" w:space="0" w:color="666666"/>
              <w:right w:val="single" w:sz="6" w:space="0" w:color="666666"/>
            </w:tcBorders>
            <w:shd w:val="clear" w:color="auto" w:fill="D9D9D9"/>
            <w:tcMar>
              <w:top w:w="50" w:type="dxa"/>
              <w:left w:w="55" w:type="dxa"/>
              <w:bottom w:w="50" w:type="dxa"/>
              <w:right w:w="55" w:type="dxa"/>
            </w:tcMar>
            <w:vAlign w:val="center"/>
            <w:hideMark/>
          </w:tcPr>
          <w:p w14:paraId="113F7524" w14:textId="77777777" w:rsidR="004531FD" w:rsidRPr="004531FD" w:rsidRDefault="004531FD" w:rsidP="004531FD">
            <w:pPr>
              <w:rPr>
                <w:lang w:val="en-US"/>
              </w:rPr>
            </w:pPr>
            <w:r w:rsidRPr="004531FD">
              <w:rPr>
                <w:b/>
                <w:lang w:val="en-US"/>
              </w:rPr>
              <w:t>Component</w:t>
            </w:r>
          </w:p>
        </w:tc>
        <w:tc>
          <w:tcPr>
            <w:tcW w:w="3081" w:type="dxa"/>
            <w:tcBorders>
              <w:top w:val="single" w:sz="6" w:space="0" w:color="666666"/>
              <w:left w:val="single" w:sz="6" w:space="0" w:color="666666"/>
              <w:bottom w:val="single" w:sz="6" w:space="0" w:color="666666"/>
              <w:right w:val="single" w:sz="6" w:space="0" w:color="666666"/>
            </w:tcBorders>
            <w:shd w:val="clear" w:color="auto" w:fill="D9D9D9"/>
            <w:tcMar>
              <w:top w:w="50" w:type="dxa"/>
              <w:left w:w="55" w:type="dxa"/>
              <w:bottom w:w="50" w:type="dxa"/>
              <w:right w:w="55" w:type="dxa"/>
            </w:tcMar>
            <w:vAlign w:val="center"/>
            <w:hideMark/>
          </w:tcPr>
          <w:p w14:paraId="4A7DAA90" w14:textId="77777777" w:rsidR="004531FD" w:rsidRPr="004531FD" w:rsidRDefault="004531FD" w:rsidP="004531FD">
            <w:pPr>
              <w:rPr>
                <w:lang w:val="en-US"/>
              </w:rPr>
            </w:pPr>
            <w:r w:rsidRPr="004531FD">
              <w:rPr>
                <w:b/>
                <w:lang w:val="en-US"/>
              </w:rPr>
              <w:t>Path</w:t>
            </w:r>
          </w:p>
        </w:tc>
        <w:tc>
          <w:tcPr>
            <w:tcW w:w="3081" w:type="dxa"/>
            <w:tcBorders>
              <w:top w:val="single" w:sz="6" w:space="0" w:color="666666"/>
              <w:left w:val="single" w:sz="6" w:space="0" w:color="666666"/>
              <w:bottom w:val="single" w:sz="6" w:space="0" w:color="666666"/>
              <w:right w:val="single" w:sz="6" w:space="0" w:color="666666"/>
            </w:tcBorders>
            <w:shd w:val="clear" w:color="auto" w:fill="D9D9D9"/>
            <w:tcMar>
              <w:top w:w="50" w:type="dxa"/>
              <w:left w:w="55" w:type="dxa"/>
              <w:bottom w:w="50" w:type="dxa"/>
              <w:right w:w="55" w:type="dxa"/>
            </w:tcMar>
            <w:vAlign w:val="center"/>
            <w:hideMark/>
          </w:tcPr>
          <w:p w14:paraId="520530E6" w14:textId="77777777" w:rsidR="004531FD" w:rsidRPr="004531FD" w:rsidRDefault="004531FD" w:rsidP="004531FD">
            <w:pPr>
              <w:rPr>
                <w:lang w:val="en-US"/>
              </w:rPr>
            </w:pPr>
            <w:r w:rsidRPr="004531FD">
              <w:rPr>
                <w:b/>
                <w:lang w:val="en-US"/>
              </w:rPr>
              <w:t>Role</w:t>
            </w:r>
          </w:p>
        </w:tc>
      </w:tr>
      <w:tr w:rsidR="004531FD" w:rsidRPr="004531FD" w14:paraId="1106CA2D"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0F4D4968" w14:textId="77777777" w:rsidR="004531FD" w:rsidRPr="004531FD" w:rsidRDefault="004531FD" w:rsidP="004531FD">
            <w:pPr>
              <w:rPr>
                <w:lang w:val="en-US"/>
              </w:rPr>
            </w:pPr>
            <w:r w:rsidRPr="004531FD">
              <w:rPr>
                <w:lang w:val="en-US"/>
              </w:rPr>
              <w:t>Internal scenarios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305C664" w14:textId="77777777" w:rsidR="004531FD" w:rsidRPr="004531FD" w:rsidRDefault="004531FD" w:rsidP="004531FD">
            <w:pPr>
              <w:rPr>
                <w:lang w:val="en-US"/>
              </w:rPr>
            </w:pPr>
            <w:r w:rsidRPr="004531FD">
              <w:rPr>
                <w:lang w:val="en-US"/>
              </w:rPr>
              <w:t>scenarios/core_40.json</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F98B93B" w14:textId="77777777" w:rsidR="004531FD" w:rsidRPr="004531FD" w:rsidRDefault="004531FD" w:rsidP="004531FD">
            <w:pPr>
              <w:rPr>
                <w:lang w:val="en-US"/>
              </w:rPr>
            </w:pPr>
            <w:r w:rsidRPr="004531FD">
              <w:rPr>
                <w:lang w:val="en-US"/>
              </w:rPr>
              <w:t>Fixed operations, variants, and decisions</w:t>
            </w:r>
          </w:p>
        </w:tc>
      </w:tr>
      <w:tr w:rsidR="004531FD" w:rsidRPr="004531FD" w14:paraId="13C0FC8D"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C86ED99" w14:textId="77777777" w:rsidR="004531FD" w:rsidRPr="004531FD" w:rsidRDefault="004531FD" w:rsidP="004531FD">
            <w:pPr>
              <w:rPr>
                <w:lang w:val="en-US"/>
              </w:rPr>
            </w:pPr>
            <w:r w:rsidRPr="004531FD">
              <w:rPr>
                <w:lang w:val="en-US"/>
              </w:rPr>
              <w:t>External scenarios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6F55EAD5" w14:textId="77777777" w:rsidR="004531FD" w:rsidRPr="004531FD" w:rsidRDefault="004531FD" w:rsidP="004531FD">
            <w:pPr>
              <w:rPr>
                <w:lang w:val="en-US"/>
              </w:rPr>
            </w:pPr>
            <w:r w:rsidRPr="004531FD">
              <w:rPr>
                <w:lang w:val="en-US"/>
              </w:rPr>
              <w:t>scenarios/external_agentdojo_40.json</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E1EEEEE" w14:textId="77777777" w:rsidR="004531FD" w:rsidRPr="004531FD" w:rsidRDefault="004531FD" w:rsidP="004531FD">
            <w:pPr>
              <w:rPr>
                <w:lang w:val="en-US"/>
              </w:rPr>
            </w:pPr>
            <w:r w:rsidRPr="004531FD">
              <w:rPr>
                <w:lang w:val="en-US"/>
              </w:rPr>
              <w:t>AgentDojo-derived operations and provenance</w:t>
            </w:r>
          </w:p>
        </w:tc>
      </w:tr>
      <w:tr w:rsidR="004531FD" w:rsidRPr="004531FD" w14:paraId="5491BF93"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6DA569C3" w14:textId="77777777" w:rsidR="004531FD" w:rsidRPr="004531FD" w:rsidRDefault="004531FD" w:rsidP="004531FD">
            <w:pPr>
              <w:rPr>
                <w:lang w:val="en-US"/>
              </w:rPr>
            </w:pPr>
            <w:r w:rsidRPr="004531FD">
              <w:rPr>
                <w:lang w:val="en-US"/>
              </w:rPr>
              <w:t>Ordered policy</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7DD7550C" w14:textId="77777777" w:rsidR="004531FD" w:rsidRPr="004531FD" w:rsidRDefault="004531FD" w:rsidP="004531FD">
            <w:pPr>
              <w:rPr>
                <w:lang w:val="en-US"/>
              </w:rPr>
            </w:pPr>
            <w:r w:rsidRPr="004531FD">
              <w:rPr>
                <w:lang w:val="en-US"/>
              </w:rPr>
              <w:t>policies/reference_policy.json</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8E6AD43" w14:textId="77777777" w:rsidR="004531FD" w:rsidRPr="004531FD" w:rsidRDefault="004531FD" w:rsidP="004531FD">
            <w:pPr>
              <w:rPr>
                <w:lang w:val="en-US"/>
              </w:rPr>
            </w:pPr>
            <w:r w:rsidRPr="004531FD">
              <w:rPr>
                <w:lang w:val="en-US"/>
              </w:rPr>
              <w:t>Reference mediation rules</w:t>
            </w:r>
          </w:p>
        </w:tc>
      </w:tr>
      <w:tr w:rsidR="004531FD" w:rsidRPr="004531FD" w14:paraId="2F4B0EEF"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766F5B3E" w14:textId="77777777" w:rsidR="004531FD" w:rsidRPr="004531FD" w:rsidRDefault="004531FD" w:rsidP="004531FD">
            <w:pPr>
              <w:rPr>
                <w:lang w:val="en-US"/>
              </w:rPr>
            </w:pPr>
            <w:r w:rsidRPr="004531FD">
              <w:rPr>
                <w:lang w:val="en-US"/>
              </w:rPr>
              <w:t>Capability policy</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90C487E" w14:textId="77777777" w:rsidR="004531FD" w:rsidRPr="004531FD" w:rsidRDefault="004531FD" w:rsidP="004531FD">
            <w:pPr>
              <w:rPr>
                <w:lang w:val="en-US"/>
              </w:rPr>
            </w:pPr>
            <w:r w:rsidRPr="004531FD">
              <w:rPr>
                <w:lang w:val="en-US"/>
              </w:rPr>
              <w:t>policies/capability_policy_v1.json</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5745E410" w14:textId="77777777" w:rsidR="004531FD" w:rsidRPr="004531FD" w:rsidRDefault="004531FD" w:rsidP="004531FD">
            <w:pPr>
              <w:rPr>
                <w:lang w:val="en-US"/>
              </w:rPr>
            </w:pPr>
            <w:r w:rsidRPr="004531FD">
              <w:rPr>
                <w:lang w:val="en-US"/>
              </w:rPr>
              <w:t>Independent server-resolved mediation</w:t>
            </w:r>
          </w:p>
        </w:tc>
      </w:tr>
      <w:tr w:rsidR="004531FD" w:rsidRPr="004531FD" w14:paraId="40584A88"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6D88A77C" w14:textId="77777777" w:rsidR="004531FD" w:rsidRPr="004531FD" w:rsidRDefault="004531FD" w:rsidP="004531FD">
            <w:pPr>
              <w:rPr>
                <w:lang w:val="en-US"/>
              </w:rPr>
            </w:pPr>
            <w:r w:rsidRPr="004531FD">
              <w:rPr>
                <w:lang w:val="en-US"/>
              </w:rPr>
              <w:t>v1 provider ledgers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E8E36E2" w14:textId="77777777" w:rsidR="004531FD" w:rsidRPr="004531FD" w:rsidRDefault="004531FD" w:rsidP="004531FD">
            <w:pPr>
              <w:rPr>
                <w:lang w:val="en-US"/>
              </w:rPr>
            </w:pPr>
            <w:r w:rsidRPr="004531FD">
              <w:rPr>
                <w:lang w:val="en-US"/>
              </w:rPr>
              <w:t>study/final and study/secondary_v1</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0DC593D" w14:textId="77777777" w:rsidR="004531FD" w:rsidRPr="004531FD" w:rsidRDefault="004531FD" w:rsidP="004531FD">
            <w:pPr>
              <w:rPr>
                <w:lang w:val="en-US"/>
              </w:rPr>
            </w:pPr>
            <w:r w:rsidRPr="004531FD">
              <w:rPr>
                <w:lang w:val="en-US"/>
              </w:rPr>
              <w:t>Preserved historical runtime evidence</w:t>
            </w:r>
          </w:p>
        </w:tc>
      </w:tr>
      <w:tr w:rsidR="004531FD" w:rsidRPr="004531FD" w14:paraId="24D60101"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1630274A" w14:textId="77777777" w:rsidR="004531FD" w:rsidRPr="004531FD" w:rsidRDefault="004531FD" w:rsidP="004531FD">
            <w:pPr>
              <w:rPr>
                <w:lang w:val="en-US"/>
              </w:rPr>
            </w:pPr>
            <w:r w:rsidRPr="004531FD">
              <w:rPr>
                <w:lang w:val="en-US"/>
              </w:rPr>
              <w:t>Confirmatory ledger</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505FFA3A" w14:textId="77777777" w:rsidR="004531FD" w:rsidRPr="004531FD" w:rsidRDefault="004531FD" w:rsidP="004531FD">
            <w:pPr>
              <w:rPr>
                <w:lang w:val="en-US"/>
              </w:rPr>
            </w:pPr>
            <w:r w:rsidRPr="004531FD">
              <w:rPr>
                <w:lang w:val="en-US"/>
              </w:rPr>
              <w:t>study/confirmatory_v2</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0D0F73B1" w14:textId="77777777" w:rsidR="004531FD" w:rsidRPr="004531FD" w:rsidRDefault="004531FD" w:rsidP="004531FD">
            <w:pPr>
              <w:rPr>
                <w:lang w:val="en-US"/>
              </w:rPr>
            </w:pPr>
            <w:r w:rsidRPr="004531FD">
              <w:rPr>
                <w:lang w:val="en-US"/>
              </w:rPr>
              <w:t>Frozen protocol, 400 trials, audit, and manifest</w:t>
            </w:r>
          </w:p>
        </w:tc>
      </w:tr>
      <w:tr w:rsidR="004531FD" w:rsidRPr="004531FD" w14:paraId="059D8847"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0F14394" w14:textId="77777777" w:rsidR="004531FD" w:rsidRPr="004531FD" w:rsidRDefault="004531FD" w:rsidP="004531FD">
            <w:pPr>
              <w:rPr>
                <w:lang w:val="en-US"/>
              </w:rPr>
            </w:pPr>
            <w:r w:rsidRPr="004531FD">
              <w:rPr>
                <w:lang w:val="en-US"/>
              </w:rPr>
              <w:lastRenderedPageBreak/>
              <w:t>Generalisation ledgers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02BA51CC" w14:textId="77777777" w:rsidR="004531FD" w:rsidRPr="004531FD" w:rsidRDefault="004531FD" w:rsidP="004531FD">
            <w:pPr>
              <w:rPr>
                <w:lang w:val="en-US"/>
              </w:rPr>
            </w:pPr>
            <w:r w:rsidRPr="004531FD">
              <w:rPr>
                <w:lang w:val="en-US"/>
              </w:rPr>
              <w:t>study/generalization_v1</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0E0A818" w14:textId="77777777" w:rsidR="004531FD" w:rsidRPr="004531FD" w:rsidRDefault="004531FD" w:rsidP="004531FD">
            <w:pPr>
              <w:rPr>
                <w:lang w:val="en-US"/>
              </w:rPr>
            </w:pPr>
            <w:r w:rsidRPr="004531FD">
              <w:rPr>
                <w:lang w:val="en-US"/>
              </w:rPr>
              <w:t>Two prospective 400-trial provider arms</w:t>
            </w:r>
          </w:p>
        </w:tc>
      </w:tr>
      <w:tr w:rsidR="004531FD" w:rsidRPr="004531FD" w14:paraId="45130938"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0781B0F6" w14:textId="77777777" w:rsidR="004531FD" w:rsidRPr="004531FD" w:rsidRDefault="004531FD" w:rsidP="004531FD">
            <w:pPr>
              <w:rPr>
                <w:lang w:val="en-US"/>
              </w:rPr>
            </w:pPr>
            <w:r w:rsidRPr="004531FD">
              <w:rPr>
                <w:lang w:val="en-US"/>
              </w:rPr>
              <w:t>Mutation evidence</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156E8471" w14:textId="77777777" w:rsidR="004531FD" w:rsidRPr="004531FD" w:rsidRDefault="004531FD" w:rsidP="004531FD">
            <w:pPr>
              <w:rPr>
                <w:lang w:val="en-US"/>
              </w:rPr>
            </w:pPr>
            <w:r w:rsidRPr="004531FD">
              <w:rPr>
                <w:lang w:val="en-US"/>
              </w:rPr>
              <w:t>results/mutation_analysis.json</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BDBA9EF" w14:textId="77777777" w:rsidR="004531FD" w:rsidRPr="004531FD" w:rsidRDefault="004531FD" w:rsidP="004531FD">
            <w:pPr>
              <w:rPr>
                <w:lang w:val="en-US"/>
              </w:rPr>
            </w:pPr>
            <w:r w:rsidRPr="004531FD">
              <w:rPr>
                <w:lang w:val="en-US"/>
              </w:rPr>
              <w:t>Core and expanded adequacy</w:t>
            </w:r>
          </w:p>
        </w:tc>
      </w:tr>
      <w:tr w:rsidR="004531FD" w:rsidRPr="004531FD" w14:paraId="306924C1"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0655898E" w14:textId="77777777" w:rsidR="004531FD" w:rsidRPr="004531FD" w:rsidRDefault="004531FD" w:rsidP="004531FD">
            <w:pPr>
              <w:rPr>
                <w:lang w:val="en-US"/>
              </w:rPr>
            </w:pPr>
            <w:r w:rsidRPr="004531FD">
              <w:rPr>
                <w:lang w:val="en-US"/>
              </w:rPr>
              <w:t>Generalisation analysis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1A8AC8C2" w14:textId="77777777" w:rsidR="004531FD" w:rsidRPr="004531FD" w:rsidRDefault="004531FD" w:rsidP="004531FD">
            <w:pPr>
              <w:rPr>
                <w:lang w:val="en-US"/>
              </w:rPr>
            </w:pPr>
            <w:r w:rsidRPr="004531FD">
              <w:rPr>
                <w:lang w:val="en-US"/>
              </w:rPr>
              <w:t>results/generalization_v1</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5944687B" w14:textId="77777777" w:rsidR="004531FD" w:rsidRPr="004531FD" w:rsidRDefault="004531FD" w:rsidP="004531FD">
            <w:pPr>
              <w:rPr>
                <w:lang w:val="en-US"/>
              </w:rPr>
            </w:pPr>
            <w:r w:rsidRPr="004531FD">
              <w:rPr>
                <w:lang w:val="en-US"/>
              </w:rPr>
              <w:t>Policy–corpus scores and independent ledger audit</w:t>
            </w:r>
          </w:p>
        </w:tc>
      </w:tr>
      <w:tr w:rsidR="004531FD" w:rsidRPr="004531FD" w14:paraId="4D23DBB9"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4CB3D36F" w14:textId="77777777" w:rsidR="004531FD" w:rsidRPr="004531FD" w:rsidRDefault="004531FD" w:rsidP="004531FD">
            <w:pPr>
              <w:rPr>
                <w:lang w:val="en-US"/>
              </w:rPr>
            </w:pPr>
            <w:r w:rsidRPr="004531FD">
              <w:rPr>
                <w:lang w:val="en-US"/>
              </w:rPr>
              <w:t>Major reanalysis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9C32291" w14:textId="77777777" w:rsidR="004531FD" w:rsidRPr="004531FD" w:rsidRDefault="004531FD" w:rsidP="004531FD">
            <w:pPr>
              <w:rPr>
                <w:lang w:val="en-US"/>
              </w:rPr>
            </w:pPr>
            <w:r w:rsidRPr="004531FD">
              <w:rPr>
                <w:lang w:val="en-US"/>
              </w:rPr>
              <w:t>analysis/reanalyse_major_revision.py</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3E11D4F7" w14:textId="77777777" w:rsidR="004531FD" w:rsidRPr="004531FD" w:rsidRDefault="004531FD" w:rsidP="004531FD">
            <w:pPr>
              <w:rPr>
                <w:lang w:val="en-US"/>
              </w:rPr>
            </w:pPr>
            <w:r w:rsidRPr="004531FD">
              <w:rPr>
                <w:lang w:val="en-US"/>
              </w:rPr>
              <w:t>Replay, clusters, baselines, and figures</w:t>
            </w:r>
          </w:p>
        </w:tc>
      </w:tr>
      <w:tr w:rsidR="004531FD" w:rsidRPr="004531FD" w14:paraId="30A2760F"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73B139CC" w14:textId="77777777" w:rsidR="004531FD" w:rsidRPr="004531FD" w:rsidRDefault="004531FD" w:rsidP="004531FD">
            <w:pPr>
              <w:rPr>
                <w:lang w:val="en-US"/>
              </w:rPr>
            </w:pPr>
            <w:r w:rsidRPr="004531FD">
              <w:rPr>
                <w:lang w:val="en-US"/>
              </w:rPr>
              <w:t>Confirmatory analysis</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71032F08" w14:textId="77777777" w:rsidR="004531FD" w:rsidRPr="004531FD" w:rsidRDefault="004531FD" w:rsidP="004531FD">
            <w:pPr>
              <w:rPr>
                <w:lang w:val="en-US"/>
              </w:rPr>
            </w:pPr>
            <w:r w:rsidRPr="004531FD">
              <w:rPr>
                <w:lang w:val="en-US"/>
              </w:rPr>
              <w:t>scripts/analyze_anthropic_confirmatory_v2.py</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23043B7" w14:textId="77777777" w:rsidR="004531FD" w:rsidRPr="004531FD" w:rsidRDefault="004531FD" w:rsidP="004531FD">
            <w:pPr>
              <w:rPr>
                <w:lang w:val="en-US"/>
              </w:rPr>
            </w:pPr>
            <w:r w:rsidRPr="004531FD">
              <w:rPr>
                <w:lang w:val="en-US"/>
              </w:rPr>
              <w:t>Independent compound-endpoint analysis</w:t>
            </w:r>
          </w:p>
        </w:tc>
      </w:tr>
      <w:tr w:rsidR="004531FD" w:rsidRPr="004531FD" w14:paraId="3469E74A"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6397E83A" w14:textId="77777777" w:rsidR="004531FD" w:rsidRPr="004531FD" w:rsidRDefault="004531FD" w:rsidP="004531FD">
            <w:pPr>
              <w:rPr>
                <w:lang w:val="en-US"/>
              </w:rPr>
            </w:pPr>
            <w:r w:rsidRPr="004531FD">
              <w:rPr>
                <w:lang w:val="en-US"/>
              </w:rPr>
              <w:t>Claim matrix</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55B4DD8C" w14:textId="77777777" w:rsidR="004531FD" w:rsidRPr="004531FD" w:rsidRDefault="004531FD" w:rsidP="004531FD">
            <w:pPr>
              <w:rPr>
                <w:lang w:val="en-US"/>
              </w:rPr>
            </w:pPr>
            <w:r w:rsidRPr="004531FD">
              <w:rPr>
                <w:lang w:val="en-US"/>
              </w:rPr>
              <w:t>study/major_revision_analysis/claim_artifact_matrix.csv</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16A433F4" w14:textId="77777777" w:rsidR="004531FD" w:rsidRPr="004531FD" w:rsidRDefault="004531FD" w:rsidP="004531FD">
            <w:pPr>
              <w:rPr>
                <w:lang w:val="en-US"/>
              </w:rPr>
            </w:pPr>
            <w:r w:rsidRPr="004531FD">
              <w:rPr>
                <w:lang w:val="en-US"/>
              </w:rPr>
              <w:t>Executed claim-to-artefact mapping</w:t>
            </w:r>
          </w:p>
        </w:tc>
      </w:tr>
      <w:tr w:rsidR="004531FD" w:rsidRPr="004531FD" w14:paraId="7A6886EE" w14:textId="77777777">
        <w:trPr>
          <w:jc w:val="center"/>
        </w:trPr>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5DDADEF1" w14:textId="77777777" w:rsidR="004531FD" w:rsidRPr="004531FD" w:rsidRDefault="004531FD" w:rsidP="004531FD">
            <w:pPr>
              <w:rPr>
                <w:lang w:val="en-US"/>
              </w:rPr>
            </w:pPr>
            <w:r w:rsidRPr="004531FD">
              <w:rPr>
                <w:lang w:val="en-US"/>
              </w:rPr>
              <w:t>Extension protocol</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30A7B452" w14:textId="77777777" w:rsidR="004531FD" w:rsidRPr="004531FD" w:rsidRDefault="004531FD" w:rsidP="004531FD">
            <w:pPr>
              <w:rPr>
                <w:lang w:val="en-US"/>
              </w:rPr>
            </w:pPr>
            <w:r w:rsidRPr="004531FD">
              <w:rPr>
                <w:lang w:val="en-US"/>
              </w:rPr>
              <w:t>config/policy_generalization_protocol_v1.json</w:t>
            </w:r>
          </w:p>
        </w:tc>
        <w:tc>
          <w:tcPr>
            <w:tcW w:w="3081" w:type="dxa"/>
            <w:tcBorders>
              <w:top w:val="single" w:sz="6" w:space="0" w:color="666666"/>
              <w:left w:val="single" w:sz="6" w:space="0" w:color="666666"/>
              <w:bottom w:val="single" w:sz="6" w:space="0" w:color="666666"/>
              <w:right w:val="single" w:sz="6" w:space="0" w:color="666666"/>
            </w:tcBorders>
            <w:tcMar>
              <w:top w:w="50" w:type="dxa"/>
              <w:left w:w="55" w:type="dxa"/>
              <w:bottom w:w="50" w:type="dxa"/>
              <w:right w:w="55" w:type="dxa"/>
            </w:tcMar>
            <w:vAlign w:val="center"/>
            <w:hideMark/>
          </w:tcPr>
          <w:p w14:paraId="2CBD6F6E" w14:textId="77777777" w:rsidR="004531FD" w:rsidRPr="004531FD" w:rsidRDefault="004531FD" w:rsidP="004531FD">
            <w:pPr>
              <w:rPr>
                <w:lang w:val="en-US"/>
              </w:rPr>
            </w:pPr>
            <w:r w:rsidRPr="004531FD">
              <w:rPr>
                <w:lang w:val="en-US"/>
              </w:rPr>
              <w:t>Frozen corpus, policies, schedule, and endpoints</w:t>
            </w:r>
          </w:p>
        </w:tc>
      </w:tr>
    </w:tbl>
    <w:p w14:paraId="170D4C9A" w14:textId="77777777" w:rsidR="004531FD" w:rsidRPr="004531FD" w:rsidRDefault="004531FD" w:rsidP="004531FD">
      <w:pPr>
        <w:rPr>
          <w:lang w:val="en-US"/>
        </w:rPr>
      </w:pPr>
    </w:p>
    <w:p w14:paraId="6C9ABD97"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FD"/>
    <w:rsid w:val="004531FD"/>
    <w:rsid w:val="00767E38"/>
    <w:rsid w:val="00866F7D"/>
    <w:rsid w:val="00EE5CC4"/>
    <w:rsid w:val="00F722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3AF7"/>
  <w15:chartTrackingRefBased/>
  <w15:docId w15:val="{3F058583-D780-4604-AEFB-675C4B28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1FD"/>
    <w:rPr>
      <w:rFonts w:eastAsiaTheme="majorEastAsia" w:cstheme="majorBidi"/>
      <w:color w:val="272727" w:themeColor="text1" w:themeTint="D8"/>
    </w:rPr>
  </w:style>
  <w:style w:type="paragraph" w:styleId="Title">
    <w:name w:val="Title"/>
    <w:basedOn w:val="Normal"/>
    <w:next w:val="Normal"/>
    <w:link w:val="TitleChar"/>
    <w:uiPriority w:val="10"/>
    <w:qFormat/>
    <w:rsid w:val="00453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1FD"/>
    <w:pPr>
      <w:spacing w:before="160"/>
      <w:jc w:val="center"/>
    </w:pPr>
    <w:rPr>
      <w:i/>
      <w:iCs/>
      <w:color w:val="404040" w:themeColor="text1" w:themeTint="BF"/>
    </w:rPr>
  </w:style>
  <w:style w:type="character" w:customStyle="1" w:styleId="QuoteChar">
    <w:name w:val="Quote Char"/>
    <w:basedOn w:val="DefaultParagraphFont"/>
    <w:link w:val="Quote"/>
    <w:uiPriority w:val="29"/>
    <w:rsid w:val="004531FD"/>
    <w:rPr>
      <w:i/>
      <w:iCs/>
      <w:color w:val="404040" w:themeColor="text1" w:themeTint="BF"/>
    </w:rPr>
  </w:style>
  <w:style w:type="paragraph" w:styleId="ListParagraph">
    <w:name w:val="List Paragraph"/>
    <w:basedOn w:val="Normal"/>
    <w:uiPriority w:val="34"/>
    <w:qFormat/>
    <w:rsid w:val="004531FD"/>
    <w:pPr>
      <w:ind w:left="720"/>
      <w:contextualSpacing/>
    </w:pPr>
  </w:style>
  <w:style w:type="character" w:styleId="IntenseEmphasis">
    <w:name w:val="Intense Emphasis"/>
    <w:basedOn w:val="DefaultParagraphFont"/>
    <w:uiPriority w:val="21"/>
    <w:qFormat/>
    <w:rsid w:val="004531FD"/>
    <w:rPr>
      <w:i/>
      <w:iCs/>
      <w:color w:val="0F4761" w:themeColor="accent1" w:themeShade="BF"/>
    </w:rPr>
  </w:style>
  <w:style w:type="paragraph" w:styleId="IntenseQuote">
    <w:name w:val="Intense Quote"/>
    <w:basedOn w:val="Normal"/>
    <w:next w:val="Normal"/>
    <w:link w:val="IntenseQuoteChar"/>
    <w:uiPriority w:val="30"/>
    <w:qFormat/>
    <w:rsid w:val="00453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1FD"/>
    <w:rPr>
      <w:i/>
      <w:iCs/>
      <w:color w:val="0F4761" w:themeColor="accent1" w:themeShade="BF"/>
    </w:rPr>
  </w:style>
  <w:style w:type="character" w:styleId="IntenseReference">
    <w:name w:val="Intense Reference"/>
    <w:basedOn w:val="DefaultParagraphFont"/>
    <w:uiPriority w:val="32"/>
    <w:qFormat/>
    <w:rsid w:val="004531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2026-08-07T09:41:00Z</dcterms:created>
  <dcterms:modified xsi:type="dcterms:W3CDTF">2026-08-07T09:41:00Z</dcterms:modified>
</cp:coreProperties>
</file>