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2A08" w14:textId="77777777" w:rsidR="00584094" w:rsidRPr="00584094" w:rsidRDefault="00584094" w:rsidP="00584094">
      <w:pPr>
        <w:rPr>
          <w:b/>
          <w:bCs/>
          <w:lang w:val="en-US"/>
        </w:rPr>
      </w:pPr>
      <w:r w:rsidRPr="00584094">
        <w:rPr>
          <w:b/>
          <w:bCs/>
          <w:lang w:val="en-US"/>
        </w:rPr>
        <w:t>Appendix A: Detailed Validation Study Parameters</w:t>
      </w:r>
    </w:p>
    <w:p w14:paraId="07984529" w14:textId="77777777" w:rsidR="00584094" w:rsidRPr="00584094" w:rsidRDefault="00584094" w:rsidP="00584094">
      <w:pPr>
        <w:rPr>
          <w:lang w:val="en-US"/>
        </w:rPr>
      </w:pPr>
      <w:r w:rsidRPr="00584094">
        <w:rPr>
          <w:lang w:val="en-US"/>
        </w:rPr>
        <w:t>This appendix reproduces the full phase-by-phase specifications summarized in Section 11. Exact sample-size and analytic specifications should be finalized in protocol-specific work; the tables below retain only the phase logic, primary endpoints, and approximate planning ranges needed to distinguish technical validation from educational validation.</w:t>
      </w:r>
    </w:p>
    <w:p w14:paraId="77A1D79C" w14:textId="77777777" w:rsidR="00584094" w:rsidRPr="00584094" w:rsidRDefault="00584094" w:rsidP="00584094">
      <w:pPr>
        <w:rPr>
          <w:b/>
          <w:bCs/>
          <w:lang w:val="en-US"/>
        </w:rPr>
      </w:pPr>
      <w:r w:rsidRPr="00584094">
        <w:rPr>
          <w:b/>
          <w:bCs/>
          <w:lang w:val="en-US"/>
        </w:rPr>
        <w:t>A.1 Phase 1: Bench Validation of Fidelity and Interoperability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400"/>
      </w:tblGrid>
      <w:tr w:rsidR="00584094" w:rsidRPr="00584094" w14:paraId="6A52A245" w14:textId="77777777">
        <w:trPr>
          <w:tblHeader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D971D6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b/>
                <w:bCs/>
                <w:lang w:val="en-US"/>
              </w:rPr>
              <w:t>Item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F0E374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b/>
                <w:bCs/>
                <w:lang w:val="en-US"/>
              </w:rPr>
              <w:t>Recommendation</w:t>
            </w:r>
          </w:p>
        </w:tc>
      </w:tr>
      <w:tr w:rsidR="00584094" w:rsidRPr="00584094" w14:paraId="6F05F56F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2815B1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Purpose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D52555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Show that playback is technically faithful enough for the intended teaching task, using pre-specified equivalence testing rather than descriptive comparison alone</w:t>
            </w:r>
          </w:p>
        </w:tc>
      </w:tr>
      <w:tr w:rsidR="00584094" w:rsidRPr="00584094" w14:paraId="0F447077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A58F12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Stimulus set and scale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6E872C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20–30 curated cases spanning normal sinus rhythm, atrial fibrillation, bundle-branch block, STEMI-pattern findings, brady-/tachycardia, and artifact-challenge cases, repeated across 2–3 named monitor families if interoperability is claimed; PTB-XL/PTBDB-class 12-lead data should be used if 12-lead claims are made, not MIT-BIH alone</w:t>
            </w:r>
          </w:p>
        </w:tc>
      </w:tr>
      <w:tr w:rsidR="00584094" w:rsidRPr="00584094" w14:paraId="49C1D244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9B31AA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Primary endpoint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CD1596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RMS voltage error against source, evaluated against a pre-specified equivalence margin rather than judged as descriptively “low.” The margin itself should be defined prospectively from clinical ECG standards, measurement uncertainty, and preservation of curriculum-relevant morphology, with input from cardiology and biomedical-engineering expertise; the 20.8–28.4 µV reconstruction error reported in a comparable published system [10] is contextual evidence that such a margin is achievable, not itself a validated or educationally justified threshold; that figure derives from a ten-patient proof-of-concept validation in which reconstruction error was greatest for bundle-branch-block recordings and was reduced two- to three-fold when a simultaneous-sampling converter was used for re-digitisation [10]</w:t>
            </w:r>
          </w:p>
        </w:tc>
      </w:tr>
      <w:tr w:rsidR="00584094" w:rsidRPr="00584094" w14:paraId="782DCF5D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AC4C14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Secondary endpoints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EF58C9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Timing and ST-segment deviation error, rhythm-classification agreement, named-monitor recognition success</w:t>
            </w:r>
          </w:p>
        </w:tc>
      </w:tr>
      <w:tr w:rsidR="00584094" w:rsidRPr="00584094" w14:paraId="2655A522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791368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lastRenderedPageBreak/>
              <w:t>Statistical approach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EA308F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Equivalence-testing logic (e.g., repeated-measures Bland-Altman or hierarchical agreement models); exact margins and models to be finalized in protocol-specific work</w:t>
            </w:r>
          </w:p>
        </w:tc>
      </w:tr>
    </w:tbl>
    <w:p w14:paraId="3EACD242" w14:textId="77777777" w:rsidR="00584094" w:rsidRPr="00584094" w:rsidRDefault="00584094" w:rsidP="00584094">
      <w:pPr>
        <w:rPr>
          <w:lang w:val="en-US"/>
        </w:rPr>
      </w:pPr>
      <w:r w:rsidRPr="00584094">
        <w:rPr>
          <w:b/>
          <w:bCs/>
          <w:lang w:val="en-US"/>
        </w:rPr>
        <w:t>A.2 Phase 2: Randomized Crossover Educational Trial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7"/>
        <w:gridCol w:w="7063"/>
      </w:tblGrid>
      <w:tr w:rsidR="00584094" w:rsidRPr="00584094" w14:paraId="451025BB" w14:textId="77777777">
        <w:trPr>
          <w:tblHeader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0AFDB4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b/>
                <w:bCs/>
                <w:lang w:val="en-US"/>
              </w:rPr>
              <w:t>Item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B3A00E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b/>
                <w:bCs/>
                <w:lang w:val="en-US"/>
              </w:rPr>
              <w:t>Recommendation</w:t>
            </w:r>
          </w:p>
        </w:tc>
      </w:tr>
      <w:tr w:rsidR="00584094" w:rsidRPr="00584094" w14:paraId="2F706520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845F50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Purpose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493483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Test whether the module improves performance relative to comparator exposure, using each learner as their own control</w:t>
            </w:r>
          </w:p>
        </w:tc>
      </w:tr>
      <w:tr w:rsidR="00584094" w:rsidRPr="00584094" w14:paraId="583ED828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E446CF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Design and participants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7D1FEF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Randomized crossover trial with three arms: standardized playback hardware, a matched screen-based tool using the same waveform library, and static tracings or existing simulator display in senior medical students, residents, or a mixed novice/intermediate cohort, with period/sequence effects modeled explicitly. The hardware-vs-screen comparison isolates the physical-integration variable identified in Section 3.7 from the standardization variable that both hardware and screen arms share</w:t>
            </w:r>
          </w:p>
        </w:tc>
      </w:tr>
      <w:tr w:rsidR="00584094" w:rsidRPr="00584094" w14:paraId="61A4C5E0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F7698B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Planning scale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98F2BC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40–60 learners, a planning range only; not based on a prior effect-size estimate specific to this intervention, since none yet exists</w:t>
            </w:r>
          </w:p>
        </w:tc>
      </w:tr>
      <w:tr w:rsidR="00584094" w:rsidRPr="00584094" w14:paraId="66B991EC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480955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Single primary endpoint (by design)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9AA506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ECG interpretation accuracy on a standardized test bank scored against repository ground truth, kept as the sole primary endpoint to avoid multiplicity problems</w:t>
            </w:r>
          </w:p>
        </w:tc>
      </w:tr>
      <w:tr w:rsidR="00584094" w:rsidRPr="00584094" w14:paraId="348294B3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1FF428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Secondary/exploratory endpoints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E6922C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Time to diagnosis, confidence, cognitive workload, state anxiety, retention at 2–6 weeks; hypothesis-generating only, not sufficient alone to claim benefit if the primary endpoint is null</w:t>
            </w:r>
          </w:p>
        </w:tc>
      </w:tr>
    </w:tbl>
    <w:p w14:paraId="108F7477" w14:textId="77777777" w:rsidR="00584094" w:rsidRPr="00584094" w:rsidRDefault="00584094" w:rsidP="00584094">
      <w:pPr>
        <w:rPr>
          <w:b/>
          <w:bCs/>
          <w:lang w:val="en-US"/>
        </w:rPr>
      </w:pPr>
      <w:r w:rsidRPr="00584094">
        <w:rPr>
          <w:b/>
          <w:bCs/>
          <w:lang w:val="en-US"/>
        </w:rPr>
        <w:t>A.3 Phase 3: Multisite Pragmatic Implementation Study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400"/>
      </w:tblGrid>
      <w:tr w:rsidR="00584094" w:rsidRPr="00584094" w14:paraId="4670E9AB" w14:textId="77777777">
        <w:trPr>
          <w:tblHeader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73C01C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b/>
                <w:bCs/>
                <w:lang w:val="en-US"/>
              </w:rPr>
              <w:t>Item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9DEBED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b/>
                <w:bCs/>
                <w:lang w:val="en-US"/>
              </w:rPr>
              <w:t>Recommendation</w:t>
            </w:r>
          </w:p>
        </w:tc>
      </w:tr>
      <w:tr w:rsidR="00584094" w:rsidRPr="00584094" w14:paraId="74C3757C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C127A6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Purpose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1B060A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Test cross-site reproducibility and implementation feasibility using a shared waveform library and faculty package</w:t>
            </w:r>
          </w:p>
        </w:tc>
      </w:tr>
      <w:tr w:rsidR="00584094" w:rsidRPr="00584094" w14:paraId="1D0AF80B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F1DAC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lastRenderedPageBreak/>
              <w:t>Design and scale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A1FA44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4–8 simulation centers, approximately 20–30 learners per site as a naive planning figure; a stepped-wedge or staged rollout should be considered if implementation timing is itself of interest. Clustering by site will inflate the true required sample size beyond this naive figure; cluster-aware power planning is required before execution but is not detailed here</w:t>
            </w:r>
          </w:p>
        </w:tc>
      </w:tr>
      <w:tr w:rsidR="00584094" w:rsidRPr="00584094" w14:paraId="4534F083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A82DB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Primary endpoint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AE2A1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Between-site variability in performance on a common ECG case set, operationalized as the intraclass correlation coefficient (or an equivalent variance component) from a multilevel model with learner nested within site, combined with successful delivery of a predefined proportion (e.g., ≥90%) of standardized cases without technical deviation. A variance measure alone is difficult to interpret in isolation, so the two are reported jointly rather than the variance component serving as a sole primary endpoint.</w:t>
            </w:r>
          </w:p>
        </w:tc>
      </w:tr>
      <w:tr w:rsidR="00584094" w:rsidRPr="00584094" w14:paraId="3448F89E" w14:textId="77777777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BAA03" w14:textId="77777777" w:rsidR="00584094" w:rsidRPr="00584094" w:rsidRDefault="00584094" w:rsidP="00584094">
            <w:pPr>
              <w:rPr>
                <w:lang w:val="en-US"/>
              </w:rPr>
            </w:pPr>
            <w:r w:rsidRPr="00584094">
              <w:rPr>
                <w:lang w:val="en-US"/>
              </w:rPr>
              <w:t>Secondary endpoints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B5E618" w14:textId="77777777" w:rsidR="00584094" w:rsidRPr="00584094" w:rsidRDefault="00584094" w:rsidP="00584094">
            <w:pPr>
              <w:rPr>
                <w:lang w:val="en-US"/>
              </w:rPr>
            </w:pPr>
            <w:proofErr w:type="gramStart"/>
            <w:r w:rsidRPr="00584094">
              <w:rPr>
                <w:lang w:val="en-US"/>
              </w:rPr>
              <w:t>Implementation</w:t>
            </w:r>
            <w:proofErr w:type="gramEnd"/>
            <w:r w:rsidRPr="00584094">
              <w:rPr>
                <w:lang w:val="en-US"/>
              </w:rPr>
              <w:t xml:space="preserve"> fidelity, faculty usability (Section 9), setup time, technical failure rate, learner workload, scenario-version concordance across sites</w:t>
            </w:r>
          </w:p>
        </w:tc>
      </w:tr>
    </w:tbl>
    <w:p w14:paraId="6E768D54" w14:textId="77777777" w:rsidR="00584094" w:rsidRPr="00584094" w:rsidRDefault="00584094" w:rsidP="00584094">
      <w:pPr>
        <w:rPr>
          <w:lang w:val="en-US"/>
        </w:rPr>
      </w:pPr>
    </w:p>
    <w:p w14:paraId="2E15C398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94"/>
    <w:rsid w:val="0008201D"/>
    <w:rsid w:val="00584094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10CBD"/>
  <w15:chartTrackingRefBased/>
  <w15:docId w15:val="{E3C5984A-B8F3-47F9-9BC2-FD0156F4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0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0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0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0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0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0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0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2026-08-04T12:14:00Z</dcterms:created>
  <dcterms:modified xsi:type="dcterms:W3CDTF">2026-08-04T12:15:00Z</dcterms:modified>
</cp:coreProperties>
</file>