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FEE08" w14:textId="77777777" w:rsidR="00B1482B" w:rsidRDefault="00B1482B" w:rsidP="00B1482B">
      <w:pPr>
        <w:spacing w:line="480" w:lineRule="auto"/>
        <w:rPr>
          <w:rFonts w:cs="Times New Roman"/>
          <w:b/>
          <w:bCs/>
          <w:szCs w:val="24"/>
        </w:rPr>
      </w:pPr>
      <w:r w:rsidRPr="00205FCE">
        <w:rPr>
          <w:rFonts w:cs="Times New Roman"/>
          <w:b/>
          <w:bCs/>
          <w:szCs w:val="24"/>
        </w:rPr>
        <w:t>Impact</w:t>
      </w:r>
      <w:r>
        <w:rPr>
          <w:rFonts w:cs="Times New Roman"/>
          <w:b/>
          <w:bCs/>
          <w:szCs w:val="24"/>
        </w:rPr>
        <w:t>s</w:t>
      </w:r>
      <w:r w:rsidRPr="00205FCE">
        <w:rPr>
          <w:rFonts w:cs="Times New Roman"/>
          <w:b/>
          <w:bCs/>
          <w:szCs w:val="24"/>
        </w:rPr>
        <w:t xml:space="preserve"> of the Russia-Ukraine Conflict on Global Fertilizer</w:t>
      </w:r>
      <w:r>
        <w:rPr>
          <w:rFonts w:cs="Times New Roman"/>
          <w:b/>
          <w:bCs/>
          <w:szCs w:val="24"/>
        </w:rPr>
        <w:t xml:space="preserve"> and Commodity Markets</w:t>
      </w:r>
    </w:p>
    <w:p w14:paraId="463B72A3" w14:textId="77777777" w:rsidR="00B1482B" w:rsidRDefault="00B1482B" w:rsidP="00B1482B">
      <w:pPr>
        <w:rPr>
          <w:rFonts w:eastAsiaTheme="majorEastAsia" w:cs="Times New Roman"/>
          <w:b/>
          <w:bCs/>
          <w:szCs w:val="24"/>
          <w:lang w:eastAsia="en-US"/>
          <w14:ligatures w14:val="none"/>
        </w:rPr>
      </w:pPr>
      <w:r>
        <w:rPr>
          <w:rFonts w:eastAsiaTheme="majorEastAsia" w:cs="Times New Roman"/>
          <w:b/>
          <w:bCs/>
          <w:szCs w:val="24"/>
          <w:lang w:eastAsia="en-US"/>
          <w14:ligatures w14:val="none"/>
        </w:rPr>
        <w:t xml:space="preserve">Supplementary </w:t>
      </w:r>
      <w:r w:rsidRPr="00B1482B">
        <w:rPr>
          <w:rFonts w:eastAsiaTheme="majorEastAsia" w:cs="Times New Roman"/>
          <w:b/>
          <w:bCs/>
          <w:szCs w:val="24"/>
          <w:lang w:eastAsia="en-US"/>
          <w14:ligatures w14:val="none"/>
        </w:rPr>
        <w:t>Appendix</w:t>
      </w:r>
    </w:p>
    <w:p w14:paraId="71A9A6DC" w14:textId="77777777" w:rsidR="00B1482B" w:rsidRPr="00B1482B" w:rsidRDefault="00B1482B" w:rsidP="00B1482B">
      <w:pPr>
        <w:rPr>
          <w:rFonts w:eastAsia="Times New Roman" w:cs="Times New Roman"/>
          <w:szCs w:val="24"/>
          <w:lang w:eastAsia="en-US" w:bidi="bn-IN"/>
          <w14:ligatures w14:val="none"/>
        </w:rPr>
      </w:pPr>
    </w:p>
    <w:p w14:paraId="14734959" w14:textId="77777777" w:rsidR="0027031B" w:rsidRDefault="0027031B" w:rsidP="0027031B">
      <w:pPr>
        <w:keepNext/>
        <w:keepLines/>
        <w:rPr>
          <w14:ligatures w14:val="none"/>
        </w:rPr>
      </w:pPr>
      <w:r>
        <w:rPr>
          <w:szCs w:val="24"/>
        </w:rPr>
        <w:t>Table A1. Diagnostic tests for the least-squares price equations.</w:t>
      </w:r>
    </w:p>
    <w:p w14:paraId="25D1A5E3" w14:textId="77777777" w:rsidR="0027031B" w:rsidRPr="005E28B0" w:rsidRDefault="0027031B" w:rsidP="0027031B">
      <w:pPr>
        <w:rPr>
          <w:rFonts w:eastAsiaTheme="majorEastAsia"/>
          <w14:ligatures w14:val="none"/>
        </w:rPr>
      </w:pPr>
    </w:p>
    <w:tbl>
      <w:tblPr>
        <w:tblW w:w="0" w:type="auto"/>
        <w:tblBorders>
          <w:top w:val="single" w:sz="8" w:space="0" w:color="000000"/>
          <w:left w:val="nil"/>
          <w:bottom w:val="single" w:sz="8" w:space="0" w:color="000000"/>
          <w:right w:val="nil"/>
          <w:insideH w:val="nil"/>
          <w:insideV w:val="nil"/>
        </w:tblBorders>
        <w:tblLook w:val="04A0" w:firstRow="1" w:lastRow="0" w:firstColumn="1" w:lastColumn="0" w:noHBand="0" w:noVBand="1"/>
      </w:tblPr>
      <w:tblGrid>
        <w:gridCol w:w="1584"/>
        <w:gridCol w:w="2160"/>
        <w:gridCol w:w="2160"/>
        <w:gridCol w:w="2160"/>
      </w:tblGrid>
      <w:tr w:rsidR="00824B53" w:rsidRPr="00824B53" w14:paraId="2789DB26" w14:textId="77777777" w:rsidTr="001B76F6">
        <w:tc>
          <w:tcPr>
            <w:tcW w:w="1584" w:type="dxa"/>
            <w:tcBorders>
              <w:bottom w:val="single" w:sz="4" w:space="0" w:color="000000"/>
            </w:tcBorders>
            <w:hideMark/>
          </w:tcPr>
          <w:p w14:paraId="76D5C509" w14:textId="77777777" w:rsidR="0027031B" w:rsidRPr="00E835AA" w:rsidRDefault="0027031B">
            <w:pPr>
              <w:rPr>
                <w:rFonts w:cs="Times New Roman"/>
                <w:szCs w:val="24"/>
                <w:lang w:eastAsia="en-US"/>
                <w14:ligatures w14:val="none"/>
              </w:rPr>
            </w:pPr>
            <w:r w:rsidRPr="00E835AA">
              <w:rPr>
                <w:rFonts w:cs="Times New Roman"/>
                <w:b/>
                <w:sz w:val="22"/>
                <w:szCs w:val="24"/>
                <w:lang w:eastAsia="en-US"/>
                <w14:ligatures w14:val="none"/>
              </w:rPr>
              <w:t>Fertilizer</w:t>
            </w:r>
          </w:p>
        </w:tc>
        <w:tc>
          <w:tcPr>
            <w:tcW w:w="2160" w:type="dxa"/>
            <w:tcBorders>
              <w:bottom w:val="single" w:sz="4" w:space="0" w:color="000000"/>
            </w:tcBorders>
            <w:hideMark/>
          </w:tcPr>
          <w:p w14:paraId="01F4E6BB" w14:textId="77777777" w:rsidR="001B76F6" w:rsidRDefault="0027031B">
            <w:pPr>
              <w:rPr>
                <w:rFonts w:cs="Times New Roman"/>
                <w:szCs w:val="24"/>
                <w:lang w:eastAsia="en-US"/>
                <w14:ligatures w14:val="none"/>
              </w:rPr>
            </w:pPr>
            <w:r w:rsidRPr="00E835AA">
              <w:rPr>
                <w:rFonts w:cs="Times New Roman"/>
                <w:b/>
                <w:sz w:val="22"/>
                <w:szCs w:val="24"/>
                <w:lang w:eastAsia="en-US"/>
                <w14:ligatures w14:val="none"/>
              </w:rPr>
              <w:t>Breusch-Pagan Test</w:t>
            </w:r>
          </w:p>
          <w:p w14:paraId="2B443C2C" w14:textId="77777777" w:rsidR="0027031B" w:rsidRPr="00E835AA" w:rsidRDefault="0027031B">
            <w:pPr>
              <w:rPr>
                <w:rFonts w:cs="Times New Roman"/>
                <w:szCs w:val="24"/>
                <w:lang w:eastAsia="en-US"/>
                <w14:ligatures w14:val="none"/>
              </w:rPr>
            </w:pPr>
            <w:r w:rsidRPr="00E835AA">
              <w:rPr>
                <w:rFonts w:cs="Times New Roman"/>
                <w:b/>
                <w:sz w:val="22"/>
                <w:szCs w:val="24"/>
                <w:lang w:eastAsia="en-US"/>
                <w14:ligatures w14:val="none"/>
              </w:rPr>
              <w:t>(Chi2 Stat, p-value)</w:t>
            </w:r>
          </w:p>
        </w:tc>
        <w:tc>
          <w:tcPr>
            <w:tcW w:w="2160" w:type="dxa"/>
            <w:tcBorders>
              <w:bottom w:val="single" w:sz="4" w:space="0" w:color="000000"/>
            </w:tcBorders>
            <w:hideMark/>
          </w:tcPr>
          <w:p w14:paraId="73C52C37" w14:textId="77777777" w:rsidR="001B76F6" w:rsidRDefault="0027031B">
            <w:pPr>
              <w:rPr>
                <w:rFonts w:cs="Times New Roman"/>
                <w:szCs w:val="24"/>
                <w:lang w:eastAsia="en-US"/>
                <w14:ligatures w14:val="none"/>
              </w:rPr>
            </w:pPr>
            <w:r w:rsidRPr="00E835AA">
              <w:rPr>
                <w:rFonts w:cs="Times New Roman"/>
                <w:b/>
                <w:sz w:val="22"/>
                <w:szCs w:val="24"/>
                <w:lang w:eastAsia="en-US"/>
                <w14:ligatures w14:val="none"/>
              </w:rPr>
              <w:t>Breusch-Godfrey Test</w:t>
            </w:r>
          </w:p>
          <w:p w14:paraId="6E3E2EB7" w14:textId="77777777" w:rsidR="0027031B" w:rsidRPr="00E835AA" w:rsidRDefault="0027031B">
            <w:pPr>
              <w:rPr>
                <w:rFonts w:cs="Times New Roman"/>
                <w:szCs w:val="24"/>
                <w:lang w:eastAsia="en-US"/>
                <w14:ligatures w14:val="none"/>
              </w:rPr>
            </w:pPr>
            <w:r w:rsidRPr="00E835AA">
              <w:rPr>
                <w:rFonts w:cs="Times New Roman"/>
                <w:b/>
                <w:sz w:val="22"/>
                <w:szCs w:val="24"/>
                <w:lang w:eastAsia="en-US"/>
                <w14:ligatures w14:val="none"/>
              </w:rPr>
              <w:t>(Chi2 Stat, p-value)</w:t>
            </w:r>
          </w:p>
        </w:tc>
        <w:tc>
          <w:tcPr>
            <w:tcW w:w="2160" w:type="dxa"/>
            <w:tcBorders>
              <w:bottom w:val="single" w:sz="4" w:space="0" w:color="000000"/>
            </w:tcBorders>
            <w:hideMark/>
          </w:tcPr>
          <w:p w14:paraId="629322AE" w14:textId="77777777" w:rsidR="001B76F6" w:rsidRDefault="0027031B">
            <w:pPr>
              <w:rPr>
                <w:rFonts w:cs="Times New Roman"/>
                <w:szCs w:val="24"/>
                <w:lang w:eastAsia="en-US"/>
                <w14:ligatures w14:val="none"/>
              </w:rPr>
            </w:pPr>
            <w:r w:rsidRPr="00E835AA">
              <w:rPr>
                <w:rFonts w:cs="Times New Roman"/>
                <w:b/>
                <w:sz w:val="22"/>
                <w:szCs w:val="24"/>
                <w:lang w:eastAsia="en-US"/>
                <w14:ligatures w14:val="none"/>
              </w:rPr>
              <w:t>Ramsey RESET Test</w:t>
            </w:r>
          </w:p>
          <w:p w14:paraId="41A66552" w14:textId="77777777" w:rsidR="0027031B" w:rsidRPr="00E835AA" w:rsidRDefault="0027031B">
            <w:pPr>
              <w:rPr>
                <w:rFonts w:cs="Times New Roman"/>
                <w:szCs w:val="24"/>
                <w:lang w:eastAsia="en-US"/>
                <w14:ligatures w14:val="none"/>
              </w:rPr>
            </w:pPr>
            <w:r w:rsidRPr="00E835AA">
              <w:rPr>
                <w:rFonts w:cs="Times New Roman"/>
                <w:b/>
                <w:sz w:val="22"/>
                <w:szCs w:val="24"/>
                <w:lang w:eastAsia="en-US"/>
                <w14:ligatures w14:val="none"/>
              </w:rPr>
              <w:t>(F Stat, p-value)</w:t>
            </w:r>
          </w:p>
        </w:tc>
      </w:tr>
      <w:tr w:rsidR="00824B53" w:rsidRPr="00824B53" w14:paraId="314AC6EB" w14:textId="77777777" w:rsidTr="001B76F6">
        <w:tc>
          <w:tcPr>
            <w:tcW w:w="1584" w:type="dxa"/>
            <w:hideMark/>
          </w:tcPr>
          <w:p w14:paraId="6EA90AE8" w14:textId="77777777" w:rsidR="0027031B" w:rsidRPr="00E835AA" w:rsidRDefault="0027031B">
            <w:pPr>
              <w:rPr>
                <w:rFonts w:cs="Times New Roman"/>
                <w:szCs w:val="24"/>
                <w:lang w:eastAsia="en-US"/>
                <w14:ligatures w14:val="none"/>
              </w:rPr>
            </w:pPr>
            <w:r w:rsidRPr="00E835AA">
              <w:rPr>
                <w:rFonts w:cs="Times New Roman"/>
                <w:sz w:val="22"/>
                <w:szCs w:val="24"/>
                <w:lang w:eastAsia="en-US"/>
                <w14:ligatures w14:val="none"/>
              </w:rPr>
              <w:t>Urea</w:t>
            </w:r>
          </w:p>
        </w:tc>
        <w:tc>
          <w:tcPr>
            <w:tcW w:w="2160" w:type="dxa"/>
            <w:hideMark/>
          </w:tcPr>
          <w:p w14:paraId="661458C5"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0.07 (p=0.788)</w:t>
            </w:r>
          </w:p>
        </w:tc>
        <w:tc>
          <w:tcPr>
            <w:tcW w:w="2160" w:type="dxa"/>
            <w:hideMark/>
          </w:tcPr>
          <w:p w14:paraId="359E6C63"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68.68 (p&lt;0.001)</w:t>
            </w:r>
          </w:p>
        </w:tc>
        <w:tc>
          <w:tcPr>
            <w:tcW w:w="2160" w:type="dxa"/>
            <w:hideMark/>
          </w:tcPr>
          <w:p w14:paraId="19B0DE3F"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20.31 (p&lt;0.001)</w:t>
            </w:r>
          </w:p>
        </w:tc>
      </w:tr>
      <w:tr w:rsidR="001B76F6" w:rsidRPr="00E835AA" w14:paraId="120B9369" w14:textId="77777777" w:rsidTr="001B76F6">
        <w:tc>
          <w:tcPr>
            <w:tcW w:w="1584" w:type="dxa"/>
            <w:hideMark/>
          </w:tcPr>
          <w:p w14:paraId="1CBDE969" w14:textId="77777777" w:rsidR="0027031B" w:rsidRPr="00E835AA" w:rsidRDefault="0027031B">
            <w:pPr>
              <w:rPr>
                <w:rFonts w:cs="Times New Roman"/>
                <w:szCs w:val="24"/>
                <w:lang w:eastAsia="en-US"/>
                <w14:ligatures w14:val="none"/>
              </w:rPr>
            </w:pPr>
            <w:r w:rsidRPr="00E835AA">
              <w:rPr>
                <w:rFonts w:cs="Times New Roman"/>
                <w:sz w:val="22"/>
                <w:szCs w:val="24"/>
                <w:lang w:eastAsia="en-US"/>
                <w14:ligatures w14:val="none"/>
              </w:rPr>
              <w:t>MOP</w:t>
            </w:r>
          </w:p>
        </w:tc>
        <w:tc>
          <w:tcPr>
            <w:tcW w:w="2160" w:type="dxa"/>
            <w:hideMark/>
          </w:tcPr>
          <w:p w14:paraId="3CB011EC"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3.71 (p=0.054)</w:t>
            </w:r>
          </w:p>
        </w:tc>
        <w:tc>
          <w:tcPr>
            <w:tcW w:w="2160" w:type="dxa"/>
            <w:hideMark/>
          </w:tcPr>
          <w:p w14:paraId="49AC6E17"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19.78 (p&lt;0.001)</w:t>
            </w:r>
          </w:p>
        </w:tc>
        <w:tc>
          <w:tcPr>
            <w:tcW w:w="2160" w:type="dxa"/>
            <w:hideMark/>
          </w:tcPr>
          <w:p w14:paraId="77083CA6"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9.90 (p&lt;0.001)</w:t>
            </w:r>
          </w:p>
        </w:tc>
      </w:tr>
      <w:tr w:rsidR="00824B53" w:rsidRPr="00824B53" w14:paraId="296493B3" w14:textId="77777777" w:rsidTr="001B76F6">
        <w:tc>
          <w:tcPr>
            <w:tcW w:w="1584" w:type="dxa"/>
            <w:hideMark/>
          </w:tcPr>
          <w:p w14:paraId="6122D439" w14:textId="77777777" w:rsidR="0027031B" w:rsidRPr="00E835AA" w:rsidRDefault="0027031B">
            <w:pPr>
              <w:rPr>
                <w:rFonts w:cs="Times New Roman"/>
                <w:szCs w:val="24"/>
                <w:lang w:eastAsia="en-US"/>
                <w14:ligatures w14:val="none"/>
              </w:rPr>
            </w:pPr>
            <w:r w:rsidRPr="00E835AA">
              <w:rPr>
                <w:rFonts w:cs="Times New Roman"/>
                <w:sz w:val="22"/>
                <w:szCs w:val="24"/>
                <w:lang w:eastAsia="en-US"/>
                <w14:ligatures w14:val="none"/>
              </w:rPr>
              <w:t>DAP</w:t>
            </w:r>
          </w:p>
        </w:tc>
        <w:tc>
          <w:tcPr>
            <w:tcW w:w="2160" w:type="dxa"/>
            <w:hideMark/>
          </w:tcPr>
          <w:p w14:paraId="10346793"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0.90 (p=0.341)</w:t>
            </w:r>
          </w:p>
        </w:tc>
        <w:tc>
          <w:tcPr>
            <w:tcW w:w="2160" w:type="dxa"/>
            <w:hideMark/>
          </w:tcPr>
          <w:p w14:paraId="45763636"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32.63 (p&lt;0.001)</w:t>
            </w:r>
          </w:p>
        </w:tc>
        <w:tc>
          <w:tcPr>
            <w:tcW w:w="2160" w:type="dxa"/>
            <w:hideMark/>
          </w:tcPr>
          <w:p w14:paraId="630A9E37"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11.15 (p&lt;0.001)</w:t>
            </w:r>
          </w:p>
        </w:tc>
      </w:tr>
      <w:tr w:rsidR="001B76F6" w:rsidRPr="00E835AA" w14:paraId="672AF92C" w14:textId="77777777" w:rsidTr="001B76F6">
        <w:tc>
          <w:tcPr>
            <w:tcW w:w="1584" w:type="dxa"/>
            <w:hideMark/>
          </w:tcPr>
          <w:p w14:paraId="12830D33" w14:textId="77777777" w:rsidR="0027031B" w:rsidRPr="00E835AA" w:rsidRDefault="0027031B">
            <w:pPr>
              <w:rPr>
                <w:rFonts w:cs="Times New Roman"/>
                <w:szCs w:val="24"/>
                <w:lang w:eastAsia="en-US"/>
                <w14:ligatures w14:val="none"/>
              </w:rPr>
            </w:pPr>
            <w:r w:rsidRPr="00E835AA">
              <w:rPr>
                <w:rFonts w:cs="Times New Roman"/>
                <w:sz w:val="22"/>
                <w:szCs w:val="24"/>
                <w:lang w:eastAsia="en-US"/>
                <w14:ligatures w14:val="none"/>
              </w:rPr>
              <w:t>MAP</w:t>
            </w:r>
          </w:p>
        </w:tc>
        <w:tc>
          <w:tcPr>
            <w:tcW w:w="2160" w:type="dxa"/>
            <w:hideMark/>
          </w:tcPr>
          <w:p w14:paraId="489E28D5"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0.27 (p=0.602)</w:t>
            </w:r>
          </w:p>
        </w:tc>
        <w:tc>
          <w:tcPr>
            <w:tcW w:w="2160" w:type="dxa"/>
            <w:hideMark/>
          </w:tcPr>
          <w:p w14:paraId="76913BE8"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49.16 (p&lt;0.001)</w:t>
            </w:r>
          </w:p>
        </w:tc>
        <w:tc>
          <w:tcPr>
            <w:tcW w:w="2160" w:type="dxa"/>
            <w:hideMark/>
          </w:tcPr>
          <w:p w14:paraId="3CB42CE4"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6.00 (p&lt;0.001)</w:t>
            </w:r>
          </w:p>
        </w:tc>
      </w:tr>
      <w:tr w:rsidR="00824B53" w:rsidRPr="00824B53" w14:paraId="7A376E8E" w14:textId="77777777" w:rsidTr="001B76F6">
        <w:tc>
          <w:tcPr>
            <w:tcW w:w="1584" w:type="dxa"/>
            <w:hideMark/>
          </w:tcPr>
          <w:p w14:paraId="76A5FEB9" w14:textId="77777777" w:rsidR="0027031B" w:rsidRPr="00E835AA" w:rsidRDefault="0027031B">
            <w:pPr>
              <w:rPr>
                <w:rFonts w:cs="Times New Roman"/>
                <w:szCs w:val="24"/>
                <w:lang w:eastAsia="en-US"/>
                <w14:ligatures w14:val="none"/>
              </w:rPr>
            </w:pPr>
            <w:r w:rsidRPr="00E835AA">
              <w:rPr>
                <w:rFonts w:cs="Times New Roman"/>
                <w:sz w:val="22"/>
                <w:szCs w:val="24"/>
                <w:lang w:eastAsia="en-US"/>
                <w14:ligatures w14:val="none"/>
              </w:rPr>
              <w:t>NPK</w:t>
            </w:r>
          </w:p>
        </w:tc>
        <w:tc>
          <w:tcPr>
            <w:tcW w:w="2160" w:type="dxa"/>
            <w:hideMark/>
          </w:tcPr>
          <w:p w14:paraId="5929F511"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0.05 (p=0.815)</w:t>
            </w:r>
          </w:p>
        </w:tc>
        <w:tc>
          <w:tcPr>
            <w:tcW w:w="2160" w:type="dxa"/>
            <w:hideMark/>
          </w:tcPr>
          <w:p w14:paraId="39AB82BD"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45.93 (p&lt;0.001)</w:t>
            </w:r>
          </w:p>
        </w:tc>
        <w:tc>
          <w:tcPr>
            <w:tcW w:w="2160" w:type="dxa"/>
            <w:hideMark/>
          </w:tcPr>
          <w:p w14:paraId="03C36647" w14:textId="77777777" w:rsidR="0027031B" w:rsidRPr="00E835AA" w:rsidRDefault="0027031B">
            <w:pPr>
              <w:rPr>
                <w:rFonts w:eastAsiaTheme="majorEastAsia" w:cs="Times New Roman"/>
                <w:szCs w:val="24"/>
                <w:lang w:eastAsia="en-US"/>
                <w14:ligatures w14:val="none"/>
              </w:rPr>
            </w:pPr>
            <w:r w:rsidRPr="00E835AA">
              <w:rPr>
                <w:rFonts w:eastAsiaTheme="majorEastAsia" w:cs="Times New Roman"/>
                <w:sz w:val="22"/>
                <w:szCs w:val="24"/>
                <w:lang w:eastAsia="en-US"/>
                <w14:ligatures w14:val="none"/>
              </w:rPr>
              <w:t>2.86 (p=0.041)</w:t>
            </w:r>
          </w:p>
        </w:tc>
      </w:tr>
    </w:tbl>
    <w:p w14:paraId="3B9949B4" w14:textId="77777777" w:rsidR="0077761C" w:rsidRDefault="0077761C" w:rsidP="0027031B">
      <w:pPr>
        <w:rPr>
          <w:rFonts w:eastAsiaTheme="majorEastAsia" w:cs="Times New Roman"/>
          <w:i/>
          <w:iCs/>
          <w:szCs w:val="24"/>
          <w:lang w:eastAsia="en-US"/>
          <w14:ligatures w14:val="none"/>
        </w:rPr>
      </w:pPr>
    </w:p>
    <w:p w14:paraId="02AD4BA5" w14:textId="77777777" w:rsidR="0027031B" w:rsidRPr="00E835AA" w:rsidRDefault="0027031B" w:rsidP="0027031B">
      <w:pPr>
        <w:rPr>
          <w:rFonts w:eastAsiaTheme="majorEastAsia" w:cs="Times New Roman"/>
          <w:sz w:val="20"/>
          <w:szCs w:val="20"/>
          <w:lang w:eastAsia="en-US"/>
          <w14:ligatures w14:val="none"/>
        </w:rPr>
      </w:pPr>
      <w:r w:rsidRPr="00E835AA">
        <w:rPr>
          <w:rFonts w:eastAsiaTheme="majorEastAsia" w:cs="Times New Roman"/>
          <w:i/>
          <w:iCs/>
          <w:szCs w:val="20"/>
          <w:lang w:eastAsia="en-US"/>
          <w14:ligatures w14:val="none"/>
        </w:rPr>
        <w:t>Note: This table presents standard diagnostic tests for the least-squares models specified in Equation (1) and reported in Table 1. The Breusch-Pagan test checks for heteroscedasticity (H0: constant variance). The Breusch-Godfrey test checks for first-order serial correlation (H0: no serial correlation). The Ramsey RESET test checks model specification errors like omitted variables or incorrect functional form (H0: model has no omitted variables). Significant p-values (e.g., &lt;0.05) suggest rejection of the null hypothesis. The results indicate significant serial correlation (Breusch-Godfrey test) and potential specification issues (Ramsey RESET test) across all models, which is not uncommon when modeling aggregate price series with complex dynamics. Heteroscedasticity is not indicated at the 5% level for any fertilizer; the MOP model is marginally significant (Breusch-Pagan p=0.054), and the other four models show no evidence of non-constant variance. While these diagnostic results highlight potential statistical issues and are consistent with the dynamic features of monthly commodity price series, the least-squares specification in Equation (1) was initially chosen for its parsimony and the direct interpretability of the war-period coefficient (λ). This coefficient provides a straightforward estimate of the average percentage price difference associated with the conflict period, controlling for primary input costs. As reported in Table 1 (ADF rows), residual-based cointegration tests indicate stable long-run relationships. The use of robust standard errors in the main analysis was employed specifically to ensure more reliable statistical inference in the presence of the heteroscedasticity and autocorrelation suggested by these diagnostic tests.</w:t>
      </w:r>
    </w:p>
    <w:p w14:paraId="54D5C24A" w14:textId="77777777" w:rsidR="0027031B" w:rsidRDefault="0027031B">
      <w:pPr>
        <w:spacing w:after="160" w:line="259" w:lineRule="auto"/>
        <w:rPr>
          <w:rFonts w:eastAsia="Times New Roman" w:cs="Times New Roman"/>
          <w:b/>
          <w:bCs/>
          <w:szCs w:val="24"/>
          <w:lang w:eastAsia="en-US" w:bidi="bn-IN"/>
          <w14:ligatures w14:val="none"/>
        </w:rPr>
      </w:pPr>
      <w:r>
        <w:rPr>
          <w:rFonts w:eastAsia="Times New Roman" w:cs="Times New Roman"/>
          <w:b/>
          <w:bCs/>
          <w:szCs w:val="24"/>
          <w:lang w:eastAsia="en-US" w:bidi="bn-IN"/>
          <w14:ligatures w14:val="none"/>
        </w:rPr>
        <w:br w:type="page"/>
      </w:r>
    </w:p>
    <w:p w14:paraId="278B8373" w14:textId="77777777" w:rsidR="000F4EF8" w:rsidRDefault="00000000">
      <w:pPr>
        <w:keepNext/>
        <w:keepLines/>
        <w:pageBreakBefore/>
      </w:pPr>
      <w:r>
        <w:rPr>
          <w:szCs w:val="24"/>
        </w:rPr>
        <w:t>Table A2. Bilateral HS6 panel: fertilizer unit values with policy-shock controls.</w:t>
      </w:r>
    </w:p>
    <w:tbl>
      <w:tblPr>
        <w:tblW w:w="9352" w:type="dxa"/>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1945"/>
        <w:gridCol w:w="1059"/>
        <w:gridCol w:w="1058"/>
        <w:gridCol w:w="1058"/>
        <w:gridCol w:w="1058"/>
        <w:gridCol w:w="1058"/>
        <w:gridCol w:w="1058"/>
      </w:tblGrid>
      <w:tr w:rsidR="000F4EF8" w14:paraId="4F97DDE5" w14:textId="77777777">
        <w:tc>
          <w:tcPr>
            <w:tcW w:w="1944" w:type="dxa"/>
            <w:tcBorders>
              <w:bottom w:val="single" w:sz="4" w:space="0" w:color="000000"/>
            </w:tcBorders>
          </w:tcPr>
          <w:p w14:paraId="2E3EA234" w14:textId="77777777" w:rsidR="000F4EF8" w:rsidRDefault="00000000">
            <w:r>
              <w:rPr>
                <w:b/>
                <w:sz w:val="20"/>
                <w:szCs w:val="20"/>
              </w:rPr>
              <w:t>Variable</w:t>
            </w:r>
          </w:p>
        </w:tc>
        <w:tc>
          <w:tcPr>
            <w:tcW w:w="1058" w:type="dxa"/>
            <w:tcBorders>
              <w:bottom w:val="single" w:sz="4" w:space="0" w:color="000000"/>
            </w:tcBorders>
            <w:noWrap/>
          </w:tcPr>
          <w:p w14:paraId="33E16D0C" w14:textId="77777777" w:rsidR="000F4EF8" w:rsidRDefault="00000000">
            <w:r>
              <w:rPr>
                <w:b/>
                <w:sz w:val="20"/>
                <w:szCs w:val="20"/>
              </w:rPr>
              <w:t>Pooled</w:t>
            </w:r>
          </w:p>
        </w:tc>
        <w:tc>
          <w:tcPr>
            <w:tcW w:w="1058" w:type="dxa"/>
            <w:tcBorders>
              <w:bottom w:val="single" w:sz="4" w:space="0" w:color="000000"/>
            </w:tcBorders>
            <w:noWrap/>
          </w:tcPr>
          <w:p w14:paraId="180C7E81" w14:textId="77777777" w:rsidR="000F4EF8" w:rsidRDefault="00000000">
            <w:r>
              <w:rPr>
                <w:b/>
                <w:sz w:val="20"/>
                <w:szCs w:val="20"/>
              </w:rPr>
              <w:t>Urea</w:t>
            </w:r>
          </w:p>
        </w:tc>
        <w:tc>
          <w:tcPr>
            <w:tcW w:w="1058" w:type="dxa"/>
            <w:tcBorders>
              <w:bottom w:val="single" w:sz="4" w:space="0" w:color="000000"/>
            </w:tcBorders>
            <w:noWrap/>
          </w:tcPr>
          <w:p w14:paraId="325DDD67" w14:textId="77777777" w:rsidR="000F4EF8" w:rsidRDefault="00000000">
            <w:r>
              <w:rPr>
                <w:b/>
                <w:sz w:val="20"/>
                <w:szCs w:val="20"/>
              </w:rPr>
              <w:t>MOP</w:t>
            </w:r>
          </w:p>
        </w:tc>
        <w:tc>
          <w:tcPr>
            <w:tcW w:w="1058" w:type="dxa"/>
            <w:tcBorders>
              <w:bottom w:val="single" w:sz="4" w:space="0" w:color="000000"/>
            </w:tcBorders>
            <w:noWrap/>
          </w:tcPr>
          <w:p w14:paraId="56037748" w14:textId="77777777" w:rsidR="000F4EF8" w:rsidRDefault="00000000">
            <w:r>
              <w:rPr>
                <w:b/>
                <w:sz w:val="20"/>
                <w:szCs w:val="20"/>
              </w:rPr>
              <w:t>DAP</w:t>
            </w:r>
          </w:p>
        </w:tc>
        <w:tc>
          <w:tcPr>
            <w:tcW w:w="1058" w:type="dxa"/>
            <w:tcBorders>
              <w:bottom w:val="single" w:sz="4" w:space="0" w:color="000000"/>
            </w:tcBorders>
            <w:noWrap/>
          </w:tcPr>
          <w:p w14:paraId="5E03EE34" w14:textId="77777777" w:rsidR="000F4EF8" w:rsidRDefault="00000000">
            <w:r>
              <w:rPr>
                <w:b/>
                <w:sz w:val="20"/>
                <w:szCs w:val="20"/>
              </w:rPr>
              <w:t>MAP</w:t>
            </w:r>
          </w:p>
        </w:tc>
        <w:tc>
          <w:tcPr>
            <w:tcW w:w="1058" w:type="dxa"/>
            <w:tcBorders>
              <w:bottom w:val="single" w:sz="4" w:space="0" w:color="000000"/>
            </w:tcBorders>
            <w:noWrap/>
          </w:tcPr>
          <w:p w14:paraId="57D6340E" w14:textId="77777777" w:rsidR="000F4EF8" w:rsidRDefault="00000000">
            <w:r>
              <w:rPr>
                <w:b/>
                <w:sz w:val="20"/>
                <w:szCs w:val="20"/>
              </w:rPr>
              <w:t>NPK</w:t>
            </w:r>
          </w:p>
        </w:tc>
      </w:tr>
      <w:tr w:rsidR="000F4EF8" w14:paraId="3BB140C2" w14:textId="77777777">
        <w:tc>
          <w:tcPr>
            <w:tcW w:w="1944" w:type="dxa"/>
          </w:tcPr>
          <w:p w14:paraId="102867BF" w14:textId="77777777" w:rsidR="000F4EF8" w:rsidRDefault="00000000">
            <w:r>
              <w:rPr>
                <w:sz w:val="20"/>
                <w:szCs w:val="20"/>
              </w:rPr>
              <w:t>US phosphate duties (Mar 2021)</w:t>
            </w:r>
          </w:p>
        </w:tc>
        <w:tc>
          <w:tcPr>
            <w:tcW w:w="1058" w:type="dxa"/>
            <w:noWrap/>
          </w:tcPr>
          <w:p w14:paraId="7920BDC9" w14:textId="77777777" w:rsidR="000F4EF8" w:rsidRDefault="00000000">
            <w:r>
              <w:rPr>
                <w:sz w:val="20"/>
                <w:szCs w:val="20"/>
              </w:rPr>
              <w:t>0.135</w:t>
            </w:r>
            <w:r>
              <w:rPr>
                <w:sz w:val="20"/>
                <w:szCs w:val="20"/>
                <w:vertAlign w:val="superscript"/>
              </w:rPr>
              <w:t>***</w:t>
            </w:r>
          </w:p>
        </w:tc>
        <w:tc>
          <w:tcPr>
            <w:tcW w:w="1058" w:type="dxa"/>
            <w:noWrap/>
          </w:tcPr>
          <w:p w14:paraId="27525E94" w14:textId="77777777" w:rsidR="000F4EF8" w:rsidRDefault="00000000">
            <w:r>
              <w:rPr>
                <w:sz w:val="20"/>
                <w:szCs w:val="20"/>
              </w:rPr>
              <w:t>0.184</w:t>
            </w:r>
            <w:r>
              <w:rPr>
                <w:sz w:val="20"/>
                <w:szCs w:val="20"/>
                <w:vertAlign w:val="superscript"/>
              </w:rPr>
              <w:t>***</w:t>
            </w:r>
          </w:p>
        </w:tc>
        <w:tc>
          <w:tcPr>
            <w:tcW w:w="1058" w:type="dxa"/>
            <w:noWrap/>
          </w:tcPr>
          <w:p w14:paraId="1E0328A9" w14:textId="77777777" w:rsidR="000F4EF8" w:rsidRDefault="00000000">
            <w:r>
              <w:rPr>
                <w:sz w:val="20"/>
                <w:szCs w:val="20"/>
              </w:rPr>
              <w:t>0.065</w:t>
            </w:r>
          </w:p>
        </w:tc>
        <w:tc>
          <w:tcPr>
            <w:tcW w:w="1058" w:type="dxa"/>
            <w:noWrap/>
          </w:tcPr>
          <w:p w14:paraId="7A3BAD83" w14:textId="77777777" w:rsidR="000F4EF8" w:rsidRDefault="00000000">
            <w:r>
              <w:rPr>
                <w:sz w:val="20"/>
                <w:szCs w:val="20"/>
              </w:rPr>
              <w:t>0.155***</w:t>
            </w:r>
          </w:p>
        </w:tc>
        <w:tc>
          <w:tcPr>
            <w:tcW w:w="1058" w:type="dxa"/>
            <w:noWrap/>
          </w:tcPr>
          <w:p w14:paraId="5E7C7DCA" w14:textId="77777777" w:rsidR="000F4EF8" w:rsidRDefault="00000000">
            <w:r>
              <w:rPr>
                <w:sz w:val="20"/>
                <w:szCs w:val="20"/>
              </w:rPr>
              <w:t>0.135***</w:t>
            </w:r>
          </w:p>
        </w:tc>
        <w:tc>
          <w:tcPr>
            <w:tcW w:w="1058" w:type="dxa"/>
            <w:noWrap/>
          </w:tcPr>
          <w:p w14:paraId="68F28A51" w14:textId="77777777" w:rsidR="000F4EF8" w:rsidRDefault="00000000">
            <w:r>
              <w:rPr>
                <w:sz w:val="20"/>
                <w:szCs w:val="20"/>
              </w:rPr>
              <w:t>0.119***</w:t>
            </w:r>
          </w:p>
        </w:tc>
      </w:tr>
      <w:tr w:rsidR="000F4EF8" w14:paraId="09E1018A" w14:textId="77777777">
        <w:tc>
          <w:tcPr>
            <w:tcW w:w="1944" w:type="dxa"/>
          </w:tcPr>
          <w:p w14:paraId="1A0E2B92" w14:textId="77777777" w:rsidR="000F4EF8" w:rsidRDefault="00000000">
            <w:r>
              <w:rPr>
                <w:sz w:val="20"/>
                <w:szCs w:val="20"/>
              </w:rPr>
              <w:t>China phosphate ban (Jul 2021)</w:t>
            </w:r>
          </w:p>
        </w:tc>
        <w:tc>
          <w:tcPr>
            <w:tcW w:w="1058" w:type="dxa"/>
            <w:noWrap/>
          </w:tcPr>
          <w:p w14:paraId="2CAA3264" w14:textId="77777777" w:rsidR="000F4EF8" w:rsidRDefault="00000000">
            <w:r>
              <w:rPr>
                <w:sz w:val="20"/>
                <w:szCs w:val="20"/>
              </w:rPr>
              <w:t>0.065</w:t>
            </w:r>
            <w:r>
              <w:rPr>
                <w:sz w:val="20"/>
                <w:szCs w:val="20"/>
                <w:vertAlign w:val="superscript"/>
              </w:rPr>
              <w:t>***</w:t>
            </w:r>
          </w:p>
        </w:tc>
        <w:tc>
          <w:tcPr>
            <w:tcW w:w="1058" w:type="dxa"/>
            <w:noWrap/>
          </w:tcPr>
          <w:p w14:paraId="1CDB3F28" w14:textId="77777777" w:rsidR="000F4EF8" w:rsidRDefault="00000000">
            <w:r>
              <w:rPr>
                <w:sz w:val="20"/>
                <w:szCs w:val="20"/>
              </w:rPr>
              <w:t>0.063</w:t>
            </w:r>
            <w:r>
              <w:rPr>
                <w:sz w:val="20"/>
                <w:szCs w:val="20"/>
                <w:vertAlign w:val="superscript"/>
              </w:rPr>
              <w:t>***</w:t>
            </w:r>
          </w:p>
        </w:tc>
        <w:tc>
          <w:tcPr>
            <w:tcW w:w="1058" w:type="dxa"/>
            <w:noWrap/>
          </w:tcPr>
          <w:p w14:paraId="2212AA24" w14:textId="77777777" w:rsidR="000F4EF8" w:rsidRDefault="00000000">
            <w:r>
              <w:rPr>
                <w:sz w:val="20"/>
                <w:szCs w:val="20"/>
              </w:rPr>
              <w:t>0.045</w:t>
            </w:r>
          </w:p>
        </w:tc>
        <w:tc>
          <w:tcPr>
            <w:tcW w:w="1058" w:type="dxa"/>
            <w:noWrap/>
          </w:tcPr>
          <w:p w14:paraId="4115DAEE" w14:textId="77777777" w:rsidR="000F4EF8" w:rsidRDefault="00000000">
            <w:r>
              <w:rPr>
                <w:sz w:val="20"/>
                <w:szCs w:val="20"/>
              </w:rPr>
              <w:t>0.159***</w:t>
            </w:r>
          </w:p>
        </w:tc>
        <w:tc>
          <w:tcPr>
            <w:tcW w:w="1058" w:type="dxa"/>
            <w:noWrap/>
          </w:tcPr>
          <w:p w14:paraId="7E7CAA9C" w14:textId="77777777" w:rsidR="000F4EF8" w:rsidRDefault="00000000">
            <w:r>
              <w:rPr>
                <w:sz w:val="20"/>
                <w:szCs w:val="20"/>
              </w:rPr>
              <w:t>0.075**</w:t>
            </w:r>
          </w:p>
        </w:tc>
        <w:tc>
          <w:tcPr>
            <w:tcW w:w="1058" w:type="dxa"/>
            <w:noWrap/>
          </w:tcPr>
          <w:p w14:paraId="0FAA0DD3" w14:textId="77777777" w:rsidR="000F4EF8" w:rsidRDefault="00000000">
            <w:r>
              <w:rPr>
                <w:sz w:val="20"/>
                <w:szCs w:val="20"/>
              </w:rPr>
              <w:t>0.034*</w:t>
            </w:r>
          </w:p>
        </w:tc>
      </w:tr>
      <w:tr w:rsidR="000F4EF8" w14:paraId="6479BF6A" w14:textId="77777777">
        <w:tc>
          <w:tcPr>
            <w:tcW w:w="1944" w:type="dxa"/>
          </w:tcPr>
          <w:p w14:paraId="1804D337" w14:textId="77777777" w:rsidR="000F4EF8" w:rsidRDefault="00000000">
            <w:r>
              <w:rPr>
                <w:sz w:val="20"/>
                <w:szCs w:val="20"/>
              </w:rPr>
              <w:t>Belarus sanctions (Aug 2021)</w:t>
            </w:r>
          </w:p>
        </w:tc>
        <w:tc>
          <w:tcPr>
            <w:tcW w:w="1058" w:type="dxa"/>
            <w:noWrap/>
          </w:tcPr>
          <w:p w14:paraId="0C27B4C8" w14:textId="77777777" w:rsidR="000F4EF8" w:rsidRDefault="00000000">
            <w:r>
              <w:rPr>
                <w:sz w:val="20"/>
                <w:szCs w:val="20"/>
              </w:rPr>
              <w:t>0.144</w:t>
            </w:r>
            <w:r>
              <w:rPr>
                <w:sz w:val="20"/>
                <w:szCs w:val="20"/>
                <w:vertAlign w:val="superscript"/>
              </w:rPr>
              <w:t>***</w:t>
            </w:r>
          </w:p>
        </w:tc>
        <w:tc>
          <w:tcPr>
            <w:tcW w:w="1058" w:type="dxa"/>
            <w:noWrap/>
          </w:tcPr>
          <w:p w14:paraId="78BCFC68" w14:textId="77777777" w:rsidR="000F4EF8" w:rsidRDefault="00000000">
            <w:r>
              <w:rPr>
                <w:sz w:val="20"/>
                <w:szCs w:val="20"/>
              </w:rPr>
              <w:t>0.258</w:t>
            </w:r>
            <w:r>
              <w:rPr>
                <w:sz w:val="20"/>
                <w:szCs w:val="20"/>
                <w:vertAlign w:val="superscript"/>
              </w:rPr>
              <w:t>***</w:t>
            </w:r>
          </w:p>
        </w:tc>
        <w:tc>
          <w:tcPr>
            <w:tcW w:w="1058" w:type="dxa"/>
            <w:noWrap/>
          </w:tcPr>
          <w:p w14:paraId="052C0A89" w14:textId="77777777" w:rsidR="000F4EF8" w:rsidRDefault="00000000">
            <w:r>
              <w:rPr>
                <w:sz w:val="20"/>
                <w:szCs w:val="20"/>
              </w:rPr>
              <w:t>0.195</w:t>
            </w:r>
            <w:r>
              <w:rPr>
                <w:sz w:val="20"/>
                <w:szCs w:val="20"/>
                <w:vertAlign w:val="superscript"/>
              </w:rPr>
              <w:t>***</w:t>
            </w:r>
          </w:p>
        </w:tc>
        <w:tc>
          <w:tcPr>
            <w:tcW w:w="1058" w:type="dxa"/>
            <w:noWrap/>
          </w:tcPr>
          <w:p w14:paraId="059CDADA" w14:textId="77777777" w:rsidR="000F4EF8" w:rsidRDefault="00000000">
            <w:r>
              <w:rPr>
                <w:sz w:val="20"/>
                <w:szCs w:val="20"/>
              </w:rPr>
              <w:t>0.080**</w:t>
            </w:r>
          </w:p>
        </w:tc>
        <w:tc>
          <w:tcPr>
            <w:tcW w:w="1058" w:type="dxa"/>
            <w:noWrap/>
          </w:tcPr>
          <w:p w14:paraId="6D848FB2" w14:textId="77777777" w:rsidR="000F4EF8" w:rsidRDefault="00000000">
            <w:r>
              <w:rPr>
                <w:sz w:val="20"/>
                <w:szCs w:val="20"/>
              </w:rPr>
              <w:t>0.104***</w:t>
            </w:r>
          </w:p>
        </w:tc>
        <w:tc>
          <w:tcPr>
            <w:tcW w:w="1058" w:type="dxa"/>
            <w:noWrap/>
          </w:tcPr>
          <w:p w14:paraId="118989D7" w14:textId="77777777" w:rsidR="000F4EF8" w:rsidRDefault="00000000">
            <w:r>
              <w:rPr>
                <w:sz w:val="20"/>
                <w:szCs w:val="20"/>
              </w:rPr>
              <w:t>0.057***</w:t>
            </w:r>
          </w:p>
        </w:tc>
      </w:tr>
      <w:tr w:rsidR="000F4EF8" w14:paraId="742A02ED" w14:textId="77777777">
        <w:tc>
          <w:tcPr>
            <w:tcW w:w="1944" w:type="dxa"/>
          </w:tcPr>
          <w:p w14:paraId="2DB13C32" w14:textId="77777777" w:rsidR="000F4EF8" w:rsidRDefault="00000000">
            <w:r>
              <w:rPr>
                <w:sz w:val="20"/>
                <w:szCs w:val="20"/>
              </w:rPr>
              <w:t>War (Feb 2022)</w:t>
            </w:r>
          </w:p>
        </w:tc>
        <w:tc>
          <w:tcPr>
            <w:tcW w:w="1058" w:type="dxa"/>
            <w:noWrap/>
          </w:tcPr>
          <w:p w14:paraId="035F1938" w14:textId="77777777" w:rsidR="000F4EF8" w:rsidRDefault="00000000">
            <w:r>
              <w:rPr>
                <w:sz w:val="20"/>
                <w:szCs w:val="20"/>
              </w:rPr>
              <w:t>0.232</w:t>
            </w:r>
            <w:r>
              <w:rPr>
                <w:sz w:val="20"/>
                <w:szCs w:val="20"/>
                <w:vertAlign w:val="superscript"/>
              </w:rPr>
              <w:t>***</w:t>
            </w:r>
          </w:p>
        </w:tc>
        <w:tc>
          <w:tcPr>
            <w:tcW w:w="1058" w:type="dxa"/>
            <w:noWrap/>
          </w:tcPr>
          <w:p w14:paraId="133FFE68" w14:textId="77777777" w:rsidR="000F4EF8" w:rsidRDefault="00000000">
            <w:r>
              <w:rPr>
                <w:sz w:val="20"/>
                <w:szCs w:val="20"/>
              </w:rPr>
              <w:t>0.295</w:t>
            </w:r>
            <w:r>
              <w:rPr>
                <w:sz w:val="20"/>
                <w:szCs w:val="20"/>
                <w:vertAlign w:val="superscript"/>
              </w:rPr>
              <w:t>***</w:t>
            </w:r>
          </w:p>
        </w:tc>
        <w:tc>
          <w:tcPr>
            <w:tcW w:w="1058" w:type="dxa"/>
            <w:noWrap/>
          </w:tcPr>
          <w:p w14:paraId="190F9A80" w14:textId="77777777" w:rsidR="000F4EF8" w:rsidRDefault="00000000">
            <w:r>
              <w:rPr>
                <w:sz w:val="20"/>
                <w:szCs w:val="20"/>
              </w:rPr>
              <w:t>0.149</w:t>
            </w:r>
            <w:r>
              <w:rPr>
                <w:sz w:val="20"/>
                <w:szCs w:val="20"/>
                <w:vertAlign w:val="superscript"/>
              </w:rPr>
              <w:t>***</w:t>
            </w:r>
          </w:p>
        </w:tc>
        <w:tc>
          <w:tcPr>
            <w:tcW w:w="1058" w:type="dxa"/>
            <w:noWrap/>
          </w:tcPr>
          <w:p w14:paraId="06A6D541" w14:textId="77777777" w:rsidR="000F4EF8" w:rsidRDefault="00000000">
            <w:r>
              <w:rPr>
                <w:sz w:val="20"/>
                <w:szCs w:val="20"/>
              </w:rPr>
              <w:t>0.158***</w:t>
            </w:r>
          </w:p>
        </w:tc>
        <w:tc>
          <w:tcPr>
            <w:tcW w:w="1058" w:type="dxa"/>
            <w:noWrap/>
          </w:tcPr>
          <w:p w14:paraId="494FCD4B" w14:textId="77777777" w:rsidR="000F4EF8" w:rsidRDefault="00000000">
            <w:r>
              <w:rPr>
                <w:sz w:val="20"/>
                <w:szCs w:val="20"/>
              </w:rPr>
              <w:t>0.262***</w:t>
            </w:r>
          </w:p>
        </w:tc>
        <w:tc>
          <w:tcPr>
            <w:tcW w:w="1058" w:type="dxa"/>
            <w:noWrap/>
          </w:tcPr>
          <w:p w14:paraId="1583964F" w14:textId="77777777" w:rsidR="000F4EF8" w:rsidRDefault="00000000">
            <w:r>
              <w:rPr>
                <w:sz w:val="20"/>
                <w:szCs w:val="20"/>
              </w:rPr>
              <w:t>0.173***</w:t>
            </w:r>
          </w:p>
        </w:tc>
      </w:tr>
      <w:tr w:rsidR="000F4EF8" w14:paraId="6594C022" w14:textId="77777777">
        <w:tc>
          <w:tcPr>
            <w:tcW w:w="1944" w:type="dxa"/>
          </w:tcPr>
          <w:p w14:paraId="5CC0F7BC" w14:textId="77777777" w:rsidR="000F4EF8" w:rsidRDefault="00000000">
            <w:r>
              <w:rPr>
                <w:sz w:val="20"/>
                <w:szCs w:val="20"/>
              </w:rPr>
              <w:t>Grain initiative (Jul 2022)</w:t>
            </w:r>
          </w:p>
        </w:tc>
        <w:tc>
          <w:tcPr>
            <w:tcW w:w="1058" w:type="dxa"/>
            <w:noWrap/>
          </w:tcPr>
          <w:p w14:paraId="71ECDAFC" w14:textId="77777777" w:rsidR="000F4EF8" w:rsidRDefault="00000000">
            <w:r>
              <w:rPr>
                <w:sz w:val="20"/>
                <w:szCs w:val="20"/>
              </w:rPr>
              <w:t>0.059</w:t>
            </w:r>
            <w:r>
              <w:rPr>
                <w:sz w:val="20"/>
                <w:szCs w:val="20"/>
                <w:vertAlign w:val="superscript"/>
              </w:rPr>
              <w:t>***</w:t>
            </w:r>
          </w:p>
        </w:tc>
        <w:tc>
          <w:tcPr>
            <w:tcW w:w="1058" w:type="dxa"/>
            <w:noWrap/>
          </w:tcPr>
          <w:p w14:paraId="7850BCB4" w14:textId="77777777" w:rsidR="000F4EF8" w:rsidRDefault="00000000">
            <w:r>
              <w:rPr>
                <w:sz w:val="20"/>
                <w:szCs w:val="20"/>
              </w:rPr>
              <w:t>0.009</w:t>
            </w:r>
          </w:p>
        </w:tc>
        <w:tc>
          <w:tcPr>
            <w:tcW w:w="1058" w:type="dxa"/>
            <w:noWrap/>
          </w:tcPr>
          <w:p w14:paraId="4C644F1C" w14:textId="77777777" w:rsidR="000F4EF8" w:rsidRDefault="00000000">
            <w:r>
              <w:rPr>
                <w:sz w:val="20"/>
                <w:szCs w:val="20"/>
              </w:rPr>
              <w:t>0.118</w:t>
            </w:r>
            <w:r>
              <w:rPr>
                <w:sz w:val="20"/>
                <w:szCs w:val="20"/>
                <w:vertAlign w:val="superscript"/>
              </w:rPr>
              <w:t>***</w:t>
            </w:r>
          </w:p>
        </w:tc>
        <w:tc>
          <w:tcPr>
            <w:tcW w:w="1058" w:type="dxa"/>
            <w:noWrap/>
          </w:tcPr>
          <w:p w14:paraId="3F3BB99E" w14:textId="77777777" w:rsidR="000F4EF8" w:rsidRDefault="00000000">
            <w:r>
              <w:rPr>
                <w:sz w:val="20"/>
                <w:szCs w:val="20"/>
              </w:rPr>
              <w:t>0.060**</w:t>
            </w:r>
          </w:p>
        </w:tc>
        <w:tc>
          <w:tcPr>
            <w:tcW w:w="1058" w:type="dxa"/>
            <w:noWrap/>
          </w:tcPr>
          <w:p w14:paraId="714CB112" w14:textId="77777777" w:rsidR="000F4EF8" w:rsidRDefault="00000000">
            <w:r>
              <w:rPr>
                <w:sz w:val="20"/>
                <w:szCs w:val="20"/>
              </w:rPr>
              <w:t>0.038*</w:t>
            </w:r>
          </w:p>
        </w:tc>
        <w:tc>
          <w:tcPr>
            <w:tcW w:w="1058" w:type="dxa"/>
            <w:noWrap/>
          </w:tcPr>
          <w:p w14:paraId="2631F51A" w14:textId="77777777" w:rsidR="000F4EF8" w:rsidRDefault="00000000">
            <w:r>
              <w:rPr>
                <w:sz w:val="20"/>
                <w:szCs w:val="20"/>
              </w:rPr>
              <w:t>0.064***</w:t>
            </w:r>
          </w:p>
        </w:tc>
      </w:tr>
      <w:tr w:rsidR="000F4EF8" w14:paraId="1DE37D2F" w14:textId="77777777">
        <w:tc>
          <w:tcPr>
            <w:tcW w:w="1944" w:type="dxa"/>
          </w:tcPr>
          <w:p w14:paraId="169BC274" w14:textId="77777777" w:rsidR="000F4EF8" w:rsidRDefault="00000000">
            <w:r>
              <w:rPr>
                <w:sz w:val="20"/>
                <w:szCs w:val="20"/>
              </w:rPr>
              <w:t>Russia export quotas (Jan 2023)</w:t>
            </w:r>
          </w:p>
        </w:tc>
        <w:tc>
          <w:tcPr>
            <w:tcW w:w="1058" w:type="dxa"/>
            <w:noWrap/>
          </w:tcPr>
          <w:p w14:paraId="707F9768" w14:textId="77777777" w:rsidR="000F4EF8" w:rsidRDefault="00000000">
            <w:r>
              <w:rPr>
                <w:sz w:val="20"/>
                <w:szCs w:val="20"/>
              </w:rPr>
              <w:t>-0.245</w:t>
            </w:r>
            <w:r>
              <w:rPr>
                <w:sz w:val="20"/>
                <w:szCs w:val="20"/>
                <w:vertAlign w:val="superscript"/>
              </w:rPr>
              <w:t>***</w:t>
            </w:r>
          </w:p>
        </w:tc>
        <w:tc>
          <w:tcPr>
            <w:tcW w:w="1058" w:type="dxa"/>
            <w:noWrap/>
          </w:tcPr>
          <w:p w14:paraId="6080FAB5" w14:textId="77777777" w:rsidR="000F4EF8" w:rsidRDefault="00000000">
            <w:r>
              <w:rPr>
                <w:sz w:val="20"/>
                <w:szCs w:val="20"/>
              </w:rPr>
              <w:t>-0.365</w:t>
            </w:r>
            <w:r>
              <w:rPr>
                <w:sz w:val="20"/>
                <w:szCs w:val="20"/>
                <w:vertAlign w:val="superscript"/>
              </w:rPr>
              <w:t>***</w:t>
            </w:r>
          </w:p>
        </w:tc>
        <w:tc>
          <w:tcPr>
            <w:tcW w:w="1058" w:type="dxa"/>
            <w:noWrap/>
          </w:tcPr>
          <w:p w14:paraId="4F1ECE84" w14:textId="77777777" w:rsidR="000F4EF8" w:rsidRDefault="00000000">
            <w:r>
              <w:rPr>
                <w:sz w:val="20"/>
                <w:szCs w:val="20"/>
              </w:rPr>
              <w:t>-0.267</w:t>
            </w:r>
            <w:r>
              <w:rPr>
                <w:sz w:val="20"/>
                <w:szCs w:val="20"/>
                <w:vertAlign w:val="superscript"/>
              </w:rPr>
              <w:t>***</w:t>
            </w:r>
          </w:p>
        </w:tc>
        <w:tc>
          <w:tcPr>
            <w:tcW w:w="1058" w:type="dxa"/>
            <w:noWrap/>
          </w:tcPr>
          <w:p w14:paraId="6BE572D8" w14:textId="77777777" w:rsidR="000F4EF8" w:rsidRDefault="00000000">
            <w:r>
              <w:rPr>
                <w:sz w:val="20"/>
                <w:szCs w:val="20"/>
              </w:rPr>
              <w:t>-0.200***</w:t>
            </w:r>
          </w:p>
        </w:tc>
        <w:tc>
          <w:tcPr>
            <w:tcW w:w="1058" w:type="dxa"/>
            <w:noWrap/>
          </w:tcPr>
          <w:p w14:paraId="5C73C0F4" w14:textId="77777777" w:rsidR="000F4EF8" w:rsidRDefault="00000000">
            <w:r>
              <w:rPr>
                <w:sz w:val="20"/>
                <w:szCs w:val="20"/>
              </w:rPr>
              <w:t>-0.231***</w:t>
            </w:r>
          </w:p>
        </w:tc>
        <w:tc>
          <w:tcPr>
            <w:tcW w:w="1058" w:type="dxa"/>
            <w:noWrap/>
          </w:tcPr>
          <w:p w14:paraId="5FBE2D7A" w14:textId="77777777" w:rsidR="000F4EF8" w:rsidRDefault="00000000">
            <w:r>
              <w:rPr>
                <w:sz w:val="20"/>
                <w:szCs w:val="20"/>
              </w:rPr>
              <w:t>-0.120***</w:t>
            </w:r>
          </w:p>
        </w:tc>
      </w:tr>
      <w:tr w:rsidR="000F4EF8" w14:paraId="77450F44" w14:textId="77777777">
        <w:tc>
          <w:tcPr>
            <w:tcW w:w="1944" w:type="dxa"/>
          </w:tcPr>
          <w:p w14:paraId="3B464213" w14:textId="77777777" w:rsidR="000F4EF8" w:rsidRDefault="00000000">
            <w:r>
              <w:rPr>
                <w:rFonts w:eastAsia="Times New Roman" w:cs="Times New Roman"/>
                <w:sz w:val="20"/>
                <w:szCs w:val="20"/>
              </w:rPr>
              <w:t>Within R-squared</w:t>
            </w:r>
          </w:p>
        </w:tc>
        <w:tc>
          <w:tcPr>
            <w:tcW w:w="1058" w:type="dxa"/>
            <w:noWrap/>
          </w:tcPr>
          <w:p w14:paraId="1161B01E" w14:textId="77777777" w:rsidR="000F4EF8" w:rsidRDefault="00000000">
            <w:pPr>
              <w:jc w:val="right"/>
            </w:pPr>
            <w:r>
              <w:rPr>
                <w:rFonts w:eastAsia="Times New Roman" w:cs="Times New Roman"/>
                <w:sz w:val="20"/>
                <w:szCs w:val="20"/>
              </w:rPr>
              <w:t>0.083</w:t>
            </w:r>
          </w:p>
        </w:tc>
        <w:tc>
          <w:tcPr>
            <w:tcW w:w="1058" w:type="dxa"/>
            <w:noWrap/>
          </w:tcPr>
          <w:p w14:paraId="12301123" w14:textId="77777777" w:rsidR="000F4EF8" w:rsidRDefault="00000000">
            <w:pPr>
              <w:jc w:val="right"/>
            </w:pPr>
            <w:r>
              <w:rPr>
                <w:rFonts w:eastAsia="Times New Roman" w:cs="Times New Roman"/>
                <w:sz w:val="20"/>
                <w:szCs w:val="20"/>
              </w:rPr>
              <w:t>0.139</w:t>
            </w:r>
          </w:p>
        </w:tc>
        <w:tc>
          <w:tcPr>
            <w:tcW w:w="1058" w:type="dxa"/>
            <w:noWrap/>
          </w:tcPr>
          <w:p w14:paraId="590E2496" w14:textId="77777777" w:rsidR="000F4EF8" w:rsidRDefault="00000000">
            <w:pPr>
              <w:jc w:val="right"/>
            </w:pPr>
            <w:r>
              <w:rPr>
                <w:rFonts w:eastAsia="Times New Roman" w:cs="Times New Roman"/>
                <w:sz w:val="20"/>
                <w:szCs w:val="20"/>
              </w:rPr>
              <w:t>0.057</w:t>
            </w:r>
          </w:p>
        </w:tc>
        <w:tc>
          <w:tcPr>
            <w:tcW w:w="1058" w:type="dxa"/>
            <w:noWrap/>
          </w:tcPr>
          <w:p w14:paraId="0E9E632A" w14:textId="77777777" w:rsidR="000F4EF8" w:rsidRDefault="00000000">
            <w:pPr>
              <w:jc w:val="right"/>
            </w:pPr>
            <w:r>
              <w:rPr>
                <w:rFonts w:eastAsia="Times New Roman" w:cs="Times New Roman"/>
                <w:sz w:val="20"/>
                <w:szCs w:val="20"/>
              </w:rPr>
              <w:t>0.126</w:t>
            </w:r>
          </w:p>
        </w:tc>
        <w:tc>
          <w:tcPr>
            <w:tcW w:w="1058" w:type="dxa"/>
            <w:noWrap/>
          </w:tcPr>
          <w:p w14:paraId="6D4EFF79" w14:textId="77777777" w:rsidR="000F4EF8" w:rsidRDefault="00000000">
            <w:pPr>
              <w:jc w:val="right"/>
            </w:pPr>
            <w:r>
              <w:rPr>
                <w:rFonts w:eastAsia="Times New Roman" w:cs="Times New Roman"/>
                <w:sz w:val="20"/>
                <w:szCs w:val="20"/>
              </w:rPr>
              <w:t>0.146</w:t>
            </w:r>
          </w:p>
        </w:tc>
        <w:tc>
          <w:tcPr>
            <w:tcW w:w="1058" w:type="dxa"/>
            <w:noWrap/>
          </w:tcPr>
          <w:p w14:paraId="0AABAE29" w14:textId="77777777" w:rsidR="000F4EF8" w:rsidRDefault="00000000">
            <w:pPr>
              <w:jc w:val="right"/>
            </w:pPr>
            <w:r>
              <w:rPr>
                <w:rFonts w:eastAsia="Times New Roman" w:cs="Times New Roman"/>
                <w:sz w:val="20"/>
                <w:szCs w:val="20"/>
              </w:rPr>
              <w:t>0.058</w:t>
            </w:r>
          </w:p>
        </w:tc>
      </w:tr>
      <w:tr w:rsidR="000F4EF8" w14:paraId="3C26706E" w14:textId="77777777">
        <w:tc>
          <w:tcPr>
            <w:tcW w:w="1944" w:type="dxa"/>
          </w:tcPr>
          <w:p w14:paraId="2F67A2A2" w14:textId="77777777" w:rsidR="000F4EF8" w:rsidRDefault="00000000">
            <w:r>
              <w:rPr>
                <w:sz w:val="20"/>
                <w:szCs w:val="20"/>
              </w:rPr>
              <w:t>N</w:t>
            </w:r>
          </w:p>
        </w:tc>
        <w:tc>
          <w:tcPr>
            <w:tcW w:w="1058" w:type="dxa"/>
            <w:noWrap/>
          </w:tcPr>
          <w:p w14:paraId="35D6EF4D" w14:textId="77777777" w:rsidR="000F4EF8" w:rsidRDefault="00000000">
            <w:r>
              <w:rPr>
                <w:sz w:val="20"/>
                <w:szCs w:val="20"/>
              </w:rPr>
              <w:t>300,464</w:t>
            </w:r>
          </w:p>
        </w:tc>
        <w:tc>
          <w:tcPr>
            <w:tcW w:w="1058" w:type="dxa"/>
            <w:noWrap/>
          </w:tcPr>
          <w:p w14:paraId="57F42F77" w14:textId="77777777" w:rsidR="000F4EF8" w:rsidRDefault="00000000">
            <w:r>
              <w:rPr>
                <w:sz w:val="20"/>
                <w:szCs w:val="20"/>
              </w:rPr>
              <w:t>87,659</w:t>
            </w:r>
          </w:p>
        </w:tc>
        <w:tc>
          <w:tcPr>
            <w:tcW w:w="1058" w:type="dxa"/>
            <w:noWrap/>
          </w:tcPr>
          <w:p w14:paraId="4DCDCA3C" w14:textId="77777777" w:rsidR="000F4EF8" w:rsidRDefault="00000000">
            <w:r>
              <w:rPr>
                <w:sz w:val="20"/>
                <w:szCs w:val="20"/>
              </w:rPr>
              <w:t>52,503</w:t>
            </w:r>
          </w:p>
        </w:tc>
        <w:tc>
          <w:tcPr>
            <w:tcW w:w="1058" w:type="dxa"/>
            <w:noWrap/>
          </w:tcPr>
          <w:p w14:paraId="6AD4501D" w14:textId="77777777" w:rsidR="000F4EF8" w:rsidRDefault="00000000">
            <w:r>
              <w:rPr>
                <w:sz w:val="20"/>
                <w:szCs w:val="20"/>
              </w:rPr>
              <w:t>25,883</w:t>
            </w:r>
          </w:p>
        </w:tc>
        <w:tc>
          <w:tcPr>
            <w:tcW w:w="1058" w:type="dxa"/>
            <w:noWrap/>
          </w:tcPr>
          <w:p w14:paraId="6E124D16" w14:textId="77777777" w:rsidR="000F4EF8" w:rsidRDefault="00000000">
            <w:r>
              <w:rPr>
                <w:sz w:val="20"/>
                <w:szCs w:val="20"/>
              </w:rPr>
              <w:t>30,649</w:t>
            </w:r>
          </w:p>
        </w:tc>
        <w:tc>
          <w:tcPr>
            <w:tcW w:w="1058" w:type="dxa"/>
            <w:noWrap/>
          </w:tcPr>
          <w:p w14:paraId="4F243C34" w14:textId="77777777" w:rsidR="000F4EF8" w:rsidRDefault="00000000">
            <w:r>
              <w:rPr>
                <w:sz w:val="20"/>
                <w:szCs w:val="20"/>
              </w:rPr>
              <w:t>103,690</w:t>
            </w:r>
          </w:p>
        </w:tc>
      </w:tr>
    </w:tbl>
    <w:p w14:paraId="29B40820" w14:textId="77777777" w:rsidR="000F4EF8" w:rsidRDefault="00000000">
      <w:r>
        <w:t>Data: UN Comtrade, monthly bilateral import flows, 2015–2024. Dependent variable: log of bilateral import unit value (USD/kg); unit values outside $0.01-$10 per kilogram are dropped as misreported. The pooled specification includes reporter, partner, and commodity fixed effects (FE); the war indicator turns on in February 2022, the invasion month. Per-fertilizer samples do not sum to the pooled N because singleton fixed-effect groups are dropped from each estimation sample. Standard errors are clustered at the reporter level and are robust to heteroscedasticity. Per-HS6 columns include partner fixed effects.</w:t>
      </w:r>
    </w:p>
    <w:p w14:paraId="7AA87722" w14:textId="77777777" w:rsidR="000F4EF8" w:rsidRDefault="00000000">
      <w:r>
        <w:rPr>
          <w:i/>
        </w:rPr>
        <w:t xml:space="preserve">Note: </w:t>
      </w:r>
      <w:r>
        <w:t>*** p&lt;0.01, ** p&lt;0.05, * p&lt;0.10. Per-fertilizer columns include partner FE; the pooled column includes reporter, partner, and commodity FE.</w:t>
      </w:r>
    </w:p>
    <w:p w14:paraId="2BEF4671" w14:textId="77777777" w:rsidR="000F4EF8" w:rsidRDefault="000F4EF8"/>
    <w:p w14:paraId="156E36E5" w14:textId="77777777" w:rsidR="000F4EF8" w:rsidRDefault="00000000">
      <w:pPr>
        <w:keepNext/>
        <w:keepLines/>
        <w:pageBreakBefore/>
      </w:pPr>
      <w:r>
        <w:rPr>
          <w:szCs w:val="24"/>
        </w:rPr>
        <w:t>Table A3. Placebo tests with shifted war indicator (pooled bilateral specification).</w:t>
      </w:r>
    </w:p>
    <w:tbl>
      <w:tblPr>
        <w:tblW w:w="0" w:type="auto"/>
        <w:tblBorders>
          <w:top w:val="single" w:sz="8" w:space="0" w:color="000000"/>
          <w:left w:val="nil"/>
          <w:bottom w:val="single" w:sz="8" w:space="0" w:color="000000"/>
          <w:right w:val="nil"/>
          <w:insideH w:val="nil"/>
          <w:insideV w:val="nil"/>
        </w:tblBorders>
        <w:tblLook w:val="04A0" w:firstRow="1" w:lastRow="0" w:firstColumn="1" w:lastColumn="0" w:noHBand="0" w:noVBand="1"/>
      </w:tblPr>
      <w:tblGrid>
        <w:gridCol w:w="2160"/>
        <w:gridCol w:w="2015"/>
        <w:gridCol w:w="2015"/>
        <w:gridCol w:w="2015"/>
      </w:tblGrid>
      <w:tr w:rsidR="000F4EF8" w14:paraId="57AC3615" w14:textId="77777777">
        <w:tc>
          <w:tcPr>
            <w:tcW w:w="2160" w:type="dxa"/>
            <w:tcBorders>
              <w:bottom w:val="single" w:sz="4" w:space="0" w:color="000000"/>
            </w:tcBorders>
          </w:tcPr>
          <w:p w14:paraId="403C9A80" w14:textId="77777777" w:rsidR="000F4EF8" w:rsidRDefault="000F4EF8"/>
        </w:tc>
        <w:tc>
          <w:tcPr>
            <w:tcW w:w="2015" w:type="dxa"/>
            <w:tcBorders>
              <w:bottom w:val="single" w:sz="4" w:space="0" w:color="000000"/>
            </w:tcBorders>
          </w:tcPr>
          <w:p w14:paraId="6FFFF9E3" w14:textId="77777777" w:rsidR="000F4EF8" w:rsidRDefault="00000000">
            <w:pPr>
              <w:jc w:val="right"/>
            </w:pPr>
            <w:r>
              <w:rPr>
                <w:rFonts w:eastAsia="Times New Roman" w:cs="Times New Roman"/>
                <w:b/>
                <w:sz w:val="22"/>
              </w:rPr>
              <w:t>Feb 2018 placebo</w:t>
            </w:r>
          </w:p>
        </w:tc>
        <w:tc>
          <w:tcPr>
            <w:tcW w:w="2015" w:type="dxa"/>
            <w:tcBorders>
              <w:bottom w:val="single" w:sz="4" w:space="0" w:color="000000"/>
            </w:tcBorders>
          </w:tcPr>
          <w:p w14:paraId="4A226E0E" w14:textId="77777777" w:rsidR="000F4EF8" w:rsidRDefault="00000000">
            <w:pPr>
              <w:jc w:val="right"/>
            </w:pPr>
            <w:r>
              <w:rPr>
                <w:rFonts w:eastAsia="Times New Roman" w:cs="Times New Roman"/>
                <w:b/>
                <w:sz w:val="22"/>
              </w:rPr>
              <w:t>Feb 2019 placebo</w:t>
            </w:r>
          </w:p>
        </w:tc>
        <w:tc>
          <w:tcPr>
            <w:tcW w:w="2015" w:type="dxa"/>
            <w:tcBorders>
              <w:bottom w:val="single" w:sz="4" w:space="0" w:color="000000"/>
            </w:tcBorders>
          </w:tcPr>
          <w:p w14:paraId="25E4DAD7" w14:textId="77777777" w:rsidR="000F4EF8" w:rsidRDefault="00000000">
            <w:pPr>
              <w:jc w:val="right"/>
            </w:pPr>
            <w:r>
              <w:rPr>
                <w:rFonts w:eastAsia="Times New Roman" w:cs="Times New Roman"/>
                <w:b/>
                <w:sz w:val="22"/>
              </w:rPr>
              <w:t>Actual Feb 2022</w:t>
            </w:r>
          </w:p>
        </w:tc>
      </w:tr>
      <w:tr w:rsidR="000F4EF8" w14:paraId="58523A5A" w14:textId="77777777">
        <w:tc>
          <w:tcPr>
            <w:tcW w:w="2160" w:type="dxa"/>
          </w:tcPr>
          <w:p w14:paraId="04A3A484" w14:textId="77777777" w:rsidR="000F4EF8" w:rsidRDefault="00000000">
            <w:r>
              <w:rPr>
                <w:rFonts w:eastAsia="Times New Roman" w:cs="Times New Roman"/>
                <w:sz w:val="22"/>
              </w:rPr>
              <w:t>War coefficient</w:t>
            </w:r>
          </w:p>
        </w:tc>
        <w:tc>
          <w:tcPr>
            <w:tcW w:w="2015" w:type="dxa"/>
          </w:tcPr>
          <w:p w14:paraId="14EB0A1D" w14:textId="77777777" w:rsidR="000F4EF8" w:rsidRDefault="00000000">
            <w:pPr>
              <w:jc w:val="right"/>
            </w:pPr>
            <w:r>
              <w:rPr>
                <w:rFonts w:eastAsia="Times New Roman" w:cs="Times New Roman"/>
                <w:sz w:val="22"/>
              </w:rPr>
              <w:t>0.025</w:t>
            </w:r>
          </w:p>
        </w:tc>
        <w:tc>
          <w:tcPr>
            <w:tcW w:w="2015" w:type="dxa"/>
          </w:tcPr>
          <w:p w14:paraId="17EFA9D1" w14:textId="77777777" w:rsidR="000F4EF8" w:rsidRDefault="00000000">
            <w:pPr>
              <w:jc w:val="right"/>
            </w:pPr>
            <w:r>
              <w:rPr>
                <w:rFonts w:eastAsia="Times New Roman" w:cs="Times New Roman"/>
                <w:sz w:val="22"/>
              </w:rPr>
              <w:t>0.007</w:t>
            </w:r>
          </w:p>
        </w:tc>
        <w:tc>
          <w:tcPr>
            <w:tcW w:w="2015" w:type="dxa"/>
          </w:tcPr>
          <w:p w14:paraId="60528201" w14:textId="77777777" w:rsidR="000F4EF8" w:rsidRDefault="00000000">
            <w:pPr>
              <w:jc w:val="right"/>
            </w:pPr>
            <w:r>
              <w:rPr>
                <w:rFonts w:eastAsia="Times New Roman" w:cs="Times New Roman"/>
                <w:sz w:val="22"/>
              </w:rPr>
              <w:t>0.232</w:t>
            </w:r>
            <w:r>
              <w:rPr>
                <w:rFonts w:eastAsia="Times New Roman" w:cs="Times New Roman"/>
                <w:sz w:val="22"/>
                <w:vertAlign w:val="superscript"/>
              </w:rPr>
              <w:t>***</w:t>
            </w:r>
          </w:p>
        </w:tc>
      </w:tr>
      <w:tr w:rsidR="000F4EF8" w14:paraId="585E8CF5" w14:textId="77777777">
        <w:tc>
          <w:tcPr>
            <w:tcW w:w="2160" w:type="dxa"/>
          </w:tcPr>
          <w:p w14:paraId="65956E4D" w14:textId="77777777" w:rsidR="000F4EF8" w:rsidRDefault="00000000">
            <w:r>
              <w:rPr>
                <w:rFonts w:eastAsia="Times New Roman" w:cs="Times New Roman"/>
                <w:sz w:val="22"/>
              </w:rPr>
              <w:t>Cluster-robust SE</w:t>
            </w:r>
          </w:p>
        </w:tc>
        <w:tc>
          <w:tcPr>
            <w:tcW w:w="2015" w:type="dxa"/>
          </w:tcPr>
          <w:p w14:paraId="30B5777C" w14:textId="77777777" w:rsidR="000F4EF8" w:rsidRDefault="00000000">
            <w:pPr>
              <w:jc w:val="right"/>
            </w:pPr>
            <w:r>
              <w:rPr>
                <w:rFonts w:eastAsia="Times New Roman" w:cs="Times New Roman"/>
                <w:sz w:val="22"/>
              </w:rPr>
              <w:t>(0.016)</w:t>
            </w:r>
          </w:p>
        </w:tc>
        <w:tc>
          <w:tcPr>
            <w:tcW w:w="2015" w:type="dxa"/>
          </w:tcPr>
          <w:p w14:paraId="3CB59F06" w14:textId="77777777" w:rsidR="000F4EF8" w:rsidRDefault="00000000">
            <w:pPr>
              <w:jc w:val="right"/>
            </w:pPr>
            <w:r>
              <w:rPr>
                <w:rFonts w:eastAsia="Times New Roman" w:cs="Times New Roman"/>
                <w:sz w:val="22"/>
              </w:rPr>
              <w:t>(0.013)</w:t>
            </w:r>
          </w:p>
        </w:tc>
        <w:tc>
          <w:tcPr>
            <w:tcW w:w="2015" w:type="dxa"/>
          </w:tcPr>
          <w:p w14:paraId="1EA26DE4" w14:textId="77777777" w:rsidR="000F4EF8" w:rsidRDefault="00000000">
            <w:pPr>
              <w:jc w:val="right"/>
            </w:pPr>
            <w:r>
              <w:rPr>
                <w:rFonts w:eastAsia="Times New Roman" w:cs="Times New Roman"/>
                <w:sz w:val="22"/>
              </w:rPr>
              <w:t>(0.019)</w:t>
            </w:r>
          </w:p>
        </w:tc>
      </w:tr>
      <w:tr w:rsidR="000F4EF8" w14:paraId="2CE6180D" w14:textId="77777777">
        <w:tc>
          <w:tcPr>
            <w:tcW w:w="2160" w:type="dxa"/>
          </w:tcPr>
          <w:p w14:paraId="3E5277A2" w14:textId="77777777" w:rsidR="000F4EF8" w:rsidRDefault="00000000">
            <w:r>
              <w:rPr>
                <w:rFonts w:eastAsia="Times New Roman" w:cs="Times New Roman"/>
                <w:sz w:val="22"/>
              </w:rPr>
              <w:t>t-statistic</w:t>
            </w:r>
          </w:p>
        </w:tc>
        <w:tc>
          <w:tcPr>
            <w:tcW w:w="2015" w:type="dxa"/>
          </w:tcPr>
          <w:p w14:paraId="7CC45984" w14:textId="77777777" w:rsidR="000F4EF8" w:rsidRDefault="00000000">
            <w:pPr>
              <w:jc w:val="right"/>
            </w:pPr>
            <w:r>
              <w:rPr>
                <w:rFonts w:eastAsia="Times New Roman" w:cs="Times New Roman"/>
                <w:sz w:val="22"/>
              </w:rPr>
              <w:t>1.60</w:t>
            </w:r>
          </w:p>
        </w:tc>
        <w:tc>
          <w:tcPr>
            <w:tcW w:w="2015" w:type="dxa"/>
          </w:tcPr>
          <w:p w14:paraId="13AB0ABA" w14:textId="77777777" w:rsidR="000F4EF8" w:rsidRDefault="00000000">
            <w:pPr>
              <w:jc w:val="right"/>
            </w:pPr>
            <w:r>
              <w:rPr>
                <w:rFonts w:eastAsia="Times New Roman" w:cs="Times New Roman"/>
                <w:sz w:val="22"/>
              </w:rPr>
              <w:t>0.56</w:t>
            </w:r>
          </w:p>
        </w:tc>
        <w:tc>
          <w:tcPr>
            <w:tcW w:w="2015" w:type="dxa"/>
          </w:tcPr>
          <w:p w14:paraId="23C73918" w14:textId="77777777" w:rsidR="000F4EF8" w:rsidRDefault="00000000">
            <w:pPr>
              <w:jc w:val="right"/>
            </w:pPr>
            <w:r>
              <w:rPr>
                <w:rFonts w:eastAsia="Times New Roman" w:cs="Times New Roman"/>
                <w:sz w:val="22"/>
              </w:rPr>
              <w:t>12.08</w:t>
            </w:r>
          </w:p>
        </w:tc>
      </w:tr>
      <w:tr w:rsidR="000F4EF8" w14:paraId="1AFD7EC3" w14:textId="77777777">
        <w:tc>
          <w:tcPr>
            <w:tcW w:w="2160" w:type="dxa"/>
          </w:tcPr>
          <w:p w14:paraId="12356565" w14:textId="77777777" w:rsidR="000F4EF8" w:rsidRDefault="00000000">
            <w:r>
              <w:rPr>
                <w:rFonts w:eastAsia="Times New Roman" w:cs="Times New Roman"/>
                <w:sz w:val="22"/>
              </w:rPr>
              <w:t>Within R-squared</w:t>
            </w:r>
          </w:p>
        </w:tc>
        <w:tc>
          <w:tcPr>
            <w:tcW w:w="2015" w:type="dxa"/>
          </w:tcPr>
          <w:p w14:paraId="257F8FC9" w14:textId="77777777" w:rsidR="000F4EF8" w:rsidRDefault="00000000">
            <w:pPr>
              <w:jc w:val="right"/>
            </w:pPr>
            <w:r>
              <w:rPr>
                <w:rFonts w:eastAsia="Times New Roman" w:cs="Times New Roman"/>
                <w:sz w:val="22"/>
              </w:rPr>
              <w:t>0.017</w:t>
            </w:r>
          </w:p>
        </w:tc>
        <w:tc>
          <w:tcPr>
            <w:tcW w:w="2015" w:type="dxa"/>
          </w:tcPr>
          <w:p w14:paraId="29BBDF6C" w14:textId="77777777" w:rsidR="000F4EF8" w:rsidRDefault="00000000">
            <w:pPr>
              <w:jc w:val="right"/>
            </w:pPr>
            <w:r>
              <w:rPr>
                <w:rFonts w:eastAsia="Times New Roman" w:cs="Times New Roman"/>
                <w:sz w:val="22"/>
              </w:rPr>
              <w:t>0.017</w:t>
            </w:r>
          </w:p>
        </w:tc>
        <w:tc>
          <w:tcPr>
            <w:tcW w:w="2015" w:type="dxa"/>
          </w:tcPr>
          <w:p w14:paraId="2776FE10" w14:textId="77777777" w:rsidR="000F4EF8" w:rsidRDefault="00000000">
            <w:pPr>
              <w:jc w:val="right"/>
            </w:pPr>
            <w:r>
              <w:rPr>
                <w:rFonts w:eastAsia="Times New Roman" w:cs="Times New Roman"/>
                <w:sz w:val="22"/>
              </w:rPr>
              <w:t>0.083</w:t>
            </w:r>
          </w:p>
        </w:tc>
      </w:tr>
      <w:tr w:rsidR="000F4EF8" w14:paraId="41F94938" w14:textId="77777777">
        <w:tc>
          <w:tcPr>
            <w:tcW w:w="2160" w:type="dxa"/>
          </w:tcPr>
          <w:p w14:paraId="09F4B53E" w14:textId="77777777" w:rsidR="000F4EF8" w:rsidRDefault="00000000">
            <w:r>
              <w:rPr>
                <w:rFonts w:eastAsia="Times New Roman" w:cs="Times New Roman"/>
                <w:sz w:val="22"/>
              </w:rPr>
              <w:t>Adjusted R-squared</w:t>
            </w:r>
          </w:p>
        </w:tc>
        <w:tc>
          <w:tcPr>
            <w:tcW w:w="2015" w:type="dxa"/>
          </w:tcPr>
          <w:p w14:paraId="0BD9BA0F" w14:textId="77777777" w:rsidR="000F4EF8" w:rsidRDefault="00000000">
            <w:pPr>
              <w:jc w:val="right"/>
            </w:pPr>
            <w:r>
              <w:rPr>
                <w:rFonts w:eastAsia="Times New Roman" w:cs="Times New Roman"/>
                <w:sz w:val="22"/>
              </w:rPr>
              <w:t>0.331</w:t>
            </w:r>
          </w:p>
        </w:tc>
        <w:tc>
          <w:tcPr>
            <w:tcW w:w="2015" w:type="dxa"/>
          </w:tcPr>
          <w:p w14:paraId="3AC37D35" w14:textId="77777777" w:rsidR="000F4EF8" w:rsidRDefault="00000000">
            <w:pPr>
              <w:jc w:val="right"/>
            </w:pPr>
            <w:r>
              <w:rPr>
                <w:rFonts w:eastAsia="Times New Roman" w:cs="Times New Roman"/>
                <w:sz w:val="22"/>
              </w:rPr>
              <w:t>0.331</w:t>
            </w:r>
          </w:p>
        </w:tc>
        <w:tc>
          <w:tcPr>
            <w:tcW w:w="2015" w:type="dxa"/>
          </w:tcPr>
          <w:p w14:paraId="78A73716" w14:textId="77777777" w:rsidR="000F4EF8" w:rsidRDefault="00000000">
            <w:pPr>
              <w:jc w:val="right"/>
            </w:pPr>
            <w:r>
              <w:rPr>
                <w:rFonts w:eastAsia="Times New Roman" w:cs="Times New Roman"/>
                <w:sz w:val="22"/>
              </w:rPr>
              <w:t>0.349</w:t>
            </w:r>
          </w:p>
        </w:tc>
      </w:tr>
      <w:tr w:rsidR="000F4EF8" w14:paraId="47725381" w14:textId="77777777">
        <w:tc>
          <w:tcPr>
            <w:tcW w:w="2160" w:type="dxa"/>
          </w:tcPr>
          <w:p w14:paraId="137AB77F" w14:textId="77777777" w:rsidR="000F4EF8" w:rsidRDefault="00000000">
            <w:r>
              <w:rPr>
                <w:rFonts w:eastAsia="Times New Roman" w:cs="Times New Roman"/>
                <w:sz w:val="22"/>
              </w:rPr>
              <w:t>Observations (N)</w:t>
            </w:r>
          </w:p>
        </w:tc>
        <w:tc>
          <w:tcPr>
            <w:tcW w:w="2015" w:type="dxa"/>
          </w:tcPr>
          <w:p w14:paraId="65DE47EB" w14:textId="77777777" w:rsidR="000F4EF8" w:rsidRDefault="00000000">
            <w:pPr>
              <w:jc w:val="right"/>
            </w:pPr>
            <w:r>
              <w:rPr>
                <w:rFonts w:eastAsia="Times New Roman" w:cs="Times New Roman"/>
                <w:sz w:val="22"/>
              </w:rPr>
              <w:t>211,928</w:t>
            </w:r>
          </w:p>
        </w:tc>
        <w:tc>
          <w:tcPr>
            <w:tcW w:w="2015" w:type="dxa"/>
          </w:tcPr>
          <w:p w14:paraId="1B79F8D6" w14:textId="77777777" w:rsidR="000F4EF8" w:rsidRDefault="00000000">
            <w:pPr>
              <w:jc w:val="right"/>
            </w:pPr>
            <w:r>
              <w:rPr>
                <w:rFonts w:eastAsia="Times New Roman" w:cs="Times New Roman"/>
                <w:sz w:val="22"/>
              </w:rPr>
              <w:t>211,928</w:t>
            </w:r>
          </w:p>
        </w:tc>
        <w:tc>
          <w:tcPr>
            <w:tcW w:w="2015" w:type="dxa"/>
          </w:tcPr>
          <w:p w14:paraId="314BE3E3" w14:textId="77777777" w:rsidR="000F4EF8" w:rsidRDefault="00000000">
            <w:pPr>
              <w:jc w:val="right"/>
            </w:pPr>
            <w:r>
              <w:rPr>
                <w:rFonts w:eastAsia="Times New Roman" w:cs="Times New Roman"/>
                <w:sz w:val="22"/>
              </w:rPr>
              <w:t>300,464</w:t>
            </w:r>
          </w:p>
        </w:tc>
      </w:tr>
      <w:tr w:rsidR="000F4EF8" w14:paraId="7847F075" w14:textId="77777777">
        <w:tc>
          <w:tcPr>
            <w:tcW w:w="2160" w:type="dxa"/>
          </w:tcPr>
          <w:p w14:paraId="07FA661E" w14:textId="77777777" w:rsidR="000F4EF8" w:rsidRDefault="00000000">
            <w:r>
              <w:rPr>
                <w:rFonts w:eastAsia="Times New Roman" w:cs="Times New Roman"/>
                <w:sz w:val="22"/>
              </w:rPr>
              <w:t>Sample window</w:t>
            </w:r>
          </w:p>
        </w:tc>
        <w:tc>
          <w:tcPr>
            <w:tcW w:w="2015" w:type="dxa"/>
          </w:tcPr>
          <w:p w14:paraId="2C2C2FBE" w14:textId="77777777" w:rsidR="000F4EF8" w:rsidRDefault="00000000">
            <w:pPr>
              <w:jc w:val="right"/>
            </w:pPr>
            <w:r>
              <w:rPr>
                <w:rFonts w:eastAsia="Times New Roman" w:cs="Times New Roman"/>
                <w:sz w:val="22"/>
              </w:rPr>
              <w:t>2015m1-2022m1</w:t>
            </w:r>
          </w:p>
        </w:tc>
        <w:tc>
          <w:tcPr>
            <w:tcW w:w="2015" w:type="dxa"/>
          </w:tcPr>
          <w:p w14:paraId="36305142" w14:textId="77777777" w:rsidR="000F4EF8" w:rsidRDefault="00000000">
            <w:pPr>
              <w:jc w:val="right"/>
            </w:pPr>
            <w:r>
              <w:rPr>
                <w:rFonts w:eastAsia="Times New Roman" w:cs="Times New Roman"/>
                <w:sz w:val="22"/>
              </w:rPr>
              <w:t>2015m1-2022m1</w:t>
            </w:r>
          </w:p>
        </w:tc>
        <w:tc>
          <w:tcPr>
            <w:tcW w:w="2015" w:type="dxa"/>
          </w:tcPr>
          <w:p w14:paraId="76AA2485" w14:textId="77777777" w:rsidR="000F4EF8" w:rsidRDefault="00000000">
            <w:pPr>
              <w:jc w:val="right"/>
            </w:pPr>
            <w:r>
              <w:rPr>
                <w:rFonts w:eastAsia="Times New Roman" w:cs="Times New Roman"/>
                <w:sz w:val="22"/>
              </w:rPr>
              <w:t>2015m1-2024m12</w:t>
            </w:r>
          </w:p>
        </w:tc>
      </w:tr>
    </w:tbl>
    <w:p w14:paraId="7AE0B94D" w14:textId="77777777" w:rsidR="000F4EF8" w:rsidRDefault="00000000">
      <w:r>
        <w:rPr>
          <w:i/>
        </w:rPr>
        <w:t>Note: The actual February 2022 specification uses the full sample, January 2015 to December 2024 (N = 300,464). The Feb 2018 and Feb 2019 placebos restrict the sample to observations strictly prior to the war onset (January 2015 to January 2022, N = 211,928), so the placebo indicators cannot capture the actual war. All specifications condition on the U.S. phosphate duties (March 2021), the China phosphate ban (July 2021), and Belarus potash sanctions (August 2021); Grain Initiative (July 2022) and Russian export-quota (January 2023) controls are in-sample only for the actual-war specification. The actual war coefficient (0.232) is approximately nine times the larger placebo coefficient (0.025). t-statistics are computed from unrounded coefficient estimates and standard errors.</w:t>
      </w:r>
    </w:p>
    <w:p w14:paraId="1A31C878" w14:textId="77777777" w:rsidR="000F4EF8" w:rsidRDefault="00000000">
      <w:pPr>
        <w:keepNext/>
        <w:keepLines/>
        <w:pageBreakBefore/>
      </w:pPr>
      <w:r>
        <w:rPr>
          <w:szCs w:val="24"/>
        </w:rPr>
        <w:t>Table A4. Domestic food-price war coefficients by importer income tier.</w:t>
      </w:r>
    </w:p>
    <w:tbl>
      <w:tblPr>
        <w:tblW w:w="9287" w:type="dxa"/>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2375"/>
        <w:gridCol w:w="2304"/>
        <w:gridCol w:w="2304"/>
        <w:gridCol w:w="2304"/>
      </w:tblGrid>
      <w:tr w:rsidR="000F4EF8" w14:paraId="1F00B5CF" w14:textId="77777777">
        <w:tc>
          <w:tcPr>
            <w:tcW w:w="2376" w:type="dxa"/>
            <w:tcBorders>
              <w:bottom w:val="single" w:sz="4" w:space="0" w:color="000000"/>
            </w:tcBorders>
          </w:tcPr>
          <w:p w14:paraId="02E46310" w14:textId="77777777" w:rsidR="000F4EF8" w:rsidRDefault="000F4EF8"/>
        </w:tc>
        <w:tc>
          <w:tcPr>
            <w:tcW w:w="2304" w:type="dxa"/>
            <w:tcBorders>
              <w:bottom w:val="single" w:sz="4" w:space="0" w:color="000000"/>
            </w:tcBorders>
          </w:tcPr>
          <w:p w14:paraId="0EB90A86" w14:textId="77777777" w:rsidR="000F4EF8" w:rsidRDefault="00000000">
            <w:pPr>
              <w:jc w:val="right"/>
            </w:pPr>
            <w:r>
              <w:rPr>
                <w:rFonts w:eastAsia="Times New Roman" w:cs="Times New Roman"/>
                <w:b/>
                <w:sz w:val="22"/>
              </w:rPr>
              <w:t>Rice</w:t>
            </w:r>
          </w:p>
        </w:tc>
        <w:tc>
          <w:tcPr>
            <w:tcW w:w="2304" w:type="dxa"/>
            <w:tcBorders>
              <w:bottom w:val="single" w:sz="4" w:space="0" w:color="000000"/>
            </w:tcBorders>
          </w:tcPr>
          <w:p w14:paraId="6BD56283" w14:textId="77777777" w:rsidR="000F4EF8" w:rsidRDefault="00000000">
            <w:pPr>
              <w:jc w:val="right"/>
            </w:pPr>
            <w:r>
              <w:rPr>
                <w:rFonts w:eastAsia="Times New Roman" w:cs="Times New Roman"/>
                <w:b/>
                <w:sz w:val="22"/>
              </w:rPr>
              <w:t>Wheat</w:t>
            </w:r>
          </w:p>
        </w:tc>
        <w:tc>
          <w:tcPr>
            <w:tcW w:w="2304" w:type="dxa"/>
            <w:tcBorders>
              <w:bottom w:val="single" w:sz="4" w:space="0" w:color="000000"/>
            </w:tcBorders>
          </w:tcPr>
          <w:p w14:paraId="74313665" w14:textId="77777777" w:rsidR="000F4EF8" w:rsidRDefault="00000000">
            <w:pPr>
              <w:jc w:val="right"/>
            </w:pPr>
            <w:r>
              <w:rPr>
                <w:rFonts w:eastAsia="Times New Roman" w:cs="Times New Roman"/>
                <w:b/>
                <w:sz w:val="22"/>
              </w:rPr>
              <w:t>Maize</w:t>
            </w:r>
          </w:p>
        </w:tc>
      </w:tr>
      <w:tr w:rsidR="000F4EF8" w14:paraId="17576537" w14:textId="77777777">
        <w:tc>
          <w:tcPr>
            <w:tcW w:w="2376" w:type="dxa"/>
          </w:tcPr>
          <w:p w14:paraId="59C7A231" w14:textId="77777777" w:rsidR="000F4EF8" w:rsidRDefault="00000000">
            <w:r>
              <w:rPr>
                <w:rFonts w:eastAsia="Times New Roman" w:cs="Times New Roman"/>
                <w:sz w:val="22"/>
              </w:rPr>
              <w:t>High-income</w:t>
            </w:r>
          </w:p>
        </w:tc>
        <w:tc>
          <w:tcPr>
            <w:tcW w:w="2304" w:type="dxa"/>
          </w:tcPr>
          <w:p w14:paraId="5AA61155" w14:textId="77777777" w:rsidR="000F4EF8" w:rsidRDefault="00000000">
            <w:pPr>
              <w:jc w:val="right"/>
            </w:pPr>
            <w:r>
              <w:rPr>
                <w:rFonts w:eastAsia="Times New Roman" w:cs="Times New Roman"/>
                <w:sz w:val="22"/>
              </w:rPr>
              <w:t>0.550*** (0.048)</w:t>
            </w:r>
          </w:p>
        </w:tc>
        <w:tc>
          <w:tcPr>
            <w:tcW w:w="2304" w:type="dxa"/>
          </w:tcPr>
          <w:p w14:paraId="2FF3DA6C" w14:textId="77777777" w:rsidR="000F4EF8" w:rsidRDefault="00000000">
            <w:pPr>
              <w:jc w:val="right"/>
            </w:pPr>
            <w:r>
              <w:rPr>
                <w:rFonts w:eastAsia="Times New Roman" w:cs="Times New Roman"/>
                <w:sz w:val="22"/>
              </w:rPr>
              <w:t>0.120** (0.047)</w:t>
            </w:r>
          </w:p>
        </w:tc>
        <w:tc>
          <w:tcPr>
            <w:tcW w:w="2304" w:type="dxa"/>
          </w:tcPr>
          <w:p w14:paraId="390F3455" w14:textId="77777777" w:rsidR="000F4EF8" w:rsidRDefault="00000000">
            <w:pPr>
              <w:jc w:val="right"/>
            </w:pPr>
            <w:r>
              <w:rPr>
                <w:rFonts w:eastAsia="Times New Roman" w:cs="Times New Roman"/>
                <w:sz w:val="22"/>
              </w:rPr>
              <w:t>0.150*** (0.053)</w:t>
            </w:r>
          </w:p>
        </w:tc>
      </w:tr>
      <w:tr w:rsidR="000F4EF8" w14:paraId="2DE2AF34" w14:textId="77777777">
        <w:tc>
          <w:tcPr>
            <w:tcW w:w="2376" w:type="dxa"/>
          </w:tcPr>
          <w:p w14:paraId="0ED2BBA3" w14:textId="77777777" w:rsidR="000F4EF8" w:rsidRDefault="00000000">
            <w:r>
              <w:rPr>
                <w:rFonts w:eastAsia="Times New Roman" w:cs="Times New Roman"/>
                <w:sz w:val="22"/>
              </w:rPr>
              <w:t>Upper-middle-income</w:t>
            </w:r>
          </w:p>
        </w:tc>
        <w:tc>
          <w:tcPr>
            <w:tcW w:w="2304" w:type="dxa"/>
          </w:tcPr>
          <w:p w14:paraId="457508B9" w14:textId="77777777" w:rsidR="000F4EF8" w:rsidRDefault="00000000">
            <w:pPr>
              <w:jc w:val="right"/>
            </w:pPr>
            <w:r>
              <w:rPr>
                <w:rFonts w:eastAsia="Times New Roman" w:cs="Times New Roman"/>
                <w:sz w:val="22"/>
              </w:rPr>
              <w:t>0.192*** (0.023)</w:t>
            </w:r>
          </w:p>
        </w:tc>
        <w:tc>
          <w:tcPr>
            <w:tcW w:w="2304" w:type="dxa"/>
          </w:tcPr>
          <w:p w14:paraId="35DC7700" w14:textId="77777777" w:rsidR="000F4EF8" w:rsidRDefault="00000000">
            <w:pPr>
              <w:jc w:val="right"/>
            </w:pPr>
            <w:r>
              <w:rPr>
                <w:rFonts w:eastAsia="Times New Roman" w:cs="Times New Roman"/>
                <w:sz w:val="22"/>
              </w:rPr>
              <w:t>0.300*** (0.042)</w:t>
            </w:r>
          </w:p>
        </w:tc>
        <w:tc>
          <w:tcPr>
            <w:tcW w:w="2304" w:type="dxa"/>
          </w:tcPr>
          <w:p w14:paraId="65CE1403" w14:textId="77777777" w:rsidR="000F4EF8" w:rsidRDefault="00000000">
            <w:pPr>
              <w:jc w:val="right"/>
            </w:pPr>
            <w:r>
              <w:rPr>
                <w:rFonts w:eastAsia="Times New Roman" w:cs="Times New Roman"/>
                <w:sz w:val="22"/>
              </w:rPr>
              <w:t>0.157*** (0.034)</w:t>
            </w:r>
          </w:p>
        </w:tc>
      </w:tr>
      <w:tr w:rsidR="000F4EF8" w14:paraId="59F9C94D" w14:textId="77777777">
        <w:tc>
          <w:tcPr>
            <w:tcW w:w="2376" w:type="dxa"/>
          </w:tcPr>
          <w:p w14:paraId="6C6817E2" w14:textId="77777777" w:rsidR="000F4EF8" w:rsidRDefault="00000000">
            <w:r>
              <w:rPr>
                <w:rFonts w:eastAsia="Times New Roman" w:cs="Times New Roman"/>
                <w:sz w:val="22"/>
              </w:rPr>
              <w:t>Lower-middle-income</w:t>
            </w:r>
          </w:p>
        </w:tc>
        <w:tc>
          <w:tcPr>
            <w:tcW w:w="2304" w:type="dxa"/>
          </w:tcPr>
          <w:p w14:paraId="70692991" w14:textId="77777777" w:rsidR="000F4EF8" w:rsidRDefault="00000000">
            <w:pPr>
              <w:jc w:val="right"/>
            </w:pPr>
            <w:r>
              <w:rPr>
                <w:rFonts w:eastAsia="Times New Roman" w:cs="Times New Roman"/>
                <w:sz w:val="22"/>
              </w:rPr>
              <w:t>0.297*** (0.070)</w:t>
            </w:r>
          </w:p>
        </w:tc>
        <w:tc>
          <w:tcPr>
            <w:tcW w:w="2304" w:type="dxa"/>
          </w:tcPr>
          <w:p w14:paraId="0D6C923F" w14:textId="77777777" w:rsidR="000F4EF8" w:rsidRDefault="00000000">
            <w:pPr>
              <w:jc w:val="right"/>
            </w:pPr>
            <w:r>
              <w:rPr>
                <w:rFonts w:eastAsia="Times New Roman" w:cs="Times New Roman"/>
                <w:sz w:val="22"/>
              </w:rPr>
              <w:t>0.130*** (0.047)</w:t>
            </w:r>
          </w:p>
        </w:tc>
        <w:tc>
          <w:tcPr>
            <w:tcW w:w="2304" w:type="dxa"/>
          </w:tcPr>
          <w:p w14:paraId="19332406" w14:textId="77777777" w:rsidR="000F4EF8" w:rsidRDefault="00000000">
            <w:pPr>
              <w:jc w:val="right"/>
            </w:pPr>
            <w:r>
              <w:rPr>
                <w:rFonts w:eastAsia="Times New Roman" w:cs="Times New Roman"/>
                <w:sz w:val="22"/>
              </w:rPr>
              <w:t>0.199*** (0.032)</w:t>
            </w:r>
          </w:p>
        </w:tc>
      </w:tr>
      <w:tr w:rsidR="000F4EF8" w14:paraId="109F8A04" w14:textId="77777777">
        <w:tc>
          <w:tcPr>
            <w:tcW w:w="2376" w:type="dxa"/>
          </w:tcPr>
          <w:p w14:paraId="5EAC87FB" w14:textId="77777777" w:rsidR="000F4EF8" w:rsidRDefault="00000000">
            <w:r>
              <w:rPr>
                <w:rFonts w:eastAsia="Times New Roman" w:cs="Times New Roman"/>
                <w:sz w:val="22"/>
              </w:rPr>
              <w:t>Low-income</w:t>
            </w:r>
          </w:p>
        </w:tc>
        <w:tc>
          <w:tcPr>
            <w:tcW w:w="2304" w:type="dxa"/>
          </w:tcPr>
          <w:p w14:paraId="1BE98F70" w14:textId="77777777" w:rsidR="000F4EF8" w:rsidRDefault="00000000">
            <w:pPr>
              <w:jc w:val="right"/>
            </w:pPr>
            <w:r>
              <w:rPr>
                <w:rFonts w:eastAsia="Times New Roman" w:cs="Times New Roman"/>
                <w:sz w:val="22"/>
              </w:rPr>
              <w:t>0.089 (0.087)</w:t>
            </w:r>
          </w:p>
        </w:tc>
        <w:tc>
          <w:tcPr>
            <w:tcW w:w="2304" w:type="dxa"/>
          </w:tcPr>
          <w:p w14:paraId="6A307AB3" w14:textId="77777777" w:rsidR="000F4EF8" w:rsidRDefault="00000000">
            <w:pPr>
              <w:jc w:val="right"/>
            </w:pPr>
            <w:r>
              <w:rPr>
                <w:rFonts w:eastAsia="Times New Roman" w:cs="Times New Roman"/>
                <w:sz w:val="22"/>
              </w:rPr>
              <w:t>0.583*** (0.051)</w:t>
            </w:r>
          </w:p>
        </w:tc>
        <w:tc>
          <w:tcPr>
            <w:tcW w:w="2304" w:type="dxa"/>
          </w:tcPr>
          <w:p w14:paraId="60E01C03" w14:textId="77777777" w:rsidR="000F4EF8" w:rsidRDefault="00000000">
            <w:pPr>
              <w:jc w:val="right"/>
            </w:pPr>
            <w:r>
              <w:rPr>
                <w:rFonts w:eastAsia="Times New Roman" w:cs="Times New Roman"/>
                <w:sz w:val="22"/>
              </w:rPr>
              <w:t>0.413*** (0.042)</w:t>
            </w:r>
          </w:p>
        </w:tc>
      </w:tr>
    </w:tbl>
    <w:p w14:paraId="537E76A5" w14:textId="77777777" w:rsidR="000F4EF8" w:rsidRDefault="00000000">
      <w:r>
        <w:rPr>
          <w:rFonts w:eastAsia="Times New Roman" w:cs="Times New Roman"/>
        </w:rPr>
        <w:t>Note: Least-squares regression of log domestic price on log crude oil, monthly fixed effects, and a war-period indicator (March 2022 onward). Tier-specific estimates from monthly FAO GIEWS domestic prices for rice, wheat, and maize converted to USD via IMF International Financial Statistics exchange rates. Heteroskedasticity-robust standard errors in parentheses. Sample: 2015m1-2024m12 (N = 120; N = 119 for low-income wheat, where one month is missing). *** p &lt; 0.01, ** p &lt; 0.05, * p &lt; 0.10.</w:t>
      </w:r>
    </w:p>
    <w:p w14:paraId="359A84D0" w14:textId="77777777" w:rsidR="000F4EF8" w:rsidRDefault="00000000">
      <w:pPr>
        <w:keepNext/>
        <w:keepLines/>
        <w:pageBreakBefore/>
      </w:pPr>
      <w:r>
        <w:t>Table A5. War-period premium for Black Sea grain and oilseed commodity markets, 2015-2024.</w:t>
      </w:r>
    </w:p>
    <w:tbl>
      <w:tblPr>
        <w:tblW w:w="0" w:type="auto"/>
        <w:tblBorders>
          <w:top w:val="single" w:sz="8" w:space="0" w:color="000000"/>
          <w:left w:val="nil"/>
          <w:bottom w:val="single" w:sz="8" w:space="0" w:color="000000"/>
          <w:right w:val="nil"/>
          <w:insideH w:val="nil"/>
          <w:insideV w:val="nil"/>
        </w:tblBorders>
        <w:tblLook w:val="04A0" w:firstRow="1" w:lastRow="0" w:firstColumn="1" w:lastColumn="0" w:noHBand="0" w:noVBand="1"/>
      </w:tblPr>
      <w:tblGrid>
        <w:gridCol w:w="1728"/>
        <w:gridCol w:w="1296"/>
        <w:gridCol w:w="1296"/>
        <w:gridCol w:w="1368"/>
        <w:gridCol w:w="936"/>
        <w:gridCol w:w="1368"/>
      </w:tblGrid>
      <w:tr w:rsidR="000F4EF8" w14:paraId="3C8F170B" w14:textId="77777777">
        <w:tc>
          <w:tcPr>
            <w:tcW w:w="1728" w:type="dxa"/>
            <w:tcBorders>
              <w:bottom w:val="single" w:sz="4" w:space="0" w:color="000000"/>
            </w:tcBorders>
          </w:tcPr>
          <w:p w14:paraId="03E5F67C" w14:textId="77777777" w:rsidR="000F4EF8" w:rsidRDefault="00000000">
            <w:r>
              <w:rPr>
                <w:b/>
                <w:sz w:val="22"/>
              </w:rPr>
              <w:t>Commodity</w:t>
            </w:r>
          </w:p>
        </w:tc>
        <w:tc>
          <w:tcPr>
            <w:tcW w:w="1296" w:type="dxa"/>
            <w:tcBorders>
              <w:bottom w:val="single" w:sz="4" w:space="0" w:color="000000"/>
            </w:tcBorders>
          </w:tcPr>
          <w:p w14:paraId="282D9B23" w14:textId="77777777" w:rsidR="000F4EF8" w:rsidRDefault="00000000">
            <w:r>
              <w:rPr>
                <w:b/>
                <w:sz w:val="22"/>
              </w:rPr>
              <w:t>War coef</w:t>
            </w:r>
          </w:p>
        </w:tc>
        <w:tc>
          <w:tcPr>
            <w:tcW w:w="1296" w:type="dxa"/>
            <w:tcBorders>
              <w:bottom w:val="single" w:sz="4" w:space="0" w:color="000000"/>
            </w:tcBorders>
          </w:tcPr>
          <w:p w14:paraId="78A54802" w14:textId="77777777" w:rsidR="000F4EF8" w:rsidRDefault="00000000">
            <w:r>
              <w:rPr>
                <w:b/>
                <w:sz w:val="22"/>
              </w:rPr>
              <w:t>Robust SE</w:t>
            </w:r>
          </w:p>
        </w:tc>
        <w:tc>
          <w:tcPr>
            <w:tcW w:w="1368" w:type="dxa"/>
            <w:tcBorders>
              <w:bottom w:val="single" w:sz="4" w:space="0" w:color="000000"/>
            </w:tcBorders>
          </w:tcPr>
          <w:p w14:paraId="77C85AB3" w14:textId="77777777" w:rsidR="000F4EF8" w:rsidRDefault="00000000">
            <w:r>
              <w:rPr>
                <w:b/>
                <w:sz w:val="22"/>
              </w:rPr>
              <w:t>% premium</w:t>
            </w:r>
          </w:p>
        </w:tc>
        <w:tc>
          <w:tcPr>
            <w:tcW w:w="936" w:type="dxa"/>
            <w:tcBorders>
              <w:bottom w:val="single" w:sz="4" w:space="0" w:color="000000"/>
            </w:tcBorders>
          </w:tcPr>
          <w:p w14:paraId="5C4C8D78" w14:textId="77777777" w:rsidR="000F4EF8" w:rsidRDefault="00000000">
            <w:r>
              <w:rPr>
                <w:b/>
                <w:sz w:val="22"/>
              </w:rPr>
              <w:t>N</w:t>
            </w:r>
          </w:p>
        </w:tc>
        <w:tc>
          <w:tcPr>
            <w:tcW w:w="1368" w:type="dxa"/>
            <w:tcBorders>
              <w:bottom w:val="single" w:sz="4" w:space="0" w:color="000000"/>
            </w:tcBorders>
          </w:tcPr>
          <w:p w14:paraId="7FDC2BF3" w14:textId="77777777" w:rsidR="000F4EF8" w:rsidRDefault="00000000">
            <w:r>
              <w:rPr>
                <w:b/>
                <w:sz w:val="22"/>
              </w:rPr>
              <w:t>R-squared</w:t>
            </w:r>
          </w:p>
        </w:tc>
      </w:tr>
      <w:tr w:rsidR="000F4EF8" w14:paraId="31E49F01" w14:textId="77777777">
        <w:tc>
          <w:tcPr>
            <w:tcW w:w="1728" w:type="dxa"/>
          </w:tcPr>
          <w:p w14:paraId="2511D38F" w14:textId="77777777" w:rsidR="000F4EF8" w:rsidRDefault="00000000">
            <w:r>
              <w:rPr>
                <w:sz w:val="22"/>
              </w:rPr>
              <w:t>Wheat</w:t>
            </w:r>
          </w:p>
        </w:tc>
        <w:tc>
          <w:tcPr>
            <w:tcW w:w="1296" w:type="dxa"/>
          </w:tcPr>
          <w:p w14:paraId="37EDD2C4" w14:textId="77777777" w:rsidR="000F4EF8" w:rsidRDefault="00000000">
            <w:r>
              <w:rPr>
                <w:sz w:val="22"/>
              </w:rPr>
              <w:t>0.255***</w:t>
            </w:r>
          </w:p>
        </w:tc>
        <w:tc>
          <w:tcPr>
            <w:tcW w:w="1296" w:type="dxa"/>
          </w:tcPr>
          <w:p w14:paraId="39BB7D6C" w14:textId="77777777" w:rsidR="000F4EF8" w:rsidRDefault="00000000">
            <w:r>
              <w:rPr>
                <w:sz w:val="22"/>
              </w:rPr>
              <w:t>(0.062)</w:t>
            </w:r>
          </w:p>
        </w:tc>
        <w:tc>
          <w:tcPr>
            <w:tcW w:w="1368" w:type="dxa"/>
          </w:tcPr>
          <w:p w14:paraId="68C7785D" w14:textId="77777777" w:rsidR="000F4EF8" w:rsidRDefault="00000000">
            <w:r>
              <w:rPr>
                <w:sz w:val="22"/>
              </w:rPr>
              <w:t>29.0%</w:t>
            </w:r>
          </w:p>
        </w:tc>
        <w:tc>
          <w:tcPr>
            <w:tcW w:w="936" w:type="dxa"/>
          </w:tcPr>
          <w:p w14:paraId="476189B6" w14:textId="77777777" w:rsidR="000F4EF8" w:rsidRDefault="00000000">
            <w:r>
              <w:rPr>
                <w:sz w:val="22"/>
              </w:rPr>
              <w:t>120</w:t>
            </w:r>
          </w:p>
        </w:tc>
        <w:tc>
          <w:tcPr>
            <w:tcW w:w="1368" w:type="dxa"/>
          </w:tcPr>
          <w:p w14:paraId="03ECE39D" w14:textId="77777777" w:rsidR="000F4EF8" w:rsidRDefault="00000000">
            <w:r>
              <w:rPr>
                <w:sz w:val="22"/>
              </w:rPr>
              <w:t>0.582</w:t>
            </w:r>
          </w:p>
        </w:tc>
      </w:tr>
      <w:tr w:rsidR="000F4EF8" w14:paraId="68344985" w14:textId="77777777">
        <w:tc>
          <w:tcPr>
            <w:tcW w:w="1728" w:type="dxa"/>
          </w:tcPr>
          <w:p w14:paraId="1506CF04" w14:textId="77777777" w:rsidR="000F4EF8" w:rsidRDefault="00000000">
            <w:r>
              <w:rPr>
                <w:sz w:val="22"/>
              </w:rPr>
              <w:t>Maize</w:t>
            </w:r>
          </w:p>
        </w:tc>
        <w:tc>
          <w:tcPr>
            <w:tcW w:w="1296" w:type="dxa"/>
          </w:tcPr>
          <w:p w14:paraId="41407D62" w14:textId="77777777" w:rsidR="000F4EF8" w:rsidRDefault="00000000">
            <w:r>
              <w:rPr>
                <w:sz w:val="22"/>
              </w:rPr>
              <w:t>0.138**</w:t>
            </w:r>
          </w:p>
        </w:tc>
        <w:tc>
          <w:tcPr>
            <w:tcW w:w="1296" w:type="dxa"/>
          </w:tcPr>
          <w:p w14:paraId="6216E387" w14:textId="77777777" w:rsidR="000F4EF8" w:rsidRDefault="00000000">
            <w:r>
              <w:rPr>
                <w:sz w:val="22"/>
              </w:rPr>
              <w:t>(0.058)</w:t>
            </w:r>
          </w:p>
        </w:tc>
        <w:tc>
          <w:tcPr>
            <w:tcW w:w="1368" w:type="dxa"/>
          </w:tcPr>
          <w:p w14:paraId="2323A476" w14:textId="77777777" w:rsidR="000F4EF8" w:rsidRDefault="00000000">
            <w:r>
              <w:rPr>
                <w:sz w:val="22"/>
              </w:rPr>
              <w:t>14.9%</w:t>
            </w:r>
          </w:p>
        </w:tc>
        <w:tc>
          <w:tcPr>
            <w:tcW w:w="936" w:type="dxa"/>
          </w:tcPr>
          <w:p w14:paraId="2969045B" w14:textId="77777777" w:rsidR="000F4EF8" w:rsidRDefault="00000000">
            <w:r>
              <w:rPr>
                <w:sz w:val="22"/>
              </w:rPr>
              <w:t>120</w:t>
            </w:r>
          </w:p>
        </w:tc>
        <w:tc>
          <w:tcPr>
            <w:tcW w:w="1368" w:type="dxa"/>
          </w:tcPr>
          <w:p w14:paraId="3CD8E775" w14:textId="77777777" w:rsidR="000F4EF8" w:rsidRDefault="00000000">
            <w:r>
              <w:rPr>
                <w:sz w:val="22"/>
              </w:rPr>
              <w:t>0.526</w:t>
            </w:r>
          </w:p>
        </w:tc>
      </w:tr>
      <w:tr w:rsidR="000F4EF8" w14:paraId="59F9518C" w14:textId="77777777">
        <w:tc>
          <w:tcPr>
            <w:tcW w:w="1728" w:type="dxa"/>
          </w:tcPr>
          <w:p w14:paraId="38F5613D" w14:textId="77777777" w:rsidR="000F4EF8" w:rsidRDefault="00000000">
            <w:r>
              <w:rPr>
                <w:sz w:val="22"/>
              </w:rPr>
              <w:t>Sunflower oil</w:t>
            </w:r>
          </w:p>
        </w:tc>
        <w:tc>
          <w:tcPr>
            <w:tcW w:w="1296" w:type="dxa"/>
          </w:tcPr>
          <w:p w14:paraId="38A0268B" w14:textId="77777777" w:rsidR="000F4EF8" w:rsidRDefault="00000000">
            <w:r>
              <w:rPr>
                <w:sz w:val="22"/>
              </w:rPr>
              <w:t>0.108*</w:t>
            </w:r>
          </w:p>
        </w:tc>
        <w:tc>
          <w:tcPr>
            <w:tcW w:w="1296" w:type="dxa"/>
          </w:tcPr>
          <w:p w14:paraId="72F383FA" w14:textId="77777777" w:rsidR="000F4EF8" w:rsidRDefault="00000000">
            <w:r>
              <w:rPr>
                <w:sz w:val="22"/>
              </w:rPr>
              <w:t>(0.064)</w:t>
            </w:r>
          </w:p>
        </w:tc>
        <w:tc>
          <w:tcPr>
            <w:tcW w:w="1368" w:type="dxa"/>
          </w:tcPr>
          <w:p w14:paraId="031AF3BA" w14:textId="77777777" w:rsidR="000F4EF8" w:rsidRDefault="00000000">
            <w:r>
              <w:rPr>
                <w:sz w:val="22"/>
              </w:rPr>
              <w:t>11.4%</w:t>
            </w:r>
          </w:p>
        </w:tc>
        <w:tc>
          <w:tcPr>
            <w:tcW w:w="936" w:type="dxa"/>
          </w:tcPr>
          <w:p w14:paraId="3C04DB3F" w14:textId="77777777" w:rsidR="000F4EF8" w:rsidRDefault="00000000">
            <w:r>
              <w:rPr>
                <w:sz w:val="22"/>
              </w:rPr>
              <w:t>120</w:t>
            </w:r>
          </w:p>
        </w:tc>
        <w:tc>
          <w:tcPr>
            <w:tcW w:w="1368" w:type="dxa"/>
          </w:tcPr>
          <w:p w14:paraId="215BCDF7" w14:textId="77777777" w:rsidR="000F4EF8" w:rsidRDefault="00000000">
            <w:r>
              <w:rPr>
                <w:sz w:val="22"/>
              </w:rPr>
              <w:t>0.326</w:t>
            </w:r>
          </w:p>
        </w:tc>
      </w:tr>
      <w:tr w:rsidR="000F4EF8" w14:paraId="3303F368" w14:textId="77777777">
        <w:tc>
          <w:tcPr>
            <w:tcW w:w="1728" w:type="dxa"/>
          </w:tcPr>
          <w:p w14:paraId="4CBA5960" w14:textId="77777777" w:rsidR="000F4EF8" w:rsidRDefault="00000000">
            <w:r>
              <w:rPr>
                <w:sz w:val="22"/>
              </w:rPr>
              <w:t>Soybean</w:t>
            </w:r>
          </w:p>
        </w:tc>
        <w:tc>
          <w:tcPr>
            <w:tcW w:w="1296" w:type="dxa"/>
          </w:tcPr>
          <w:p w14:paraId="240398D6" w14:textId="77777777" w:rsidR="000F4EF8" w:rsidRDefault="00000000">
            <w:r>
              <w:rPr>
                <w:sz w:val="22"/>
              </w:rPr>
              <w:t>0.159***</w:t>
            </w:r>
          </w:p>
        </w:tc>
        <w:tc>
          <w:tcPr>
            <w:tcW w:w="1296" w:type="dxa"/>
          </w:tcPr>
          <w:p w14:paraId="390AFEDE" w14:textId="77777777" w:rsidR="000F4EF8" w:rsidRDefault="00000000">
            <w:r>
              <w:rPr>
                <w:sz w:val="22"/>
              </w:rPr>
              <w:t>(0.049)</w:t>
            </w:r>
          </w:p>
        </w:tc>
        <w:tc>
          <w:tcPr>
            <w:tcW w:w="1368" w:type="dxa"/>
          </w:tcPr>
          <w:p w14:paraId="75E05C2B" w14:textId="77777777" w:rsidR="000F4EF8" w:rsidRDefault="00000000">
            <w:r>
              <w:rPr>
                <w:sz w:val="22"/>
              </w:rPr>
              <w:t>17.2%</w:t>
            </w:r>
          </w:p>
        </w:tc>
        <w:tc>
          <w:tcPr>
            <w:tcW w:w="936" w:type="dxa"/>
          </w:tcPr>
          <w:p w14:paraId="3B3CCF70" w14:textId="77777777" w:rsidR="000F4EF8" w:rsidRDefault="00000000">
            <w:r>
              <w:rPr>
                <w:sz w:val="22"/>
              </w:rPr>
              <w:t>120</w:t>
            </w:r>
          </w:p>
        </w:tc>
        <w:tc>
          <w:tcPr>
            <w:tcW w:w="1368" w:type="dxa"/>
          </w:tcPr>
          <w:p w14:paraId="26EED23B" w14:textId="77777777" w:rsidR="000F4EF8" w:rsidRDefault="00000000">
            <w:r>
              <w:rPr>
                <w:sz w:val="22"/>
              </w:rPr>
              <w:t>0.521</w:t>
            </w:r>
          </w:p>
        </w:tc>
      </w:tr>
    </w:tbl>
    <w:p w14:paraId="4D77ED4B" w14:textId="77777777" w:rsidR="000F4EF8" w:rsidRDefault="00000000">
      <w:r>
        <w:rPr>
          <w:i/>
        </w:rPr>
        <w:t>Note: War coefficient from a least-squares regression of log monthly commodity price on log crude oil, calendar-month fixed effects (base: January), and a war-period indicator (March 2022 onward); the coefficient is net of energy and seasonality. Huber-White heteroscedasticity-robust standard errors in parentheses. Percent premium is exp(beta) - 1. Gross premia omitting the energy control are +59% (wheat), +39% (maize), +32% (sunflower oil), and +36% (soybean). Sample: 120 monthly observations, 2015m1-2024m12. *** p&lt;0.01, ** p&lt;0.05, * p&lt;0.10.</w:t>
      </w:r>
    </w:p>
    <w:p w14:paraId="359A84D0" w14:textId="77777777" w:rsidR="000F4EF8" w:rsidRDefault="00000000">
      <w:pPr>
        <w:keepNext/>
        <w:keepLines/>
        <w:pageBreakBefore/>
      </w:pPr>
      <w:r>
        <w:t>Table A6. Summary statistics for the monthly price series, 2015m1-2024m12.</w:t>
      </w:r>
    </w:p>
    <w:tbl>
      <w:tblPr>
        <w:tblW w:type="auto" w:w="0"/>
        <w:tblLook w:firstColumn="1" w:firstRow="1" w:lastColumn="0" w:lastRow="0" w:noHBand="0" w:noVBand="1" w:val="04A0"/>
      </w:tblPr>
      <w:tblGrid>
        <w:gridCol w:w="1337"/>
        <w:gridCol w:w="1337"/>
        <w:gridCol w:w="1337"/>
        <w:gridCol w:w="1337"/>
        <w:gridCol w:w="1337"/>
        <w:gridCol w:w="1337"/>
        <w:gridCol w:w="1337"/>
      </w:tblGrid>
      <w:tr>
        <w:tc>
          <w:tcPr>
            <w:tcW w:type="dxa" w:w="1337"/>
          </w:tcPr>
          <w:p>
            <w:r>
              <w:rPr>
                <w:rFonts w:ascii="Times New Roman" w:hAnsi="Times New Roman"/>
                <w:b/>
                <w:sz w:val="20"/>
              </w:rPr>
              <w:t>Variable</w:t>
            </w:r>
          </w:p>
        </w:tc>
        <w:tc>
          <w:tcPr>
            <w:tcW w:type="dxa" w:w="1337"/>
          </w:tcPr>
          <w:p>
            <w:r>
              <w:rPr>
                <w:rFonts w:ascii="Times New Roman" w:hAnsi="Times New Roman"/>
                <w:b/>
                <w:sz w:val="20"/>
              </w:rPr>
              <w:t>Unit</w:t>
            </w:r>
          </w:p>
        </w:tc>
        <w:tc>
          <w:tcPr>
            <w:tcW w:type="dxa" w:w="1337"/>
          </w:tcPr>
          <w:p>
            <w:r>
              <w:rPr>
                <w:rFonts w:ascii="Times New Roman" w:hAnsi="Times New Roman"/>
                <w:b/>
                <w:sz w:val="20"/>
              </w:rPr>
              <w:t>N</w:t>
            </w:r>
          </w:p>
        </w:tc>
        <w:tc>
          <w:tcPr>
            <w:tcW w:type="dxa" w:w="1337"/>
          </w:tcPr>
          <w:p>
            <w:r>
              <w:rPr>
                <w:rFonts w:ascii="Times New Roman" w:hAnsi="Times New Roman"/>
                <w:b/>
                <w:sz w:val="20"/>
              </w:rPr>
              <w:t>Mean</w:t>
            </w:r>
          </w:p>
        </w:tc>
        <w:tc>
          <w:tcPr>
            <w:tcW w:type="dxa" w:w="1337"/>
          </w:tcPr>
          <w:p>
            <w:r>
              <w:rPr>
                <w:rFonts w:ascii="Times New Roman" w:hAnsi="Times New Roman"/>
                <w:b/>
                <w:sz w:val="20"/>
              </w:rPr>
              <w:t>SD</w:t>
            </w:r>
          </w:p>
        </w:tc>
        <w:tc>
          <w:tcPr>
            <w:tcW w:type="dxa" w:w="1337"/>
          </w:tcPr>
          <w:p>
            <w:r>
              <w:rPr>
                <w:rFonts w:ascii="Times New Roman" w:hAnsi="Times New Roman"/>
                <w:b/>
                <w:sz w:val="20"/>
              </w:rPr>
              <w:t>Min</w:t>
            </w:r>
          </w:p>
        </w:tc>
        <w:tc>
          <w:tcPr>
            <w:tcW w:type="dxa" w:w="1337"/>
          </w:tcPr>
          <w:p>
            <w:r>
              <w:rPr>
                <w:rFonts w:ascii="Times New Roman" w:hAnsi="Times New Roman"/>
                <w:b/>
                <w:sz w:val="20"/>
              </w:rPr>
              <w:t>Max</w:t>
            </w:r>
          </w:p>
        </w:tc>
      </w:tr>
      <w:tr>
        <w:tc>
          <w:tcPr>
            <w:tcW w:type="dxa" w:w="1337"/>
          </w:tcPr>
          <w:p>
            <w:r>
              <w:rPr>
                <w:rFonts w:ascii="Times New Roman" w:hAnsi="Times New Roman"/>
                <w:b w:val="0"/>
                <w:sz w:val="20"/>
              </w:rPr>
              <w:t>Urea</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432.0</w:t>
            </w:r>
          </w:p>
        </w:tc>
        <w:tc>
          <w:tcPr>
            <w:tcW w:type="dxa" w:w="1337"/>
          </w:tcPr>
          <w:p>
            <w:r>
              <w:rPr>
                <w:rFonts w:ascii="Times New Roman" w:hAnsi="Times New Roman"/>
                <w:b w:val="0"/>
                <w:sz w:val="20"/>
              </w:rPr>
              <w:t>145.4</w:t>
            </w:r>
          </w:p>
        </w:tc>
        <w:tc>
          <w:tcPr>
            <w:tcW w:type="dxa" w:w="1337"/>
          </w:tcPr>
          <w:p>
            <w:r>
              <w:rPr>
                <w:rFonts w:ascii="Times New Roman" w:hAnsi="Times New Roman"/>
                <w:b w:val="0"/>
                <w:sz w:val="20"/>
              </w:rPr>
              <w:t>287.1</w:t>
            </w:r>
          </w:p>
        </w:tc>
        <w:tc>
          <w:tcPr>
            <w:tcW w:type="dxa" w:w="1337"/>
          </w:tcPr>
          <w:p>
            <w:r>
              <w:rPr>
                <w:rFonts w:ascii="Times New Roman" w:hAnsi="Times New Roman"/>
                <w:b w:val="0"/>
                <w:sz w:val="20"/>
              </w:rPr>
              <w:t>840.7</w:t>
            </w:r>
          </w:p>
        </w:tc>
      </w:tr>
      <w:tr>
        <w:tc>
          <w:tcPr>
            <w:tcW w:type="dxa" w:w="1337"/>
          </w:tcPr>
          <w:p>
            <w:r>
              <w:rPr>
                <w:rFonts w:ascii="Times New Roman" w:hAnsi="Times New Roman"/>
                <w:b w:val="0"/>
                <w:sz w:val="20"/>
              </w:rPr>
              <w:t>MOP</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501.8</w:t>
            </w:r>
          </w:p>
        </w:tc>
        <w:tc>
          <w:tcPr>
            <w:tcW w:type="dxa" w:w="1337"/>
          </w:tcPr>
          <w:p>
            <w:r>
              <w:rPr>
                <w:rFonts w:ascii="Times New Roman" w:hAnsi="Times New Roman"/>
                <w:b w:val="0"/>
                <w:sz w:val="20"/>
              </w:rPr>
              <w:t>118.4</w:t>
            </w:r>
          </w:p>
        </w:tc>
        <w:tc>
          <w:tcPr>
            <w:tcW w:type="dxa" w:w="1337"/>
          </w:tcPr>
          <w:p>
            <w:r>
              <w:rPr>
                <w:rFonts w:ascii="Times New Roman" w:hAnsi="Times New Roman"/>
                <w:b w:val="0"/>
                <w:sz w:val="20"/>
              </w:rPr>
              <w:t>345.0</w:t>
            </w:r>
          </w:p>
        </w:tc>
        <w:tc>
          <w:tcPr>
            <w:tcW w:type="dxa" w:w="1337"/>
          </w:tcPr>
          <w:p>
            <w:r>
              <w:rPr>
                <w:rFonts w:ascii="Times New Roman" w:hAnsi="Times New Roman"/>
                <w:b w:val="0"/>
                <w:sz w:val="20"/>
              </w:rPr>
              <w:t>863.6</w:t>
            </w:r>
          </w:p>
        </w:tc>
      </w:tr>
      <w:tr>
        <w:tc>
          <w:tcPr>
            <w:tcW w:type="dxa" w:w="1337"/>
          </w:tcPr>
          <w:p>
            <w:r>
              <w:rPr>
                <w:rFonts w:ascii="Times New Roman" w:hAnsi="Times New Roman"/>
                <w:b w:val="0"/>
                <w:sz w:val="20"/>
              </w:rPr>
              <w:t>DAP</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640.9</w:t>
            </w:r>
          </w:p>
        </w:tc>
        <w:tc>
          <w:tcPr>
            <w:tcW w:type="dxa" w:w="1337"/>
          </w:tcPr>
          <w:p>
            <w:r>
              <w:rPr>
                <w:rFonts w:ascii="Times New Roman" w:hAnsi="Times New Roman"/>
                <w:b w:val="0"/>
                <w:sz w:val="20"/>
              </w:rPr>
              <w:t>166.4</w:t>
            </w:r>
          </w:p>
        </w:tc>
        <w:tc>
          <w:tcPr>
            <w:tcW w:type="dxa" w:w="1337"/>
          </w:tcPr>
          <w:p>
            <w:r>
              <w:rPr>
                <w:rFonts w:ascii="Times New Roman" w:hAnsi="Times New Roman"/>
                <w:b w:val="0"/>
                <w:sz w:val="20"/>
              </w:rPr>
              <w:t>411.9</w:t>
            </w:r>
          </w:p>
        </w:tc>
        <w:tc>
          <w:tcPr>
            <w:tcW w:type="dxa" w:w="1337"/>
          </w:tcPr>
          <w:p>
            <w:r>
              <w:rPr>
                <w:rFonts w:ascii="Times New Roman" w:hAnsi="Times New Roman"/>
                <w:b w:val="0"/>
                <w:sz w:val="20"/>
              </w:rPr>
              <w:t>1,085.3</w:t>
            </w:r>
          </w:p>
        </w:tc>
      </w:tr>
      <w:tr>
        <w:tc>
          <w:tcPr>
            <w:tcW w:type="dxa" w:w="1337"/>
          </w:tcPr>
          <w:p>
            <w:r>
              <w:rPr>
                <w:rFonts w:ascii="Times New Roman" w:hAnsi="Times New Roman"/>
                <w:b w:val="0"/>
                <w:sz w:val="20"/>
              </w:rPr>
              <w:t>MAP</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748.6</w:t>
            </w:r>
          </w:p>
        </w:tc>
        <w:tc>
          <w:tcPr>
            <w:tcW w:type="dxa" w:w="1337"/>
          </w:tcPr>
          <w:p>
            <w:r>
              <w:rPr>
                <w:rFonts w:ascii="Times New Roman" w:hAnsi="Times New Roman"/>
                <w:b w:val="0"/>
                <w:sz w:val="20"/>
              </w:rPr>
              <w:t>181.0</w:t>
            </w:r>
          </w:p>
        </w:tc>
        <w:tc>
          <w:tcPr>
            <w:tcW w:type="dxa" w:w="1337"/>
          </w:tcPr>
          <w:p>
            <w:r>
              <w:rPr>
                <w:rFonts w:ascii="Times New Roman" w:hAnsi="Times New Roman"/>
                <w:b w:val="0"/>
                <w:sz w:val="20"/>
              </w:rPr>
              <w:t>498.0</w:t>
            </w:r>
          </w:p>
        </w:tc>
        <w:tc>
          <w:tcPr>
            <w:tcW w:type="dxa" w:w="1337"/>
          </w:tcPr>
          <w:p>
            <w:r>
              <w:rPr>
                <w:rFonts w:ascii="Times New Roman" w:hAnsi="Times New Roman"/>
                <w:b w:val="0"/>
                <w:sz w:val="20"/>
              </w:rPr>
              <w:t>1,227.9</w:t>
            </w:r>
          </w:p>
        </w:tc>
      </w:tr>
      <w:tr>
        <w:tc>
          <w:tcPr>
            <w:tcW w:type="dxa" w:w="1337"/>
          </w:tcPr>
          <w:p>
            <w:r>
              <w:rPr>
                <w:rFonts w:ascii="Times New Roman" w:hAnsi="Times New Roman"/>
                <w:b w:val="0"/>
                <w:sz w:val="20"/>
              </w:rPr>
              <w:t>NPK</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615.5</w:t>
            </w:r>
          </w:p>
        </w:tc>
        <w:tc>
          <w:tcPr>
            <w:tcW w:type="dxa" w:w="1337"/>
          </w:tcPr>
          <w:p>
            <w:r>
              <w:rPr>
                <w:rFonts w:ascii="Times New Roman" w:hAnsi="Times New Roman"/>
                <w:b w:val="0"/>
                <w:sz w:val="20"/>
              </w:rPr>
              <w:t>121.0</w:t>
            </w:r>
          </w:p>
        </w:tc>
        <w:tc>
          <w:tcPr>
            <w:tcW w:type="dxa" w:w="1337"/>
          </w:tcPr>
          <w:p>
            <w:r>
              <w:rPr>
                <w:rFonts w:ascii="Times New Roman" w:hAnsi="Times New Roman"/>
                <w:b w:val="0"/>
                <w:sz w:val="20"/>
              </w:rPr>
              <w:t>443.4</w:t>
            </w:r>
          </w:p>
        </w:tc>
        <w:tc>
          <w:tcPr>
            <w:tcW w:type="dxa" w:w="1337"/>
          </w:tcPr>
          <w:p>
            <w:r>
              <w:rPr>
                <w:rFonts w:ascii="Times New Roman" w:hAnsi="Times New Roman"/>
                <w:b w:val="0"/>
                <w:sz w:val="20"/>
              </w:rPr>
              <w:t>902.9</w:t>
            </w:r>
          </w:p>
        </w:tc>
      </w:tr>
      <w:tr>
        <w:tc>
          <w:tcPr>
            <w:tcW w:type="dxa" w:w="1337"/>
          </w:tcPr>
          <w:p>
            <w:r>
              <w:rPr>
                <w:rFonts w:ascii="Times New Roman" w:hAnsi="Times New Roman"/>
                <w:b w:val="0"/>
                <w:sz w:val="20"/>
              </w:rPr>
              <w:t>Natural gas index</w:t>
            </w:r>
          </w:p>
        </w:tc>
        <w:tc>
          <w:tcPr>
            <w:tcW w:type="dxa" w:w="1337"/>
          </w:tcPr>
          <w:p>
            <w:r>
              <w:rPr>
                <w:rFonts w:ascii="Times New Roman" w:hAnsi="Times New Roman"/>
                <w:b w:val="0"/>
                <w:sz w:val="20"/>
              </w:rPr>
              <w:t>2010 = 100</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98.9</w:t>
            </w:r>
          </w:p>
        </w:tc>
        <w:tc>
          <w:tcPr>
            <w:tcW w:type="dxa" w:w="1337"/>
          </w:tcPr>
          <w:p>
            <w:r>
              <w:rPr>
                <w:rFonts w:ascii="Times New Roman" w:hAnsi="Times New Roman"/>
                <w:b w:val="0"/>
                <w:sz w:val="20"/>
              </w:rPr>
              <w:t>72.7</w:t>
            </w:r>
          </w:p>
        </w:tc>
        <w:tc>
          <w:tcPr>
            <w:tcW w:type="dxa" w:w="1337"/>
          </w:tcPr>
          <w:p>
            <w:r>
              <w:rPr>
                <w:rFonts w:ascii="Times New Roman" w:hAnsi="Times New Roman"/>
                <w:b w:val="0"/>
                <w:sz w:val="20"/>
              </w:rPr>
              <w:t>34.0</w:t>
            </w:r>
          </w:p>
        </w:tc>
        <w:tc>
          <w:tcPr>
            <w:tcW w:type="dxa" w:w="1337"/>
          </w:tcPr>
          <w:p>
            <w:r>
              <w:rPr>
                <w:rFonts w:ascii="Times New Roman" w:hAnsi="Times New Roman"/>
                <w:b w:val="0"/>
                <w:sz w:val="20"/>
              </w:rPr>
              <w:t>454.0</w:t>
            </w:r>
          </w:p>
        </w:tc>
      </w:tr>
      <w:tr>
        <w:tc>
          <w:tcPr>
            <w:tcW w:type="dxa" w:w="1337"/>
          </w:tcPr>
          <w:p>
            <w:r>
              <w:rPr>
                <w:rFonts w:ascii="Times New Roman" w:hAnsi="Times New Roman"/>
                <w:b w:val="0"/>
                <w:sz w:val="20"/>
              </w:rPr>
              <w:t>Potassium chloride</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357.1</w:t>
            </w:r>
          </w:p>
        </w:tc>
        <w:tc>
          <w:tcPr>
            <w:tcW w:type="dxa" w:w="1337"/>
          </w:tcPr>
          <w:p>
            <w:r>
              <w:rPr>
                <w:rFonts w:ascii="Times New Roman" w:hAnsi="Times New Roman"/>
                <w:b w:val="0"/>
                <w:sz w:val="20"/>
              </w:rPr>
              <w:t>218.6</w:t>
            </w:r>
          </w:p>
        </w:tc>
        <w:tc>
          <w:tcPr>
            <w:tcW w:type="dxa" w:w="1337"/>
          </w:tcPr>
          <w:p>
            <w:r>
              <w:rPr>
                <w:rFonts w:ascii="Times New Roman" w:hAnsi="Times New Roman"/>
                <w:b w:val="0"/>
                <w:sz w:val="20"/>
              </w:rPr>
              <w:t>206.5</w:t>
            </w:r>
          </w:p>
        </w:tc>
        <w:tc>
          <w:tcPr>
            <w:tcW w:type="dxa" w:w="1337"/>
          </w:tcPr>
          <w:p>
            <w:r>
              <w:rPr>
                <w:rFonts w:ascii="Times New Roman" w:hAnsi="Times New Roman"/>
                <w:b w:val="0"/>
                <w:sz w:val="20"/>
              </w:rPr>
              <w:t>1,202.0</w:t>
            </w:r>
          </w:p>
        </w:tc>
      </w:tr>
      <w:tr>
        <w:tc>
          <w:tcPr>
            <w:tcW w:type="dxa" w:w="1337"/>
          </w:tcPr>
          <w:p>
            <w:r>
              <w:rPr>
                <w:rFonts w:ascii="Times New Roman" w:hAnsi="Times New Roman"/>
                <w:b w:val="0"/>
                <w:sz w:val="20"/>
              </w:rPr>
              <w:t>Phosphate rock</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119</w:t>
            </w:r>
          </w:p>
        </w:tc>
        <w:tc>
          <w:tcPr>
            <w:tcW w:type="dxa" w:w="1337"/>
          </w:tcPr>
          <w:p>
            <w:r>
              <w:rPr>
                <w:rFonts w:ascii="Times New Roman" w:hAnsi="Times New Roman"/>
                <w:b w:val="0"/>
                <w:sz w:val="20"/>
              </w:rPr>
              <w:t>142.1</w:t>
            </w:r>
          </w:p>
        </w:tc>
        <w:tc>
          <w:tcPr>
            <w:tcW w:type="dxa" w:w="1337"/>
          </w:tcPr>
          <w:p>
            <w:r>
              <w:rPr>
                <w:rFonts w:ascii="Times New Roman" w:hAnsi="Times New Roman"/>
                <w:b w:val="0"/>
                <w:sz w:val="20"/>
              </w:rPr>
              <w:t>82.6</w:t>
            </w:r>
          </w:p>
        </w:tc>
        <w:tc>
          <w:tcPr>
            <w:tcW w:type="dxa" w:w="1337"/>
          </w:tcPr>
          <w:p>
            <w:r>
              <w:rPr>
                <w:rFonts w:ascii="Times New Roman" w:hAnsi="Times New Roman"/>
                <w:b w:val="0"/>
                <w:sz w:val="20"/>
              </w:rPr>
              <w:t>70.8</w:t>
            </w:r>
          </w:p>
        </w:tc>
        <w:tc>
          <w:tcPr>
            <w:tcW w:type="dxa" w:w="1337"/>
          </w:tcPr>
          <w:p>
            <w:r>
              <w:rPr>
                <w:rFonts w:ascii="Times New Roman" w:hAnsi="Times New Roman"/>
                <w:b w:val="0"/>
                <w:sz w:val="20"/>
              </w:rPr>
              <w:t>347.5</w:t>
            </w:r>
          </w:p>
        </w:tc>
      </w:tr>
      <w:tr>
        <w:tc>
          <w:tcPr>
            <w:tcW w:type="dxa" w:w="1337"/>
          </w:tcPr>
          <w:p>
            <w:r>
              <w:rPr>
                <w:rFonts w:ascii="Times New Roman" w:hAnsi="Times New Roman"/>
                <w:b w:val="0"/>
                <w:sz w:val="20"/>
              </w:rPr>
              <w:t>Liquid sulfur</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120.7</w:t>
            </w:r>
          </w:p>
        </w:tc>
        <w:tc>
          <w:tcPr>
            <w:tcW w:type="dxa" w:w="1337"/>
          </w:tcPr>
          <w:p>
            <w:r>
              <w:rPr>
                <w:rFonts w:ascii="Times New Roman" w:hAnsi="Times New Roman"/>
                <w:b w:val="0"/>
                <w:sz w:val="20"/>
              </w:rPr>
              <w:t>85.4</w:t>
            </w:r>
          </w:p>
        </w:tc>
        <w:tc>
          <w:tcPr>
            <w:tcW w:type="dxa" w:w="1337"/>
          </w:tcPr>
          <w:p>
            <w:r>
              <w:rPr>
                <w:rFonts w:ascii="Times New Roman" w:hAnsi="Times New Roman"/>
                <w:b w:val="0"/>
                <w:sz w:val="20"/>
              </w:rPr>
              <w:t>36.0</w:t>
            </w:r>
          </w:p>
        </w:tc>
        <w:tc>
          <w:tcPr>
            <w:tcW w:type="dxa" w:w="1337"/>
          </w:tcPr>
          <w:p>
            <w:r>
              <w:rPr>
                <w:rFonts w:ascii="Times New Roman" w:hAnsi="Times New Roman"/>
                <w:b w:val="0"/>
                <w:sz w:val="20"/>
              </w:rPr>
              <w:t>481.0</w:t>
            </w:r>
          </w:p>
        </w:tc>
      </w:tr>
      <w:tr>
        <w:tc>
          <w:tcPr>
            <w:tcW w:type="dxa" w:w="1337"/>
          </w:tcPr>
          <w:p>
            <w:r>
              <w:rPr>
                <w:rFonts w:ascii="Times New Roman" w:hAnsi="Times New Roman"/>
                <w:b w:val="0"/>
                <w:sz w:val="20"/>
              </w:rPr>
              <w:t>Crude oil</w:t>
            </w:r>
          </w:p>
        </w:tc>
        <w:tc>
          <w:tcPr>
            <w:tcW w:type="dxa" w:w="1337"/>
          </w:tcPr>
          <w:p>
            <w:r>
              <w:rPr>
                <w:rFonts w:ascii="Times New Roman" w:hAnsi="Times New Roman"/>
                <w:b w:val="0"/>
                <w:sz w:val="20"/>
              </w:rPr>
              <w:t>USD/bbl</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64.3</w:t>
            </w:r>
          </w:p>
        </w:tc>
        <w:tc>
          <w:tcPr>
            <w:tcW w:type="dxa" w:w="1337"/>
          </w:tcPr>
          <w:p>
            <w:r>
              <w:rPr>
                <w:rFonts w:ascii="Times New Roman" w:hAnsi="Times New Roman"/>
                <w:b w:val="0"/>
                <w:sz w:val="20"/>
              </w:rPr>
              <w:t>18.6</w:t>
            </w:r>
          </w:p>
        </w:tc>
        <w:tc>
          <w:tcPr>
            <w:tcW w:type="dxa" w:w="1337"/>
          </w:tcPr>
          <w:p>
            <w:r>
              <w:rPr>
                <w:rFonts w:ascii="Times New Roman" w:hAnsi="Times New Roman"/>
                <w:b w:val="0"/>
                <w:sz w:val="20"/>
              </w:rPr>
              <w:t>21.0</w:t>
            </w:r>
          </w:p>
        </w:tc>
        <w:tc>
          <w:tcPr>
            <w:tcW w:type="dxa" w:w="1337"/>
          </w:tcPr>
          <w:p>
            <w:r>
              <w:rPr>
                <w:rFonts w:ascii="Times New Roman" w:hAnsi="Times New Roman"/>
                <w:b w:val="0"/>
                <w:sz w:val="20"/>
              </w:rPr>
              <w:t>116.8</w:t>
            </w:r>
          </w:p>
        </w:tc>
      </w:tr>
      <w:tr>
        <w:tc>
          <w:tcPr>
            <w:tcW w:type="dxa" w:w="1337"/>
          </w:tcPr>
          <w:p>
            <w:r>
              <w:rPr>
                <w:rFonts w:ascii="Times New Roman" w:hAnsi="Times New Roman"/>
                <w:b w:val="0"/>
                <w:sz w:val="20"/>
              </w:rPr>
              <w:t>Wheat</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254.3</w:t>
            </w:r>
          </w:p>
        </w:tc>
        <w:tc>
          <w:tcPr>
            <w:tcW w:type="dxa" w:w="1337"/>
          </w:tcPr>
          <w:p>
            <w:r>
              <w:rPr>
                <w:rFonts w:ascii="Times New Roman" w:hAnsi="Times New Roman"/>
                <w:b w:val="0"/>
                <w:sz w:val="20"/>
              </w:rPr>
              <w:t>84.8</w:t>
            </w:r>
          </w:p>
        </w:tc>
        <w:tc>
          <w:tcPr>
            <w:tcW w:type="dxa" w:w="1337"/>
          </w:tcPr>
          <w:p>
            <w:r>
              <w:rPr>
                <w:rFonts w:ascii="Times New Roman" w:hAnsi="Times New Roman"/>
                <w:b w:val="0"/>
                <w:sz w:val="20"/>
              </w:rPr>
              <w:t>141.8</w:t>
            </w:r>
          </w:p>
        </w:tc>
        <w:tc>
          <w:tcPr>
            <w:tcW w:type="dxa" w:w="1337"/>
          </w:tcPr>
          <w:p>
            <w:r>
              <w:rPr>
                <w:rFonts w:ascii="Times New Roman" w:hAnsi="Times New Roman"/>
                <w:b w:val="0"/>
                <w:sz w:val="20"/>
              </w:rPr>
              <w:t>522.3</w:t>
            </w:r>
          </w:p>
        </w:tc>
      </w:tr>
      <w:tr>
        <w:tc>
          <w:tcPr>
            <w:tcW w:type="dxa" w:w="1337"/>
          </w:tcPr>
          <w:p>
            <w:r>
              <w:rPr>
                <w:rFonts w:ascii="Times New Roman" w:hAnsi="Times New Roman"/>
                <w:b w:val="0"/>
                <w:sz w:val="20"/>
              </w:rPr>
              <w:t>Maize</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200.5</w:t>
            </w:r>
          </w:p>
        </w:tc>
        <w:tc>
          <w:tcPr>
            <w:tcW w:type="dxa" w:w="1337"/>
          </w:tcPr>
          <w:p>
            <w:r>
              <w:rPr>
                <w:rFonts w:ascii="Times New Roman" w:hAnsi="Times New Roman"/>
                <w:b w:val="0"/>
                <w:sz w:val="20"/>
              </w:rPr>
              <w:t>56.3</w:t>
            </w:r>
          </w:p>
        </w:tc>
        <w:tc>
          <w:tcPr>
            <w:tcW w:type="dxa" w:w="1337"/>
          </w:tcPr>
          <w:p>
            <w:r>
              <w:rPr>
                <w:rFonts w:ascii="Times New Roman" w:hAnsi="Times New Roman"/>
                <w:b w:val="0"/>
                <w:sz w:val="20"/>
              </w:rPr>
              <w:t>143.9</w:t>
            </w:r>
          </w:p>
        </w:tc>
        <w:tc>
          <w:tcPr>
            <w:tcW w:type="dxa" w:w="1337"/>
          </w:tcPr>
          <w:p>
            <w:r>
              <w:rPr>
                <w:rFonts w:ascii="Times New Roman" w:hAnsi="Times New Roman"/>
                <w:b w:val="0"/>
                <w:sz w:val="20"/>
              </w:rPr>
              <w:t>348.2</w:t>
            </w:r>
          </w:p>
        </w:tc>
      </w:tr>
      <w:tr>
        <w:tc>
          <w:tcPr>
            <w:tcW w:type="dxa" w:w="1337"/>
          </w:tcPr>
          <w:p>
            <w:r>
              <w:rPr>
                <w:rFonts w:ascii="Times New Roman" w:hAnsi="Times New Roman"/>
                <w:b w:val="0"/>
                <w:sz w:val="20"/>
              </w:rPr>
              <w:t>Sunflower oil</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1,008.3</w:t>
            </w:r>
          </w:p>
        </w:tc>
        <w:tc>
          <w:tcPr>
            <w:tcW w:type="dxa" w:w="1337"/>
          </w:tcPr>
          <w:p>
            <w:r>
              <w:rPr>
                <w:rFonts w:ascii="Times New Roman" w:hAnsi="Times New Roman"/>
                <w:b w:val="0"/>
                <w:sz w:val="20"/>
              </w:rPr>
              <w:t>316.5</w:t>
            </w:r>
          </w:p>
        </w:tc>
        <w:tc>
          <w:tcPr>
            <w:tcW w:type="dxa" w:w="1337"/>
          </w:tcPr>
          <w:p>
            <w:r>
              <w:rPr>
                <w:rFonts w:ascii="Times New Roman" w:hAnsi="Times New Roman"/>
                <w:b w:val="0"/>
                <w:sz w:val="20"/>
              </w:rPr>
              <w:t>688.1</w:t>
            </w:r>
          </w:p>
        </w:tc>
        <w:tc>
          <w:tcPr>
            <w:tcW w:type="dxa" w:w="1337"/>
          </w:tcPr>
          <w:p>
            <w:r>
              <w:rPr>
                <w:rFonts w:ascii="Times New Roman" w:hAnsi="Times New Roman"/>
                <w:b w:val="0"/>
                <w:sz w:val="20"/>
              </w:rPr>
              <w:t>2,361.1</w:t>
            </w:r>
          </w:p>
        </w:tc>
      </w:tr>
      <w:tr>
        <w:tc>
          <w:tcPr>
            <w:tcW w:type="dxa" w:w="1337"/>
          </w:tcPr>
          <w:p>
            <w:r>
              <w:rPr>
                <w:rFonts w:ascii="Times New Roman" w:hAnsi="Times New Roman"/>
                <w:b w:val="0"/>
                <w:sz w:val="20"/>
              </w:rPr>
              <w:t>Soybean</w:t>
            </w:r>
          </w:p>
        </w:tc>
        <w:tc>
          <w:tcPr>
            <w:tcW w:type="dxa" w:w="1337"/>
          </w:tcPr>
          <w:p>
            <w:r>
              <w:rPr>
                <w:rFonts w:ascii="Times New Roman" w:hAnsi="Times New Roman"/>
                <w:b w:val="0"/>
                <w:sz w:val="20"/>
              </w:rPr>
              <w:t>USD/mt</w:t>
            </w:r>
          </w:p>
        </w:tc>
        <w:tc>
          <w:tcPr>
            <w:tcW w:type="dxa" w:w="1337"/>
          </w:tcPr>
          <w:p>
            <w:r>
              <w:rPr>
                <w:rFonts w:ascii="Times New Roman" w:hAnsi="Times New Roman"/>
                <w:b w:val="0"/>
                <w:sz w:val="20"/>
              </w:rPr>
              <w:t>120</w:t>
            </w:r>
          </w:p>
        </w:tc>
        <w:tc>
          <w:tcPr>
            <w:tcW w:type="dxa" w:w="1337"/>
          </w:tcPr>
          <w:p>
            <w:r>
              <w:rPr>
                <w:rFonts w:ascii="Times New Roman" w:hAnsi="Times New Roman"/>
                <w:b w:val="0"/>
                <w:sz w:val="20"/>
              </w:rPr>
              <w:t>468.0</w:t>
            </w:r>
          </w:p>
        </w:tc>
        <w:tc>
          <w:tcPr>
            <w:tcW w:type="dxa" w:w="1337"/>
          </w:tcPr>
          <w:p>
            <w:r>
              <w:rPr>
                <w:rFonts w:ascii="Times New Roman" w:hAnsi="Times New Roman"/>
                <w:b w:val="0"/>
                <w:sz w:val="20"/>
              </w:rPr>
              <w:t>109.0</w:t>
            </w:r>
          </w:p>
        </w:tc>
        <w:tc>
          <w:tcPr>
            <w:tcW w:type="dxa" w:w="1337"/>
          </w:tcPr>
          <w:p>
            <w:r>
              <w:rPr>
                <w:rFonts w:ascii="Times New Roman" w:hAnsi="Times New Roman"/>
                <w:b w:val="0"/>
                <w:sz w:val="20"/>
              </w:rPr>
              <w:t>339.8</w:t>
            </w:r>
          </w:p>
        </w:tc>
        <w:tc>
          <w:tcPr>
            <w:tcW w:type="dxa" w:w="1337"/>
          </w:tcPr>
          <w:p>
            <w:r>
              <w:rPr>
                <w:rFonts w:ascii="Times New Roman" w:hAnsi="Times New Roman"/>
                <w:b w:val="0"/>
                <w:sz w:val="20"/>
              </w:rPr>
              <w:t>737.1</w:t>
            </w:r>
          </w:p>
        </w:tc>
      </w:tr>
    </w:tbl>
    <w:p w14:paraId="4D77ED4B" w14:textId="77777777" w:rsidR="000F4EF8" w:rsidRDefault="00000000">
      <w:r>
        <w:rPr>
          <w:i/>
        </w:rPr>
        <w:t>Note: Monthly series, 2015m1-2024m12. World Bank Pink Sheet, nominal U.S. dollars per metric ton, except the natural gas index (2010 = 100) and crude oil (USD per barrel). N = 119 for phosphate rock, where one early-sample month is missing. The bilateral panel and domestic food-price samples are described in Sections 4.4 and 4.3 of the main text.</w:t>
      </w:r>
    </w:p>
    <w:p w14:paraId="6BFEE710" w14:textId="77777777" w:rsidR="001F0F8F" w:rsidRDefault="001F0F8F">
      <w:pPr>
        <w:spacing w:after="160" w:line="259" w:lineRule="auto"/>
        <w:rPr>
          <w:i/>
        </w:rPr>
      </w:pPr>
      <w:r>
        <w:rPr>
          <w:i/>
        </w:rPr>
        <w:br w:type="page"/>
      </w:r>
    </w:p>
    <w:p w14:paraId="395EF169" w14:textId="77777777" w:rsidR="000F4EF8" w:rsidRPr="001F0F8F" w:rsidRDefault="00000000">
      <w:pPr>
        <w:keepNext/>
        <w:keepLines/>
        <w:pageBreakBefore/>
        <w:rPr>
          <w:iCs/>
        </w:rPr>
      </w:pPr>
      <w:r>
        <w:t>Figure A1. War-period domestic food price coefficient by World Bank income tier. Each marker is the war-period premium, exp(beta) − 1, implied by the war coefficient from a separate least-squares regression of the log monthly domestic price on log crude oil, calendar-month fixed effects, and a war-period indicator, estimated on the rice, wheat, or maize importer subsample defined by income tier. Bars are 95% confidence intervals from exp-transforming Huber-White robust standard errors. Sample: monthly 2015m1-2024m12. Coefficient point estimates and standard errors are reported in Table A4.</w:t>
      </w:r>
    </w:p>
    <w:p w14:paraId="0A601726" w14:textId="77777777" w:rsidR="000F4EF8" w:rsidRDefault="00000000">
      <w:r>
        <w:drawing>
          <wp:inline xmlns:a="http://schemas.openxmlformats.org/drawingml/2006/main" xmlns:pic="http://schemas.openxmlformats.org/drawingml/2006/picture">
            <wp:extent cx="5120640" cy="3407536"/>
            <wp:docPr id="1" name="Picture 1"/>
            <wp:cNvGraphicFramePr>
              <a:graphicFrameLocks noChangeAspect="1"/>
            </wp:cNvGraphicFramePr>
            <a:graphic>
              <a:graphicData uri="http://schemas.openxmlformats.org/drawingml/2006/picture">
                <pic:pic>
                  <pic:nvPicPr>
                    <pic:cNvPr id="0" name="figure_a1_food_coef_income.png"/>
                    <pic:cNvPicPr/>
                  </pic:nvPicPr>
                  <pic:blipFill>
                    <a:blip r:embed="rId17"/>
                    <a:stretch>
                      <a:fillRect/>
                    </a:stretch>
                  </pic:blipFill>
                  <pic:spPr>
                    <a:xfrm>
                      <a:off x="0" y="0"/>
                      <a:ext cx="5120640" cy="3407536"/>
                    </a:xfrm>
                    <a:prstGeom prst="rect"/>
                  </pic:spPr>
                </pic:pic>
              </a:graphicData>
            </a:graphic>
          </wp:inline>
        </w:drawing>
      </w:r>
    </w:p>
    <w:sectPr w:rsidR="000F4EF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C8F8D" w14:textId="77777777" w:rsidR="007F5DA0" w:rsidRDefault="007F5DA0">
      <w:r>
        <w:separator/>
      </w:r>
    </w:p>
  </w:endnote>
  <w:endnote w:type="continuationSeparator" w:id="0">
    <w:p w14:paraId="3DC3BF3E" w14:textId="77777777" w:rsidR="007F5DA0" w:rsidRDefault="007F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FCFB" w14:textId="77777777" w:rsidR="000F4EF8" w:rsidRDefault="000F4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1EBE" w14:textId="77777777" w:rsidR="000F4EF8" w:rsidRDefault="000F4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62C1" w14:textId="77777777" w:rsidR="000F4EF8" w:rsidRDefault="000F4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8201" w14:textId="77777777" w:rsidR="007F5DA0" w:rsidRDefault="007F5DA0">
      <w:r>
        <w:separator/>
      </w:r>
    </w:p>
  </w:footnote>
  <w:footnote w:type="continuationSeparator" w:id="0">
    <w:p w14:paraId="3DEEB6C9" w14:textId="77777777" w:rsidR="007F5DA0" w:rsidRDefault="007F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3C4B" w14:textId="77777777" w:rsidR="000F4EF8" w:rsidRDefault="000F4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FC3D" w14:textId="77777777" w:rsidR="000F4EF8" w:rsidRDefault="000F4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8626" w14:textId="77777777" w:rsidR="000F4EF8" w:rsidRDefault="000F4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3FED"/>
    <w:multiLevelType w:val="multilevel"/>
    <w:tmpl w:val="51C0A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D74B99"/>
    <w:multiLevelType w:val="multilevel"/>
    <w:tmpl w:val="08CE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159D1"/>
    <w:multiLevelType w:val="hybridMultilevel"/>
    <w:tmpl w:val="BD76D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086C8C"/>
    <w:multiLevelType w:val="multilevel"/>
    <w:tmpl w:val="1B7A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31A15"/>
    <w:multiLevelType w:val="multilevel"/>
    <w:tmpl w:val="B2E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B5163D"/>
    <w:multiLevelType w:val="multilevel"/>
    <w:tmpl w:val="95B6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74AFF"/>
    <w:multiLevelType w:val="multilevel"/>
    <w:tmpl w:val="BEE62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4C0124"/>
    <w:multiLevelType w:val="multilevel"/>
    <w:tmpl w:val="0070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231109"/>
    <w:multiLevelType w:val="multilevel"/>
    <w:tmpl w:val="7898F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B62948"/>
    <w:multiLevelType w:val="multilevel"/>
    <w:tmpl w:val="B6F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70767"/>
    <w:multiLevelType w:val="multilevel"/>
    <w:tmpl w:val="7754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325001">
    <w:abstractNumId w:val="1"/>
  </w:num>
  <w:num w:numId="2" w16cid:durableId="1485197641">
    <w:abstractNumId w:val="4"/>
  </w:num>
  <w:num w:numId="3" w16cid:durableId="2118863638">
    <w:abstractNumId w:val="9"/>
  </w:num>
  <w:num w:numId="4" w16cid:durableId="1402866215">
    <w:abstractNumId w:val="8"/>
  </w:num>
  <w:num w:numId="5" w16cid:durableId="210314100">
    <w:abstractNumId w:val="7"/>
  </w:num>
  <w:num w:numId="6" w16cid:durableId="1361710219">
    <w:abstractNumId w:val="5"/>
  </w:num>
  <w:num w:numId="7" w16cid:durableId="1557666819">
    <w:abstractNumId w:val="10"/>
  </w:num>
  <w:num w:numId="8" w16cid:durableId="1008143668">
    <w:abstractNumId w:val="6"/>
  </w:num>
  <w:num w:numId="9" w16cid:durableId="2067609544">
    <w:abstractNumId w:val="3"/>
  </w:num>
  <w:num w:numId="10" w16cid:durableId="1129323854">
    <w:abstractNumId w:val="2"/>
  </w:num>
  <w:num w:numId="11" w16cid:durableId="177571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CwNDQ1NDE1MTc2MDFU0lEKTi0uzszPAykwqQUAJK/75iwAAAA="/>
  </w:docVars>
  <w:rsids>
    <w:rsidRoot w:val="00B1482B"/>
    <w:rsid w:val="000329A5"/>
    <w:rsid w:val="000E12CF"/>
    <w:rsid w:val="000F4EF8"/>
    <w:rsid w:val="001B76F6"/>
    <w:rsid w:val="001F0F8F"/>
    <w:rsid w:val="001F532A"/>
    <w:rsid w:val="00234D14"/>
    <w:rsid w:val="0027031B"/>
    <w:rsid w:val="00331854"/>
    <w:rsid w:val="003B2E3B"/>
    <w:rsid w:val="003B4B9E"/>
    <w:rsid w:val="003D3264"/>
    <w:rsid w:val="00454FCA"/>
    <w:rsid w:val="004C70AB"/>
    <w:rsid w:val="00583D41"/>
    <w:rsid w:val="005D776F"/>
    <w:rsid w:val="005E28B0"/>
    <w:rsid w:val="005E48FD"/>
    <w:rsid w:val="006115B0"/>
    <w:rsid w:val="00620381"/>
    <w:rsid w:val="00625E58"/>
    <w:rsid w:val="0077761C"/>
    <w:rsid w:val="007F5DA0"/>
    <w:rsid w:val="00824B53"/>
    <w:rsid w:val="008E2DD5"/>
    <w:rsid w:val="0098651E"/>
    <w:rsid w:val="009F11D3"/>
    <w:rsid w:val="00A11399"/>
    <w:rsid w:val="00AC2CF6"/>
    <w:rsid w:val="00AD3A12"/>
    <w:rsid w:val="00AE3389"/>
    <w:rsid w:val="00B1482B"/>
    <w:rsid w:val="00B62290"/>
    <w:rsid w:val="00C83B46"/>
    <w:rsid w:val="00CB15F4"/>
    <w:rsid w:val="00D3097B"/>
    <w:rsid w:val="00D66810"/>
    <w:rsid w:val="00D91406"/>
    <w:rsid w:val="00DA6BF3"/>
    <w:rsid w:val="00E35B7A"/>
    <w:rsid w:val="00E835AA"/>
    <w:rsid w:val="00ED2789"/>
    <w:rsid w:val="00ED3E92"/>
    <w:rsid w:val="00F2615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77F75"/>
  <w15:chartTrackingRefBased/>
  <w15:docId w15:val="{1A8CE3E4-0B72-4B01-A61D-276C4597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E3B"/>
    <w:pPr>
      <w:spacing w:after="0" w:line="240" w:lineRule="auto"/>
    </w:pPr>
    <w:rPr>
      <w:rFonts w:ascii="Times New Roman" w:hAnsi="Times New Roman" w:cs="Calibri"/>
      <w:kern w:val="0"/>
      <w:sz w:val="24"/>
      <w:lang w:eastAsia="zh-CN"/>
    </w:rPr>
  </w:style>
  <w:style w:type="paragraph" w:styleId="Heading1">
    <w:name w:val="heading 1"/>
    <w:basedOn w:val="Normal"/>
    <w:next w:val="Normal"/>
    <w:link w:val="Heading1Char"/>
    <w:uiPriority w:val="9"/>
    <w:qFormat/>
    <w:rsid w:val="00B148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8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48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8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1482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1482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1482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1482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1482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82B"/>
    <w:rPr>
      <w:rFonts w:asciiTheme="majorHAnsi" w:eastAsiaTheme="majorEastAsia" w:hAnsiTheme="majorHAnsi" w:cstheme="majorBidi"/>
      <w:color w:val="0F4761" w:themeColor="accent1" w:themeShade="BF"/>
      <w:kern w:val="0"/>
      <w:sz w:val="40"/>
      <w:szCs w:val="40"/>
      <w:lang w:eastAsia="zh-CN"/>
    </w:rPr>
  </w:style>
  <w:style w:type="character" w:customStyle="1" w:styleId="Heading2Char">
    <w:name w:val="Heading 2 Char"/>
    <w:basedOn w:val="DefaultParagraphFont"/>
    <w:link w:val="Heading2"/>
    <w:uiPriority w:val="9"/>
    <w:semiHidden/>
    <w:rsid w:val="00B1482B"/>
    <w:rPr>
      <w:rFonts w:asciiTheme="majorHAnsi" w:eastAsiaTheme="majorEastAsia" w:hAnsiTheme="majorHAnsi" w:cstheme="majorBidi"/>
      <w:color w:val="0F4761" w:themeColor="accent1" w:themeShade="BF"/>
      <w:kern w:val="0"/>
      <w:sz w:val="32"/>
      <w:szCs w:val="32"/>
      <w:lang w:eastAsia="zh-CN"/>
    </w:rPr>
  </w:style>
  <w:style w:type="character" w:customStyle="1" w:styleId="Heading3Char">
    <w:name w:val="Heading 3 Char"/>
    <w:basedOn w:val="DefaultParagraphFont"/>
    <w:link w:val="Heading3"/>
    <w:uiPriority w:val="9"/>
    <w:rsid w:val="00B1482B"/>
    <w:rPr>
      <w:rFonts w:eastAsiaTheme="majorEastAsia" w:cstheme="majorBidi"/>
      <w:color w:val="0F4761" w:themeColor="accent1" w:themeShade="BF"/>
      <w:kern w:val="0"/>
      <w:sz w:val="28"/>
      <w:szCs w:val="28"/>
      <w:lang w:eastAsia="zh-CN"/>
    </w:rPr>
  </w:style>
  <w:style w:type="character" w:customStyle="1" w:styleId="Heading4Char">
    <w:name w:val="Heading 4 Char"/>
    <w:basedOn w:val="DefaultParagraphFont"/>
    <w:link w:val="Heading4"/>
    <w:uiPriority w:val="9"/>
    <w:semiHidden/>
    <w:rsid w:val="00B1482B"/>
    <w:rPr>
      <w:rFonts w:eastAsiaTheme="majorEastAsia" w:cstheme="majorBidi"/>
      <w:i/>
      <w:iCs/>
      <w:color w:val="0F4761" w:themeColor="accent1" w:themeShade="BF"/>
      <w:kern w:val="0"/>
      <w:sz w:val="24"/>
      <w:lang w:eastAsia="zh-CN"/>
    </w:rPr>
  </w:style>
  <w:style w:type="character" w:customStyle="1" w:styleId="Heading5Char">
    <w:name w:val="Heading 5 Char"/>
    <w:basedOn w:val="DefaultParagraphFont"/>
    <w:link w:val="Heading5"/>
    <w:uiPriority w:val="9"/>
    <w:semiHidden/>
    <w:rsid w:val="00B1482B"/>
    <w:rPr>
      <w:rFonts w:eastAsiaTheme="majorEastAsia" w:cstheme="majorBidi"/>
      <w:color w:val="0F4761" w:themeColor="accent1" w:themeShade="BF"/>
      <w:kern w:val="0"/>
      <w:sz w:val="24"/>
      <w:lang w:eastAsia="zh-CN"/>
    </w:rPr>
  </w:style>
  <w:style w:type="character" w:customStyle="1" w:styleId="Heading6Char">
    <w:name w:val="Heading 6 Char"/>
    <w:basedOn w:val="DefaultParagraphFont"/>
    <w:link w:val="Heading6"/>
    <w:uiPriority w:val="9"/>
    <w:semiHidden/>
    <w:rsid w:val="00B1482B"/>
    <w:rPr>
      <w:rFonts w:eastAsiaTheme="majorEastAsia" w:cstheme="majorBidi"/>
      <w:i/>
      <w:iCs/>
      <w:color w:val="595959" w:themeColor="text1" w:themeTint="A6"/>
      <w:kern w:val="0"/>
      <w:sz w:val="24"/>
      <w:lang w:eastAsia="zh-CN"/>
    </w:rPr>
  </w:style>
  <w:style w:type="character" w:customStyle="1" w:styleId="Heading7Char">
    <w:name w:val="Heading 7 Char"/>
    <w:basedOn w:val="DefaultParagraphFont"/>
    <w:link w:val="Heading7"/>
    <w:uiPriority w:val="9"/>
    <w:semiHidden/>
    <w:rsid w:val="00B1482B"/>
    <w:rPr>
      <w:rFonts w:eastAsiaTheme="majorEastAsia" w:cstheme="majorBidi"/>
      <w:color w:val="595959" w:themeColor="text1" w:themeTint="A6"/>
      <w:kern w:val="0"/>
      <w:sz w:val="24"/>
      <w:lang w:eastAsia="zh-CN"/>
    </w:rPr>
  </w:style>
  <w:style w:type="character" w:customStyle="1" w:styleId="Heading8Char">
    <w:name w:val="Heading 8 Char"/>
    <w:basedOn w:val="DefaultParagraphFont"/>
    <w:link w:val="Heading8"/>
    <w:uiPriority w:val="9"/>
    <w:semiHidden/>
    <w:rsid w:val="00B1482B"/>
    <w:rPr>
      <w:rFonts w:eastAsiaTheme="majorEastAsia" w:cstheme="majorBidi"/>
      <w:i/>
      <w:iCs/>
      <w:color w:val="272727" w:themeColor="text1" w:themeTint="D8"/>
      <w:kern w:val="0"/>
      <w:sz w:val="24"/>
      <w:lang w:eastAsia="zh-CN"/>
    </w:rPr>
  </w:style>
  <w:style w:type="character" w:customStyle="1" w:styleId="Heading9Char">
    <w:name w:val="Heading 9 Char"/>
    <w:basedOn w:val="DefaultParagraphFont"/>
    <w:link w:val="Heading9"/>
    <w:uiPriority w:val="9"/>
    <w:semiHidden/>
    <w:rsid w:val="00B1482B"/>
    <w:rPr>
      <w:rFonts w:eastAsiaTheme="majorEastAsia" w:cstheme="majorBidi"/>
      <w:color w:val="272727" w:themeColor="text1" w:themeTint="D8"/>
      <w:kern w:val="0"/>
      <w:sz w:val="24"/>
      <w:lang w:eastAsia="zh-CN"/>
    </w:rPr>
  </w:style>
  <w:style w:type="paragraph" w:styleId="Title">
    <w:name w:val="Title"/>
    <w:basedOn w:val="Normal"/>
    <w:next w:val="Normal"/>
    <w:link w:val="TitleChar"/>
    <w:uiPriority w:val="10"/>
    <w:qFormat/>
    <w:rsid w:val="00B148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82B"/>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qFormat/>
    <w:rsid w:val="00B1482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82B"/>
    <w:rPr>
      <w:rFonts w:eastAsiaTheme="majorEastAsia" w:cstheme="majorBidi"/>
      <w:color w:val="595959" w:themeColor="text1" w:themeTint="A6"/>
      <w:spacing w:val="15"/>
      <w:kern w:val="0"/>
      <w:sz w:val="28"/>
      <w:szCs w:val="28"/>
      <w:lang w:eastAsia="zh-CN"/>
    </w:rPr>
  </w:style>
  <w:style w:type="paragraph" w:styleId="Quote">
    <w:name w:val="Quote"/>
    <w:basedOn w:val="Normal"/>
    <w:next w:val="Normal"/>
    <w:link w:val="QuoteChar"/>
    <w:uiPriority w:val="29"/>
    <w:qFormat/>
    <w:rsid w:val="00B148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482B"/>
    <w:rPr>
      <w:rFonts w:ascii="Times New Roman" w:hAnsi="Times New Roman" w:cs="Calibri"/>
      <w:i/>
      <w:iCs/>
      <w:color w:val="404040" w:themeColor="text1" w:themeTint="BF"/>
      <w:kern w:val="0"/>
      <w:sz w:val="24"/>
      <w:lang w:eastAsia="zh-CN"/>
    </w:rPr>
  </w:style>
  <w:style w:type="paragraph" w:styleId="ListParagraph">
    <w:name w:val="List Paragraph"/>
    <w:basedOn w:val="Normal"/>
    <w:uiPriority w:val="34"/>
    <w:qFormat/>
    <w:rsid w:val="00B1482B"/>
    <w:pPr>
      <w:ind w:left="720"/>
      <w:contextualSpacing/>
    </w:pPr>
  </w:style>
  <w:style w:type="character" w:styleId="IntenseEmphasis">
    <w:name w:val="Intense Emphasis"/>
    <w:basedOn w:val="DefaultParagraphFont"/>
    <w:uiPriority w:val="21"/>
    <w:qFormat/>
    <w:rsid w:val="00B1482B"/>
    <w:rPr>
      <w:i/>
      <w:iCs/>
      <w:color w:val="0F4761" w:themeColor="accent1" w:themeShade="BF"/>
    </w:rPr>
  </w:style>
  <w:style w:type="paragraph" w:styleId="IntenseQuote">
    <w:name w:val="Intense Quote"/>
    <w:basedOn w:val="Normal"/>
    <w:next w:val="Normal"/>
    <w:link w:val="IntenseQuoteChar"/>
    <w:uiPriority w:val="30"/>
    <w:qFormat/>
    <w:rsid w:val="00B14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82B"/>
    <w:rPr>
      <w:rFonts w:ascii="Times New Roman" w:hAnsi="Times New Roman" w:cs="Calibri"/>
      <w:i/>
      <w:iCs/>
      <w:color w:val="0F4761" w:themeColor="accent1" w:themeShade="BF"/>
      <w:kern w:val="0"/>
      <w:sz w:val="24"/>
      <w:lang w:eastAsia="zh-CN"/>
    </w:rPr>
  </w:style>
  <w:style w:type="character" w:styleId="IntenseReference">
    <w:name w:val="Intense Reference"/>
    <w:basedOn w:val="DefaultParagraphFont"/>
    <w:uiPriority w:val="32"/>
    <w:qFormat/>
    <w:rsid w:val="00B1482B"/>
    <w:rPr>
      <w:b/>
      <w:bCs/>
      <w:smallCaps/>
      <w:color w:val="0F4761" w:themeColor="accent1" w:themeShade="BF"/>
      <w:spacing w:val="5"/>
    </w:rPr>
  </w:style>
  <w:style w:type="numbering" w:customStyle="1" w:styleId="NoList1">
    <w:name w:val="No List1"/>
    <w:next w:val="NoList"/>
    <w:uiPriority w:val="99"/>
    <w:semiHidden/>
    <w:unhideWhenUsed/>
    <w:rsid w:val="00B1482B"/>
  </w:style>
  <w:style w:type="paragraph" w:styleId="NormalWeb">
    <w:name w:val="Normal (Web)"/>
    <w:basedOn w:val="Normal"/>
    <w:uiPriority w:val="99"/>
    <w:unhideWhenUsed/>
    <w:rsid w:val="00B1482B"/>
    <w:pPr>
      <w:spacing w:before="100" w:beforeAutospacing="1" w:after="100" w:afterAutospacing="1"/>
    </w:pPr>
    <w:rPr>
      <w:rFonts w:eastAsia="Times New Roman" w:cs="Times New Roman"/>
      <w:szCs w:val="24"/>
      <w:lang w:eastAsia="en-US" w:bidi="bn-IN"/>
    </w:rPr>
  </w:style>
  <w:style w:type="character" w:customStyle="1" w:styleId="katex-mathml">
    <w:name w:val="katex-mathml"/>
    <w:basedOn w:val="DefaultParagraphFont"/>
    <w:rsid w:val="00B1482B"/>
  </w:style>
  <w:style w:type="character" w:customStyle="1" w:styleId="mop">
    <w:name w:val="mop"/>
    <w:basedOn w:val="DefaultParagraphFont"/>
    <w:rsid w:val="00B1482B"/>
  </w:style>
  <w:style w:type="character" w:customStyle="1" w:styleId="mopen">
    <w:name w:val="mopen"/>
    <w:basedOn w:val="DefaultParagraphFont"/>
    <w:rsid w:val="00B1482B"/>
  </w:style>
  <w:style w:type="character" w:customStyle="1" w:styleId="mord">
    <w:name w:val="mord"/>
    <w:basedOn w:val="DefaultParagraphFont"/>
    <w:rsid w:val="00B1482B"/>
  </w:style>
  <w:style w:type="character" w:customStyle="1" w:styleId="vlist-s">
    <w:name w:val="vlist-s"/>
    <w:basedOn w:val="DefaultParagraphFont"/>
    <w:rsid w:val="00B1482B"/>
  </w:style>
  <w:style w:type="character" w:customStyle="1" w:styleId="mclose">
    <w:name w:val="mclose"/>
    <w:basedOn w:val="DefaultParagraphFont"/>
    <w:rsid w:val="00B1482B"/>
  </w:style>
  <w:style w:type="character" w:customStyle="1" w:styleId="mrel">
    <w:name w:val="mrel"/>
    <w:basedOn w:val="DefaultParagraphFont"/>
    <w:rsid w:val="00B1482B"/>
  </w:style>
  <w:style w:type="character" w:customStyle="1" w:styleId="mbin">
    <w:name w:val="mbin"/>
    <w:basedOn w:val="DefaultParagraphFont"/>
    <w:rsid w:val="00B1482B"/>
  </w:style>
  <w:style w:type="character" w:styleId="PlaceholderText">
    <w:name w:val="Placeholder Text"/>
    <w:basedOn w:val="DefaultParagraphFont"/>
    <w:uiPriority w:val="99"/>
    <w:semiHidden/>
    <w:rsid w:val="00B1482B"/>
    <w:rPr>
      <w:color w:val="666666"/>
    </w:rPr>
  </w:style>
  <w:style w:type="paragraph" w:customStyle="1" w:styleId="whitespace-pre-wrap">
    <w:name w:val="whitespace-pre-wrap"/>
    <w:basedOn w:val="Normal"/>
    <w:rsid w:val="00B1482B"/>
    <w:pPr>
      <w:spacing w:before="100" w:beforeAutospacing="1" w:after="100" w:afterAutospacing="1"/>
    </w:pPr>
    <w:rPr>
      <w:rFonts w:eastAsia="Times New Roman" w:cs="Times New Roman"/>
      <w:szCs w:val="24"/>
      <w:lang w:eastAsia="en-US" w:bidi="bn-IN"/>
    </w:rPr>
  </w:style>
  <w:style w:type="character" w:customStyle="1" w:styleId="mpunct">
    <w:name w:val="mpunct"/>
    <w:basedOn w:val="DefaultParagraphFont"/>
    <w:rsid w:val="00B1482B"/>
  </w:style>
  <w:style w:type="paragraph" w:customStyle="1" w:styleId="whitespace-normal">
    <w:name w:val="whitespace-normal"/>
    <w:basedOn w:val="Normal"/>
    <w:rsid w:val="00B1482B"/>
    <w:pPr>
      <w:spacing w:before="100" w:beforeAutospacing="1" w:after="100" w:afterAutospacing="1"/>
    </w:pPr>
    <w:rPr>
      <w:rFonts w:eastAsia="Times New Roman" w:cs="Times New Roman"/>
      <w:szCs w:val="24"/>
      <w:lang w:eastAsia="en-US" w:bidi="bn-IN"/>
    </w:rPr>
  </w:style>
  <w:style w:type="character" w:styleId="Emphasis">
    <w:name w:val="Emphasis"/>
    <w:basedOn w:val="DefaultParagraphFont"/>
    <w:uiPriority w:val="20"/>
    <w:qFormat/>
    <w:rsid w:val="00B1482B"/>
    <w:rPr>
      <w:i/>
      <w:iCs/>
    </w:rPr>
  </w:style>
  <w:style w:type="character" w:styleId="Strong">
    <w:name w:val="Strong"/>
    <w:basedOn w:val="DefaultParagraphFont"/>
    <w:uiPriority w:val="22"/>
    <w:qFormat/>
    <w:rsid w:val="00B1482B"/>
    <w:rPr>
      <w:b/>
      <w:bCs/>
    </w:rPr>
  </w:style>
  <w:style w:type="paragraph" w:styleId="FootnoteText">
    <w:name w:val="footnote text"/>
    <w:basedOn w:val="Normal"/>
    <w:link w:val="FootnoteTextChar"/>
    <w:uiPriority w:val="99"/>
    <w:semiHidden/>
    <w:unhideWhenUsed/>
    <w:rsid w:val="00B1482B"/>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B1482B"/>
    <w:rPr>
      <w:rFonts w:eastAsiaTheme="minorEastAsia"/>
      <w:kern w:val="0"/>
      <w:sz w:val="20"/>
      <w:szCs w:val="20"/>
    </w:rPr>
  </w:style>
  <w:style w:type="character" w:styleId="FootnoteReference">
    <w:name w:val="footnote reference"/>
    <w:basedOn w:val="DefaultParagraphFont"/>
    <w:uiPriority w:val="99"/>
    <w:semiHidden/>
    <w:unhideWhenUsed/>
    <w:rsid w:val="00B1482B"/>
    <w:rPr>
      <w:vertAlign w:val="superscript"/>
    </w:rPr>
  </w:style>
  <w:style w:type="character" w:styleId="Hyperlink">
    <w:name w:val="Hyperlink"/>
    <w:basedOn w:val="DefaultParagraphFont"/>
    <w:uiPriority w:val="99"/>
    <w:unhideWhenUsed/>
    <w:rsid w:val="00B1482B"/>
    <w:rPr>
      <w:color w:val="467886" w:themeColor="hyperlink"/>
      <w:u w:val="single"/>
    </w:rPr>
  </w:style>
  <w:style w:type="character" w:styleId="UnresolvedMention">
    <w:name w:val="Unresolved Mention"/>
    <w:basedOn w:val="DefaultParagraphFont"/>
    <w:uiPriority w:val="99"/>
    <w:semiHidden/>
    <w:unhideWhenUsed/>
    <w:rsid w:val="00B1482B"/>
    <w:rPr>
      <w:color w:val="605E5C"/>
      <w:shd w:val="clear" w:color="auto" w:fill="E1DFDD"/>
    </w:rPr>
  </w:style>
  <w:style w:type="paragraph" w:styleId="Header">
    <w:name w:val="header"/>
    <w:basedOn w:val="Normal"/>
    <w:link w:val="HeaderChar"/>
    <w:uiPriority w:val="99"/>
    <w:unhideWhenUsed/>
    <w:rsid w:val="00B1482B"/>
    <w:pPr>
      <w:tabs>
        <w:tab w:val="center" w:pos="4680"/>
        <w:tab w:val="right" w:pos="9360"/>
      </w:tabs>
    </w:pPr>
    <w:rPr>
      <w:rFonts w:asciiTheme="minorHAnsi" w:eastAsiaTheme="minorEastAsia" w:hAnsiTheme="minorHAnsi" w:cstheme="minorBidi"/>
      <w:sz w:val="22"/>
      <w:lang w:eastAsia="en-US"/>
    </w:rPr>
  </w:style>
  <w:style w:type="character" w:customStyle="1" w:styleId="HeaderChar">
    <w:name w:val="Header Char"/>
    <w:basedOn w:val="DefaultParagraphFont"/>
    <w:link w:val="Header"/>
    <w:uiPriority w:val="99"/>
    <w:rsid w:val="00B1482B"/>
    <w:rPr>
      <w:rFonts w:eastAsiaTheme="minorEastAsia"/>
      <w:kern w:val="0"/>
    </w:rPr>
  </w:style>
  <w:style w:type="paragraph" w:styleId="Footer">
    <w:name w:val="footer"/>
    <w:basedOn w:val="Normal"/>
    <w:link w:val="FooterChar"/>
    <w:uiPriority w:val="99"/>
    <w:unhideWhenUsed/>
    <w:rsid w:val="00B1482B"/>
    <w:pPr>
      <w:tabs>
        <w:tab w:val="center" w:pos="4680"/>
        <w:tab w:val="right" w:pos="9360"/>
      </w:tabs>
    </w:pPr>
    <w:rPr>
      <w:rFonts w:asciiTheme="minorHAnsi" w:eastAsiaTheme="minorEastAsia" w:hAnsiTheme="minorHAnsi" w:cstheme="minorBidi"/>
      <w:sz w:val="22"/>
      <w:lang w:eastAsia="en-US"/>
    </w:rPr>
  </w:style>
  <w:style w:type="character" w:customStyle="1" w:styleId="FooterChar">
    <w:name w:val="Footer Char"/>
    <w:basedOn w:val="DefaultParagraphFont"/>
    <w:link w:val="Footer"/>
    <w:uiPriority w:val="99"/>
    <w:rsid w:val="00B1482B"/>
    <w:rPr>
      <w:rFonts w:eastAsiaTheme="minorEastAsia"/>
      <w:kern w:val="0"/>
    </w:rPr>
  </w:style>
  <w:style w:type="paragraph" w:styleId="Bibliography">
    <w:name w:val="Bibliography"/>
    <w:basedOn w:val="Normal"/>
    <w:next w:val="Normal"/>
    <w:uiPriority w:val="37"/>
    <w:unhideWhenUsed/>
    <w:rsid w:val="00B1482B"/>
    <w:pPr>
      <w:spacing w:line="480" w:lineRule="auto"/>
      <w:ind w:left="720" w:hanging="720"/>
    </w:pPr>
    <w:rPr>
      <w:rFonts w:asciiTheme="minorHAnsi" w:eastAsiaTheme="minorEastAsia" w:hAnsiTheme="minorHAnsi" w:cstheme="minorBidi"/>
      <w:sz w:val="22"/>
      <w:lang w:eastAsia="en-US"/>
    </w:rPr>
  </w:style>
  <w:style w:type="paragraph" w:styleId="Revision">
    <w:name w:val="Revision"/>
    <w:hidden/>
    <w:uiPriority w:val="99"/>
    <w:semiHidden/>
    <w:rsid w:val="00B1482B"/>
    <w:pPr>
      <w:spacing w:after="0" w:line="240" w:lineRule="auto"/>
    </w:pPr>
    <w:rPr>
      <w:rFonts w:eastAsiaTheme="minorEastAsia"/>
      <w:kern w:val="0"/>
    </w:rPr>
  </w:style>
  <w:style w:type="character" w:styleId="CommentReference">
    <w:name w:val="annotation reference"/>
    <w:basedOn w:val="DefaultParagraphFont"/>
    <w:uiPriority w:val="99"/>
    <w:semiHidden/>
    <w:unhideWhenUsed/>
    <w:rsid w:val="00B1482B"/>
    <w:rPr>
      <w:sz w:val="16"/>
      <w:szCs w:val="16"/>
    </w:rPr>
  </w:style>
  <w:style w:type="paragraph" w:styleId="CommentText">
    <w:name w:val="annotation text"/>
    <w:basedOn w:val="Normal"/>
    <w:link w:val="CommentTextChar"/>
    <w:uiPriority w:val="99"/>
    <w:unhideWhenUsed/>
    <w:rsid w:val="00B1482B"/>
    <w:pPr>
      <w:spacing w:after="20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B1482B"/>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B1482B"/>
    <w:rPr>
      <w:b/>
      <w:bCs/>
    </w:rPr>
  </w:style>
  <w:style w:type="character" w:customStyle="1" w:styleId="CommentSubjectChar">
    <w:name w:val="Comment Subject Char"/>
    <w:basedOn w:val="CommentTextChar"/>
    <w:link w:val="CommentSubject"/>
    <w:uiPriority w:val="99"/>
    <w:semiHidden/>
    <w:rsid w:val="00B1482B"/>
    <w:rPr>
      <w:rFonts w:eastAsiaTheme="minorEastAsia"/>
      <w:b/>
      <w:bCs/>
      <w:kern w:val="0"/>
      <w:sz w:val="20"/>
      <w:szCs w:val="20"/>
    </w:rPr>
  </w:style>
  <w:style w:type="table" w:styleId="TableGrid">
    <w:name w:val="Table Grid"/>
    <w:basedOn w:val="TableNormal"/>
    <w:uiPriority w:val="39"/>
    <w:rsid w:val="00B1482B"/>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1482B"/>
    <w:pPr>
      <w:spacing w:after="0" w:line="240" w:lineRule="auto"/>
    </w:pPr>
    <w:rPr>
      <w:rFonts w:eastAsiaTheme="minorHAnsi"/>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6115B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51664">
      <w:bodyDiv w:val="1"/>
      <w:marLeft w:val="0"/>
      <w:marRight w:val="0"/>
      <w:marTop w:val="0"/>
      <w:marBottom w:val="0"/>
      <w:divBdr>
        <w:top w:val="none" w:sz="0" w:space="0" w:color="auto"/>
        <w:left w:val="none" w:sz="0" w:space="0" w:color="auto"/>
        <w:bottom w:val="none" w:sz="0" w:space="0" w:color="auto"/>
        <w:right w:val="none" w:sz="0" w:space="0" w:color="auto"/>
      </w:divBdr>
    </w:div>
    <w:div w:id="165144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17"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2025-08-30T22:16:00Z</dcterms:created>
  <dcterms:modified xsi:type="dcterms:W3CDTF">2026-05-22T20:43:00Z</dcterms:modified>
  <cp:category/>
  <dc:identifier/>
  <cp:contentStatus/>
  <dc:language/>
  <cp:version/>
</cp:coreProperties>
</file>