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490220" w14:textId="77777777" w:rsidR="00AD75C7" w:rsidRDefault="00BE2AB5">
      <w:pPr>
        <w:pStyle w:val="Ttulo1"/>
        <w:jc w:val="center"/>
      </w:pPr>
      <w:bookmarkStart w:id="0" w:name="supplementary-material"/>
      <w:r>
        <w:t>Supplementary material</w:t>
      </w:r>
    </w:p>
    <w:p w14:paraId="69490221" w14:textId="77777777" w:rsidR="00AD75C7" w:rsidRDefault="00BE2AB5">
      <w:pPr>
        <w:pStyle w:val="FirstParagraph"/>
      </w:pPr>
      <w:r>
        <w:t>Measurement design and the apparent inactivity of women in urban Chile</w:t>
      </w:r>
    </w:p>
    <w:p w14:paraId="69490222" w14:textId="77777777" w:rsidR="00AD75C7" w:rsidRDefault="00BE2AB5">
      <w:pPr>
        <w:pStyle w:val="Textoindependiente"/>
      </w:pPr>
      <w:r>
        <w:rPr>
          <w:b/>
          <w:bCs/>
        </w:rPr>
        <w:t>Table S1.</w:t>
      </w:r>
      <w:r>
        <w:t xml:space="preserve"> Decomposition of total physical activity energy expenditure </w:t>
      </w:r>
      <w:r>
        <w:t>by sex, MET-hours per typical day (population means with standard errors, complex-survey weighted).</w:t>
      </w:r>
    </w:p>
    <w:tbl>
      <w:tblPr>
        <w:tblStyle w:val="Table"/>
        <w:tblW w:w="5749" w:type="pct"/>
        <w:jc w:val="center"/>
        <w:tblLook w:val="0020" w:firstRow="1" w:lastRow="0" w:firstColumn="0" w:lastColumn="0" w:noHBand="0" w:noVBand="0"/>
      </w:tblPr>
      <w:tblGrid>
        <w:gridCol w:w="5339"/>
        <w:gridCol w:w="1622"/>
        <w:gridCol w:w="1636"/>
        <w:gridCol w:w="1813"/>
      </w:tblGrid>
      <w:tr w:rsidR="00AD75C7" w14:paraId="69490227" w14:textId="77777777" w:rsidTr="00BE2AB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  <w:jc w:val="center"/>
        </w:trPr>
        <w:tc>
          <w:tcPr>
            <w:tcW w:w="2564" w:type="pct"/>
            <w:tcBorders>
              <w:top w:val="single" w:sz="4" w:space="0" w:color="auto"/>
              <w:bottom w:val="single" w:sz="4" w:space="0" w:color="auto"/>
            </w:tcBorders>
          </w:tcPr>
          <w:p w14:paraId="69490223" w14:textId="77777777" w:rsidR="00AD75C7" w:rsidRDefault="00BE2AB5">
            <w:pPr>
              <w:pStyle w:val="Compact"/>
            </w:pPr>
            <w:r>
              <w:t>Aggregate</w:t>
            </w:r>
          </w:p>
        </w:tc>
        <w:tc>
          <w:tcPr>
            <w:tcW w:w="779" w:type="pct"/>
            <w:tcBorders>
              <w:top w:val="single" w:sz="4" w:space="0" w:color="auto"/>
              <w:bottom w:val="single" w:sz="4" w:space="0" w:color="auto"/>
            </w:tcBorders>
          </w:tcPr>
          <w:p w14:paraId="69490224" w14:textId="77777777" w:rsidR="00AD75C7" w:rsidRDefault="00BE2AB5" w:rsidP="00BE2AB5">
            <w:pPr>
              <w:pStyle w:val="Compact"/>
              <w:jc w:val="center"/>
            </w:pPr>
            <w:r>
              <w:t>Men (SE)</w:t>
            </w:r>
          </w:p>
        </w:tc>
        <w:tc>
          <w:tcPr>
            <w:tcW w:w="786" w:type="pct"/>
            <w:tcBorders>
              <w:top w:val="single" w:sz="4" w:space="0" w:color="auto"/>
              <w:bottom w:val="single" w:sz="4" w:space="0" w:color="auto"/>
            </w:tcBorders>
          </w:tcPr>
          <w:p w14:paraId="69490225" w14:textId="77777777" w:rsidR="00AD75C7" w:rsidRDefault="00BE2AB5" w:rsidP="00BE2AB5">
            <w:pPr>
              <w:pStyle w:val="Compact"/>
              <w:jc w:val="center"/>
            </w:pPr>
            <w:r>
              <w:t>Women (SE)</w:t>
            </w:r>
          </w:p>
        </w:tc>
        <w:tc>
          <w:tcPr>
            <w:tcW w:w="871" w:type="pct"/>
            <w:tcBorders>
              <w:top w:val="single" w:sz="4" w:space="0" w:color="auto"/>
              <w:bottom w:val="single" w:sz="4" w:space="0" w:color="auto"/>
            </w:tcBorders>
          </w:tcPr>
          <w:p w14:paraId="69490226" w14:textId="77777777" w:rsidR="00AD75C7" w:rsidRDefault="00BE2AB5" w:rsidP="00BE2AB5">
            <w:pPr>
              <w:pStyle w:val="Compact"/>
              <w:jc w:val="center"/>
            </w:pPr>
            <w:r>
              <w:t>Ratio (W/M)</w:t>
            </w:r>
          </w:p>
        </w:tc>
      </w:tr>
      <w:tr w:rsidR="00AD75C7" w14:paraId="6949022C" w14:textId="77777777" w:rsidTr="00BE2AB5">
        <w:trPr>
          <w:jc w:val="center"/>
        </w:trPr>
        <w:tc>
          <w:tcPr>
            <w:tcW w:w="2564" w:type="pct"/>
            <w:tcBorders>
              <w:top w:val="single" w:sz="4" w:space="0" w:color="auto"/>
            </w:tcBorders>
          </w:tcPr>
          <w:p w14:paraId="69490228" w14:textId="77777777" w:rsidR="00AD75C7" w:rsidRDefault="00BE2AB5">
            <w:pPr>
              <w:pStyle w:val="Compact"/>
            </w:pPr>
            <w:r>
              <w:t>Elective (exercise)</w:t>
            </w:r>
          </w:p>
        </w:tc>
        <w:tc>
          <w:tcPr>
            <w:tcW w:w="779" w:type="pct"/>
            <w:tcBorders>
              <w:top w:val="single" w:sz="4" w:space="0" w:color="auto"/>
            </w:tcBorders>
          </w:tcPr>
          <w:p w14:paraId="69490229" w14:textId="77777777" w:rsidR="00AD75C7" w:rsidRDefault="00BE2AB5" w:rsidP="00BE2AB5">
            <w:pPr>
              <w:pStyle w:val="Compact"/>
              <w:jc w:val="center"/>
            </w:pPr>
            <w:r>
              <w:t>2.04 (0.056)</w:t>
            </w:r>
          </w:p>
        </w:tc>
        <w:tc>
          <w:tcPr>
            <w:tcW w:w="786" w:type="pct"/>
            <w:tcBorders>
              <w:top w:val="single" w:sz="4" w:space="0" w:color="auto"/>
            </w:tcBorders>
          </w:tcPr>
          <w:p w14:paraId="6949022A" w14:textId="77777777" w:rsidR="00AD75C7" w:rsidRDefault="00BE2AB5" w:rsidP="00BE2AB5">
            <w:pPr>
              <w:pStyle w:val="Compact"/>
              <w:jc w:val="center"/>
            </w:pPr>
            <w:r>
              <w:t>0.89 (0.029)</w:t>
            </w:r>
          </w:p>
        </w:tc>
        <w:tc>
          <w:tcPr>
            <w:tcW w:w="871" w:type="pct"/>
            <w:tcBorders>
              <w:top w:val="single" w:sz="4" w:space="0" w:color="auto"/>
            </w:tcBorders>
          </w:tcPr>
          <w:p w14:paraId="6949022B" w14:textId="77777777" w:rsidR="00AD75C7" w:rsidRDefault="00BE2AB5" w:rsidP="00BE2AB5">
            <w:pPr>
              <w:pStyle w:val="Compact"/>
              <w:jc w:val="center"/>
            </w:pPr>
            <w:r>
              <w:t>0.44</w:t>
            </w:r>
          </w:p>
        </w:tc>
      </w:tr>
      <w:tr w:rsidR="00AD75C7" w14:paraId="69490231" w14:textId="77777777" w:rsidTr="00BE2AB5">
        <w:trPr>
          <w:jc w:val="center"/>
        </w:trPr>
        <w:tc>
          <w:tcPr>
            <w:tcW w:w="2564" w:type="pct"/>
          </w:tcPr>
          <w:p w14:paraId="6949022D" w14:textId="77777777" w:rsidR="00AD75C7" w:rsidRDefault="00BE2AB5">
            <w:pPr>
              <w:pStyle w:val="Compact"/>
            </w:pPr>
            <w:r>
              <w:t>Non-labour obligatory (domestic + caregiving)</w:t>
            </w:r>
          </w:p>
        </w:tc>
        <w:tc>
          <w:tcPr>
            <w:tcW w:w="779" w:type="pct"/>
          </w:tcPr>
          <w:p w14:paraId="6949022E" w14:textId="77777777" w:rsidR="00AD75C7" w:rsidRDefault="00BE2AB5" w:rsidP="00BE2AB5">
            <w:pPr>
              <w:pStyle w:val="Compact"/>
              <w:jc w:val="center"/>
            </w:pPr>
            <w:r>
              <w:t>4.50 (0.066)</w:t>
            </w:r>
          </w:p>
        </w:tc>
        <w:tc>
          <w:tcPr>
            <w:tcW w:w="786" w:type="pct"/>
          </w:tcPr>
          <w:p w14:paraId="6949022F" w14:textId="77777777" w:rsidR="00AD75C7" w:rsidRDefault="00BE2AB5" w:rsidP="00BE2AB5">
            <w:pPr>
              <w:pStyle w:val="Compact"/>
              <w:jc w:val="center"/>
            </w:pPr>
            <w:r>
              <w:t>8.58 (0.088)</w:t>
            </w:r>
          </w:p>
        </w:tc>
        <w:tc>
          <w:tcPr>
            <w:tcW w:w="871" w:type="pct"/>
          </w:tcPr>
          <w:p w14:paraId="69490230" w14:textId="77777777" w:rsidR="00AD75C7" w:rsidRDefault="00BE2AB5" w:rsidP="00BE2AB5">
            <w:pPr>
              <w:pStyle w:val="Compact"/>
              <w:jc w:val="center"/>
            </w:pPr>
            <w:r>
              <w:t>1.91</w:t>
            </w:r>
          </w:p>
        </w:tc>
      </w:tr>
      <w:tr w:rsidR="00AD75C7" w14:paraId="69490236" w14:textId="77777777" w:rsidTr="00BE2AB5">
        <w:trPr>
          <w:jc w:val="center"/>
        </w:trPr>
        <w:tc>
          <w:tcPr>
            <w:tcW w:w="2564" w:type="pct"/>
          </w:tcPr>
          <w:p w14:paraId="69490232" w14:textId="77777777" w:rsidR="00AD75C7" w:rsidRDefault="00BE2AB5">
            <w:pPr>
              <w:pStyle w:val="Compact"/>
            </w:pPr>
            <w:r>
              <w:t>Obligatory total (domestic + caregiving + paid work)</w:t>
            </w:r>
          </w:p>
        </w:tc>
        <w:tc>
          <w:tcPr>
            <w:tcW w:w="779" w:type="pct"/>
          </w:tcPr>
          <w:p w14:paraId="69490233" w14:textId="77777777" w:rsidR="00AD75C7" w:rsidRDefault="00BE2AB5" w:rsidP="00BE2AB5">
            <w:pPr>
              <w:pStyle w:val="Compact"/>
              <w:jc w:val="center"/>
            </w:pPr>
            <w:r>
              <w:t>13.31 (0.146)</w:t>
            </w:r>
          </w:p>
        </w:tc>
        <w:tc>
          <w:tcPr>
            <w:tcW w:w="786" w:type="pct"/>
          </w:tcPr>
          <w:p w14:paraId="69490234" w14:textId="77777777" w:rsidR="00AD75C7" w:rsidRDefault="00BE2AB5" w:rsidP="00BE2AB5">
            <w:pPr>
              <w:pStyle w:val="Compact"/>
              <w:jc w:val="center"/>
            </w:pPr>
            <w:r>
              <w:t>12.93 (0.115)</w:t>
            </w:r>
          </w:p>
        </w:tc>
        <w:tc>
          <w:tcPr>
            <w:tcW w:w="871" w:type="pct"/>
          </w:tcPr>
          <w:p w14:paraId="69490235" w14:textId="77777777" w:rsidR="00AD75C7" w:rsidRDefault="00BE2AB5" w:rsidP="00BE2AB5">
            <w:pPr>
              <w:pStyle w:val="Compact"/>
              <w:jc w:val="center"/>
            </w:pPr>
            <w:r>
              <w:t>0.97</w:t>
            </w:r>
          </w:p>
        </w:tc>
      </w:tr>
      <w:tr w:rsidR="00AD75C7" w14:paraId="6949023B" w14:textId="77777777" w:rsidTr="00BE2AB5">
        <w:trPr>
          <w:jc w:val="center"/>
        </w:trPr>
        <w:tc>
          <w:tcPr>
            <w:tcW w:w="2564" w:type="pct"/>
            <w:tcBorders>
              <w:bottom w:val="single" w:sz="4" w:space="0" w:color="auto"/>
            </w:tcBorders>
          </w:tcPr>
          <w:p w14:paraId="69490237" w14:textId="77777777" w:rsidR="00AD75C7" w:rsidRDefault="00BE2AB5">
            <w:pPr>
              <w:pStyle w:val="Compact"/>
            </w:pPr>
            <w:r>
              <w:t>Total (five domains)</w:t>
            </w:r>
          </w:p>
        </w:tc>
        <w:tc>
          <w:tcPr>
            <w:tcW w:w="779" w:type="pct"/>
            <w:tcBorders>
              <w:bottom w:val="single" w:sz="4" w:space="0" w:color="auto"/>
            </w:tcBorders>
          </w:tcPr>
          <w:p w14:paraId="69490238" w14:textId="77777777" w:rsidR="00AD75C7" w:rsidRDefault="00BE2AB5" w:rsidP="00BE2AB5">
            <w:pPr>
              <w:pStyle w:val="Compact"/>
              <w:jc w:val="center"/>
            </w:pPr>
            <w:r>
              <w:t>16.74 (0.169)</w:t>
            </w:r>
          </w:p>
        </w:tc>
        <w:tc>
          <w:tcPr>
            <w:tcW w:w="786" w:type="pct"/>
            <w:tcBorders>
              <w:bottom w:val="single" w:sz="4" w:space="0" w:color="auto"/>
            </w:tcBorders>
          </w:tcPr>
          <w:p w14:paraId="69490239" w14:textId="77777777" w:rsidR="00AD75C7" w:rsidRDefault="00BE2AB5" w:rsidP="00BE2AB5">
            <w:pPr>
              <w:pStyle w:val="Compact"/>
              <w:jc w:val="center"/>
            </w:pPr>
            <w:r>
              <w:t>15.02 (0.128)</w:t>
            </w:r>
          </w:p>
        </w:tc>
        <w:tc>
          <w:tcPr>
            <w:tcW w:w="871" w:type="pct"/>
            <w:tcBorders>
              <w:bottom w:val="single" w:sz="4" w:space="0" w:color="auto"/>
            </w:tcBorders>
          </w:tcPr>
          <w:p w14:paraId="6949023A" w14:textId="77777777" w:rsidR="00AD75C7" w:rsidRDefault="00BE2AB5" w:rsidP="00BE2AB5">
            <w:pPr>
              <w:pStyle w:val="Compact"/>
              <w:jc w:val="center"/>
            </w:pPr>
            <w:r>
              <w:t>0.90</w:t>
            </w:r>
          </w:p>
        </w:tc>
      </w:tr>
    </w:tbl>
    <w:p w14:paraId="6949023C" w14:textId="77777777" w:rsidR="00AD75C7" w:rsidRDefault="00BE2AB5">
      <w:pPr>
        <w:pStyle w:val="Textoindependiente"/>
      </w:pPr>
      <w:r>
        <w:rPr>
          <w:b/>
          <w:bCs/>
        </w:rPr>
        <w:t>Table S2.</w:t>
      </w:r>
      <w:r>
        <w:t xml:space="preserve"> </w:t>
      </w:r>
      <w:r>
        <w:t>Active travel energy expenditure by purpose and sex, MET-hours per typical day (population means, weighted).</w:t>
      </w:r>
    </w:p>
    <w:tbl>
      <w:tblPr>
        <w:tblStyle w:val="Table"/>
        <w:tblW w:w="4868" w:type="pct"/>
        <w:tblLook w:val="0020" w:firstRow="1" w:lastRow="0" w:firstColumn="0" w:lastColumn="0" w:noHBand="0" w:noVBand="0"/>
      </w:tblPr>
      <w:tblGrid>
        <w:gridCol w:w="5347"/>
        <w:gridCol w:w="821"/>
        <w:gridCol w:w="1059"/>
        <w:gridCol w:w="1588"/>
      </w:tblGrid>
      <w:tr w:rsidR="00AD75C7" w14:paraId="69490241" w14:textId="77777777" w:rsidTr="00BE2AB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949023D" w14:textId="77777777" w:rsidR="00AD75C7" w:rsidRDefault="00BE2AB5">
            <w:pPr>
              <w:pStyle w:val="Compact"/>
            </w:pPr>
            <w:r>
              <w:t>Purpose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949023E" w14:textId="77777777" w:rsidR="00AD75C7" w:rsidRDefault="00BE2AB5" w:rsidP="00BE2AB5">
            <w:pPr>
              <w:pStyle w:val="Compact"/>
              <w:jc w:val="center"/>
            </w:pPr>
            <w:r>
              <w:t>Men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949023F" w14:textId="77777777" w:rsidR="00AD75C7" w:rsidRDefault="00BE2AB5" w:rsidP="00BE2AB5">
            <w:pPr>
              <w:pStyle w:val="Compact"/>
              <w:jc w:val="center"/>
            </w:pPr>
            <w:r>
              <w:t>Women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9490240" w14:textId="77777777" w:rsidR="00AD75C7" w:rsidRDefault="00BE2AB5" w:rsidP="00BE2AB5">
            <w:pPr>
              <w:pStyle w:val="Compact"/>
              <w:jc w:val="center"/>
            </w:pPr>
            <w:r>
              <w:t>Ratio (W/M)</w:t>
            </w:r>
          </w:p>
        </w:tc>
      </w:tr>
      <w:tr w:rsidR="00AD75C7" w14:paraId="69490246" w14:textId="77777777" w:rsidTr="00BE2AB5">
        <w:tc>
          <w:tcPr>
            <w:tcW w:w="0" w:type="auto"/>
            <w:tcBorders>
              <w:top w:val="single" w:sz="4" w:space="0" w:color="auto"/>
            </w:tcBorders>
          </w:tcPr>
          <w:p w14:paraId="69490242" w14:textId="77777777" w:rsidR="00AD75C7" w:rsidRDefault="00BE2AB5">
            <w:pPr>
              <w:pStyle w:val="Compact"/>
            </w:pPr>
            <w:r>
              <w:t>Commuting (paid work)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69490243" w14:textId="77777777" w:rsidR="00AD75C7" w:rsidRDefault="00BE2AB5" w:rsidP="00BE2AB5">
            <w:pPr>
              <w:pStyle w:val="Compact"/>
              <w:jc w:val="center"/>
            </w:pPr>
            <w:r>
              <w:t>0.138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69490244" w14:textId="77777777" w:rsidR="00AD75C7" w:rsidRDefault="00BE2AB5" w:rsidP="00BE2AB5">
            <w:pPr>
              <w:pStyle w:val="Compact"/>
              <w:jc w:val="center"/>
            </w:pPr>
            <w:r>
              <w:t>0.080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69490245" w14:textId="77777777" w:rsidR="00AD75C7" w:rsidRDefault="00BE2AB5" w:rsidP="00BE2AB5">
            <w:pPr>
              <w:pStyle w:val="Compact"/>
              <w:jc w:val="center"/>
            </w:pPr>
            <w:r>
              <w:t>0.58</w:t>
            </w:r>
          </w:p>
        </w:tc>
      </w:tr>
      <w:tr w:rsidR="00AD75C7" w14:paraId="6949024B" w14:textId="77777777">
        <w:tc>
          <w:tcPr>
            <w:tcW w:w="0" w:type="auto"/>
          </w:tcPr>
          <w:p w14:paraId="69490247" w14:textId="77777777" w:rsidR="00AD75C7" w:rsidRDefault="00BE2AB5">
            <w:pPr>
              <w:pStyle w:val="Compact"/>
            </w:pPr>
            <w:r>
              <w:t>Education</w:t>
            </w:r>
          </w:p>
        </w:tc>
        <w:tc>
          <w:tcPr>
            <w:tcW w:w="0" w:type="auto"/>
          </w:tcPr>
          <w:p w14:paraId="69490248" w14:textId="77777777" w:rsidR="00AD75C7" w:rsidRDefault="00BE2AB5" w:rsidP="00BE2AB5">
            <w:pPr>
              <w:pStyle w:val="Compact"/>
              <w:jc w:val="center"/>
            </w:pPr>
            <w:r>
              <w:t>0.039</w:t>
            </w:r>
          </w:p>
        </w:tc>
        <w:tc>
          <w:tcPr>
            <w:tcW w:w="0" w:type="auto"/>
          </w:tcPr>
          <w:p w14:paraId="69490249" w14:textId="77777777" w:rsidR="00AD75C7" w:rsidRDefault="00BE2AB5" w:rsidP="00BE2AB5">
            <w:pPr>
              <w:pStyle w:val="Compact"/>
              <w:jc w:val="center"/>
            </w:pPr>
            <w:r>
              <w:t>0.030</w:t>
            </w:r>
          </w:p>
        </w:tc>
        <w:tc>
          <w:tcPr>
            <w:tcW w:w="0" w:type="auto"/>
          </w:tcPr>
          <w:p w14:paraId="6949024A" w14:textId="77777777" w:rsidR="00AD75C7" w:rsidRDefault="00BE2AB5" w:rsidP="00BE2AB5">
            <w:pPr>
              <w:pStyle w:val="Compact"/>
              <w:jc w:val="center"/>
            </w:pPr>
            <w:r>
              <w:t>0.76</w:t>
            </w:r>
          </w:p>
        </w:tc>
      </w:tr>
      <w:tr w:rsidR="00AD75C7" w14:paraId="69490250" w14:textId="77777777">
        <w:tc>
          <w:tcPr>
            <w:tcW w:w="0" w:type="auto"/>
          </w:tcPr>
          <w:p w14:paraId="6949024C" w14:textId="77777777" w:rsidR="00AD75C7" w:rsidRDefault="00BE2AB5">
            <w:pPr>
              <w:pStyle w:val="Compact"/>
            </w:pPr>
            <w:r>
              <w:t>Shopping</w:t>
            </w:r>
          </w:p>
        </w:tc>
        <w:tc>
          <w:tcPr>
            <w:tcW w:w="0" w:type="auto"/>
          </w:tcPr>
          <w:p w14:paraId="6949024D" w14:textId="77777777" w:rsidR="00AD75C7" w:rsidRDefault="00BE2AB5" w:rsidP="00BE2AB5">
            <w:pPr>
              <w:pStyle w:val="Compact"/>
              <w:jc w:val="center"/>
            </w:pPr>
            <w:r>
              <w:t>0.179</w:t>
            </w:r>
          </w:p>
        </w:tc>
        <w:tc>
          <w:tcPr>
            <w:tcW w:w="0" w:type="auto"/>
          </w:tcPr>
          <w:p w14:paraId="6949024E" w14:textId="77777777" w:rsidR="00AD75C7" w:rsidRDefault="00BE2AB5" w:rsidP="00BE2AB5">
            <w:pPr>
              <w:pStyle w:val="Compact"/>
              <w:jc w:val="center"/>
            </w:pPr>
            <w:r>
              <w:t>0.226</w:t>
            </w:r>
          </w:p>
        </w:tc>
        <w:tc>
          <w:tcPr>
            <w:tcW w:w="0" w:type="auto"/>
          </w:tcPr>
          <w:p w14:paraId="6949024F" w14:textId="77777777" w:rsidR="00AD75C7" w:rsidRDefault="00BE2AB5" w:rsidP="00BE2AB5">
            <w:pPr>
              <w:pStyle w:val="Compact"/>
              <w:jc w:val="center"/>
            </w:pPr>
            <w:r>
              <w:t>1.26</w:t>
            </w:r>
          </w:p>
        </w:tc>
      </w:tr>
      <w:tr w:rsidR="00AD75C7" w14:paraId="69490255" w14:textId="77777777">
        <w:tc>
          <w:tcPr>
            <w:tcW w:w="0" w:type="auto"/>
          </w:tcPr>
          <w:p w14:paraId="69490251" w14:textId="77777777" w:rsidR="00AD75C7" w:rsidRDefault="00BE2AB5">
            <w:pPr>
              <w:pStyle w:val="Compact"/>
            </w:pPr>
            <w:r>
              <w:t>Errands</w:t>
            </w:r>
          </w:p>
        </w:tc>
        <w:tc>
          <w:tcPr>
            <w:tcW w:w="0" w:type="auto"/>
          </w:tcPr>
          <w:p w14:paraId="69490252" w14:textId="77777777" w:rsidR="00AD75C7" w:rsidRDefault="00BE2AB5" w:rsidP="00BE2AB5">
            <w:pPr>
              <w:pStyle w:val="Compact"/>
              <w:jc w:val="center"/>
            </w:pPr>
            <w:r>
              <w:t>0.031</w:t>
            </w:r>
          </w:p>
        </w:tc>
        <w:tc>
          <w:tcPr>
            <w:tcW w:w="0" w:type="auto"/>
          </w:tcPr>
          <w:p w14:paraId="69490253" w14:textId="77777777" w:rsidR="00AD75C7" w:rsidRDefault="00BE2AB5" w:rsidP="00BE2AB5">
            <w:pPr>
              <w:pStyle w:val="Compact"/>
              <w:jc w:val="center"/>
            </w:pPr>
            <w:r>
              <w:t>0.028</w:t>
            </w:r>
          </w:p>
        </w:tc>
        <w:tc>
          <w:tcPr>
            <w:tcW w:w="0" w:type="auto"/>
          </w:tcPr>
          <w:p w14:paraId="69490254" w14:textId="77777777" w:rsidR="00AD75C7" w:rsidRDefault="00BE2AB5" w:rsidP="00BE2AB5">
            <w:pPr>
              <w:pStyle w:val="Compact"/>
              <w:jc w:val="center"/>
            </w:pPr>
            <w:r>
              <w:t>0.92</w:t>
            </w:r>
          </w:p>
        </w:tc>
      </w:tr>
      <w:tr w:rsidR="00AD75C7" w14:paraId="6949025A" w14:textId="77777777">
        <w:tc>
          <w:tcPr>
            <w:tcW w:w="0" w:type="auto"/>
          </w:tcPr>
          <w:p w14:paraId="69490256" w14:textId="77777777" w:rsidR="00AD75C7" w:rsidRDefault="00BE2AB5">
            <w:pPr>
              <w:pStyle w:val="Compact"/>
            </w:pPr>
            <w:r>
              <w:t>Health</w:t>
            </w:r>
          </w:p>
        </w:tc>
        <w:tc>
          <w:tcPr>
            <w:tcW w:w="0" w:type="auto"/>
          </w:tcPr>
          <w:p w14:paraId="69490257" w14:textId="77777777" w:rsidR="00AD75C7" w:rsidRDefault="00BE2AB5" w:rsidP="00BE2AB5">
            <w:pPr>
              <w:pStyle w:val="Compact"/>
              <w:jc w:val="center"/>
            </w:pPr>
            <w:r>
              <w:t>0.014</w:t>
            </w:r>
          </w:p>
        </w:tc>
        <w:tc>
          <w:tcPr>
            <w:tcW w:w="0" w:type="auto"/>
          </w:tcPr>
          <w:p w14:paraId="69490258" w14:textId="77777777" w:rsidR="00AD75C7" w:rsidRDefault="00BE2AB5" w:rsidP="00BE2AB5">
            <w:pPr>
              <w:pStyle w:val="Compact"/>
              <w:jc w:val="center"/>
            </w:pPr>
            <w:r>
              <w:t>0.021</w:t>
            </w:r>
          </w:p>
        </w:tc>
        <w:tc>
          <w:tcPr>
            <w:tcW w:w="0" w:type="auto"/>
          </w:tcPr>
          <w:p w14:paraId="69490259" w14:textId="77777777" w:rsidR="00AD75C7" w:rsidRDefault="00BE2AB5" w:rsidP="00BE2AB5">
            <w:pPr>
              <w:pStyle w:val="Compact"/>
              <w:jc w:val="center"/>
            </w:pPr>
            <w:r>
              <w:t>1.53</w:t>
            </w:r>
          </w:p>
        </w:tc>
      </w:tr>
      <w:tr w:rsidR="00AD75C7" w14:paraId="6949025F" w14:textId="77777777">
        <w:tc>
          <w:tcPr>
            <w:tcW w:w="0" w:type="auto"/>
          </w:tcPr>
          <w:p w14:paraId="6949025B" w14:textId="77777777" w:rsidR="00AD75C7" w:rsidRDefault="00BE2AB5">
            <w:pPr>
              <w:pStyle w:val="Compact"/>
            </w:pPr>
            <w:r>
              <w:t>Accompanying others</w:t>
            </w:r>
          </w:p>
        </w:tc>
        <w:tc>
          <w:tcPr>
            <w:tcW w:w="0" w:type="auto"/>
          </w:tcPr>
          <w:p w14:paraId="6949025C" w14:textId="77777777" w:rsidR="00AD75C7" w:rsidRDefault="00BE2AB5" w:rsidP="00BE2AB5">
            <w:pPr>
              <w:pStyle w:val="Compact"/>
              <w:jc w:val="center"/>
            </w:pPr>
            <w:r>
              <w:t>0.022</w:t>
            </w:r>
          </w:p>
        </w:tc>
        <w:tc>
          <w:tcPr>
            <w:tcW w:w="0" w:type="auto"/>
          </w:tcPr>
          <w:p w14:paraId="6949025D" w14:textId="77777777" w:rsidR="00AD75C7" w:rsidRDefault="00BE2AB5" w:rsidP="00BE2AB5">
            <w:pPr>
              <w:pStyle w:val="Compact"/>
              <w:jc w:val="center"/>
            </w:pPr>
            <w:r>
              <w:t>0.074</w:t>
            </w:r>
          </w:p>
        </w:tc>
        <w:tc>
          <w:tcPr>
            <w:tcW w:w="0" w:type="auto"/>
          </w:tcPr>
          <w:p w14:paraId="6949025E" w14:textId="77777777" w:rsidR="00AD75C7" w:rsidRDefault="00BE2AB5" w:rsidP="00BE2AB5">
            <w:pPr>
              <w:pStyle w:val="Compact"/>
              <w:jc w:val="center"/>
            </w:pPr>
            <w:r>
              <w:t>3.31</w:t>
            </w:r>
          </w:p>
        </w:tc>
      </w:tr>
      <w:tr w:rsidR="00AD75C7" w14:paraId="69490264" w14:textId="77777777">
        <w:tc>
          <w:tcPr>
            <w:tcW w:w="0" w:type="auto"/>
          </w:tcPr>
          <w:p w14:paraId="69490260" w14:textId="77777777" w:rsidR="00AD75C7" w:rsidRDefault="00BE2AB5">
            <w:pPr>
              <w:pStyle w:val="Compact"/>
            </w:pPr>
            <w:r>
              <w:t>Utilitarian subtotal (shopping + errands + health)</w:t>
            </w:r>
          </w:p>
        </w:tc>
        <w:tc>
          <w:tcPr>
            <w:tcW w:w="0" w:type="auto"/>
          </w:tcPr>
          <w:p w14:paraId="69490261" w14:textId="77777777" w:rsidR="00AD75C7" w:rsidRDefault="00BE2AB5" w:rsidP="00BE2AB5">
            <w:pPr>
              <w:pStyle w:val="Compact"/>
              <w:jc w:val="center"/>
            </w:pPr>
            <w:r>
              <w:t>0.224</w:t>
            </w:r>
          </w:p>
        </w:tc>
        <w:tc>
          <w:tcPr>
            <w:tcW w:w="0" w:type="auto"/>
          </w:tcPr>
          <w:p w14:paraId="69490262" w14:textId="77777777" w:rsidR="00AD75C7" w:rsidRDefault="00BE2AB5" w:rsidP="00BE2AB5">
            <w:pPr>
              <w:pStyle w:val="Compact"/>
              <w:jc w:val="center"/>
            </w:pPr>
            <w:r>
              <w:t>0.276</w:t>
            </w:r>
          </w:p>
        </w:tc>
        <w:tc>
          <w:tcPr>
            <w:tcW w:w="0" w:type="auto"/>
          </w:tcPr>
          <w:p w14:paraId="69490263" w14:textId="77777777" w:rsidR="00AD75C7" w:rsidRDefault="00BE2AB5" w:rsidP="00BE2AB5">
            <w:pPr>
              <w:pStyle w:val="Compact"/>
              <w:jc w:val="center"/>
            </w:pPr>
            <w:r>
              <w:t>1.23</w:t>
            </w:r>
          </w:p>
        </w:tc>
      </w:tr>
      <w:tr w:rsidR="00AD75C7" w14:paraId="69490269" w14:textId="77777777" w:rsidTr="00BE2AB5">
        <w:tc>
          <w:tcPr>
            <w:tcW w:w="0" w:type="auto"/>
            <w:tcBorders>
              <w:bottom w:val="single" w:sz="4" w:space="0" w:color="auto"/>
            </w:tcBorders>
          </w:tcPr>
          <w:p w14:paraId="69490265" w14:textId="77777777" w:rsidR="00AD75C7" w:rsidRDefault="00BE2AB5">
            <w:pPr>
              <w:pStyle w:val="Compact"/>
            </w:pPr>
            <w:r>
              <w:t>Labour and education subtotal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69490266" w14:textId="77777777" w:rsidR="00AD75C7" w:rsidRDefault="00BE2AB5" w:rsidP="00BE2AB5">
            <w:pPr>
              <w:pStyle w:val="Compact"/>
              <w:jc w:val="center"/>
            </w:pPr>
            <w:r>
              <w:t>0.178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69490267" w14:textId="77777777" w:rsidR="00AD75C7" w:rsidRDefault="00BE2AB5" w:rsidP="00BE2AB5">
            <w:pPr>
              <w:pStyle w:val="Compact"/>
              <w:jc w:val="center"/>
            </w:pPr>
            <w:r>
              <w:t>0.110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69490268" w14:textId="77777777" w:rsidR="00AD75C7" w:rsidRDefault="00BE2AB5" w:rsidP="00BE2AB5">
            <w:pPr>
              <w:pStyle w:val="Compact"/>
              <w:jc w:val="center"/>
            </w:pPr>
            <w:r>
              <w:t>0.62</w:t>
            </w:r>
          </w:p>
        </w:tc>
      </w:tr>
      <w:bookmarkEnd w:id="0"/>
    </w:tbl>
    <w:p w14:paraId="6949026A" w14:textId="77777777" w:rsidR="00BE2AB5" w:rsidRDefault="00BE2AB5"/>
    <w:sectPr w:rsidR="00000000">
      <w:pgSz w:w="12240" w:h="15840"/>
      <w:pgMar w:top="1417" w:right="1701" w:bottom="1417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49026E" w14:textId="77777777" w:rsidR="00BE2AB5" w:rsidRDefault="00BE2AB5">
      <w:pPr>
        <w:spacing w:after="0"/>
      </w:pPr>
      <w:r>
        <w:separator/>
      </w:r>
    </w:p>
  </w:endnote>
  <w:endnote w:type="continuationSeparator" w:id="0">
    <w:p w14:paraId="69490270" w14:textId="77777777" w:rsidR="00BE2AB5" w:rsidRDefault="00BE2AB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49026A" w14:textId="77777777" w:rsidR="00AD75C7" w:rsidRDefault="00BE2AB5">
      <w:r>
        <w:separator/>
      </w:r>
    </w:p>
  </w:footnote>
  <w:footnote w:type="continuationSeparator" w:id="0">
    <w:p w14:paraId="6949026B" w14:textId="77777777" w:rsidR="00AD75C7" w:rsidRDefault="00BE2A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61C63CA6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 w16cid:durableId="337791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2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D75C7"/>
    <w:rsid w:val="006B6798"/>
    <w:rsid w:val="00AD75C7"/>
    <w:rsid w:val="00BE2AB5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9490220"/>
  <w15:docId w15:val="{56893796-2AFE-A84B-B8C5-FB98A9C6A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Textoindependiente"/>
    <w:uiPriority w:val="9"/>
    <w:qFormat/>
    <w:pPr>
      <w:keepNext/>
      <w:keepLines/>
      <w:spacing w:before="480" w:after="0"/>
      <w:outlineLvl w:val="0"/>
    </w:pPr>
    <w:rPr>
      <w:b/>
      <w:bCs/>
      <w:color w:val="000000"/>
    </w:rPr>
  </w:style>
  <w:style w:type="paragraph" w:styleId="Ttulo2">
    <w:name w:val="heading 2"/>
    <w:basedOn w:val="Normal"/>
    <w:next w:val="Textoindependiente"/>
    <w:uiPriority w:val="9"/>
    <w:unhideWhenUsed/>
    <w:qFormat/>
    <w:pPr>
      <w:keepNext/>
      <w:keepLines/>
      <w:spacing w:before="200" w:after="0"/>
      <w:outlineLvl w:val="1"/>
    </w:pPr>
    <w:rPr>
      <w:b/>
      <w:bCs/>
      <w:color w:val="000000"/>
    </w:rPr>
  </w:style>
  <w:style w:type="paragraph" w:styleId="Ttulo3">
    <w:name w:val="heading 3"/>
    <w:basedOn w:val="Normal"/>
    <w:next w:val="Textoindependiente"/>
    <w:uiPriority w:val="9"/>
    <w:unhideWhenUsed/>
    <w:qFormat/>
    <w:pPr>
      <w:keepNext/>
      <w:keepLines/>
      <w:spacing w:before="200" w:after="0"/>
      <w:outlineLvl w:val="2"/>
    </w:pPr>
    <w:rPr>
      <w:b/>
      <w:bCs/>
      <w:color w:val="000000"/>
    </w:rPr>
  </w:style>
  <w:style w:type="paragraph" w:styleId="Ttulo4">
    <w:name w:val="heading 4"/>
    <w:basedOn w:val="Normal"/>
    <w:next w:val="Textoindependiente"/>
    <w:uiPriority w:val="9"/>
    <w:unhideWhenUsed/>
    <w:qFormat/>
    <w:pPr>
      <w:keepNext/>
      <w:keepLines/>
      <w:spacing w:before="200" w:after="0"/>
      <w:outlineLvl w:val="3"/>
    </w:pPr>
    <w:rPr>
      <w:bCs/>
      <w:i/>
      <w:color w:val="000000"/>
    </w:rPr>
  </w:style>
  <w:style w:type="paragraph" w:styleId="Ttulo5">
    <w:name w:val="heading 5"/>
    <w:basedOn w:val="Normal"/>
    <w:next w:val="Textoindependiente"/>
    <w:uiPriority w:val="9"/>
    <w:unhideWhenUsed/>
    <w:qFormat/>
    <w:pPr>
      <w:keepNext/>
      <w:keepLines/>
      <w:spacing w:before="200" w:after="0"/>
      <w:outlineLvl w:val="4"/>
    </w:pPr>
    <w:rPr>
      <w:iCs/>
      <w:color w:val="000000"/>
    </w:rPr>
  </w:style>
  <w:style w:type="paragraph" w:styleId="Ttulo6">
    <w:name w:val="heading 6"/>
    <w:basedOn w:val="Normal"/>
    <w:next w:val="Textoindependiente"/>
    <w:uiPriority w:val="9"/>
    <w:unhideWhenUsed/>
    <w:qFormat/>
    <w:pPr>
      <w:keepNext/>
      <w:keepLines/>
      <w:spacing w:before="200" w:after="0"/>
      <w:outlineLvl w:val="5"/>
    </w:pPr>
    <w:rPr>
      <w:color w:val="000000"/>
    </w:rPr>
  </w:style>
  <w:style w:type="paragraph" w:styleId="Ttulo7">
    <w:name w:val="heading 7"/>
    <w:basedOn w:val="Normal"/>
    <w:next w:val="Textoindependiente"/>
    <w:uiPriority w:val="9"/>
    <w:unhideWhenUsed/>
    <w:qFormat/>
    <w:pPr>
      <w:keepNext/>
      <w:keepLines/>
      <w:spacing w:before="200" w:after="0"/>
      <w:outlineLvl w:val="6"/>
    </w:pPr>
    <w:rPr>
      <w:color w:val="000000"/>
    </w:rPr>
  </w:style>
  <w:style w:type="paragraph" w:styleId="Ttulo8">
    <w:name w:val="heading 8"/>
    <w:basedOn w:val="Normal"/>
    <w:next w:val="Textoindependiente"/>
    <w:uiPriority w:val="9"/>
    <w:unhideWhenUsed/>
    <w:qFormat/>
    <w:pPr>
      <w:keepNext/>
      <w:keepLines/>
      <w:spacing w:before="200" w:after="0"/>
      <w:outlineLvl w:val="7"/>
    </w:pPr>
    <w:rPr>
      <w:color w:val="000000"/>
    </w:rPr>
  </w:style>
  <w:style w:type="paragraph" w:styleId="Ttulo9">
    <w:name w:val="heading 9"/>
    <w:basedOn w:val="Normal"/>
    <w:next w:val="Textoindependiente"/>
    <w:uiPriority w:val="9"/>
    <w:unhideWhenUsed/>
    <w:qFormat/>
    <w:pPr>
      <w:keepNext/>
      <w:keepLines/>
      <w:spacing w:before="200" w:after="0"/>
      <w:outlineLvl w:val="8"/>
    </w:pPr>
    <w:rPr>
      <w:color w:val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Textoindependiente"/>
    <w:next w:val="Textoindependiente"/>
    <w:qFormat/>
  </w:style>
  <w:style w:type="paragraph" w:customStyle="1" w:styleId="Compact">
    <w:name w:val="Compact"/>
    <w:basedOn w:val="Textoindependiente"/>
    <w:qFormat/>
    <w:pPr>
      <w:spacing w:before="36" w:after="36"/>
    </w:pPr>
  </w:style>
  <w:style w:type="paragraph" w:styleId="Ttulo">
    <w:name w:val="Title"/>
    <w:basedOn w:val="Normal"/>
    <w:next w:val="Textoindependiente"/>
    <w:qFormat/>
    <w:pPr>
      <w:keepNext/>
      <w:keepLines/>
      <w:spacing w:before="480" w:after="240"/>
      <w:jc w:val="center"/>
    </w:pPr>
    <w:rPr>
      <w:b/>
      <w:bCs/>
      <w:color w:val="000000"/>
    </w:rPr>
  </w:style>
  <w:style w:type="paragraph" w:styleId="Subttulo">
    <w:name w:val="Subtitle"/>
    <w:basedOn w:val="Ttulo"/>
    <w:next w:val="Textoindependiente"/>
    <w:qFormat/>
    <w:pPr>
      <w:spacing w:before="240"/>
    </w:pPr>
  </w:style>
  <w:style w:type="paragraph" w:customStyle="1" w:styleId="Author">
    <w:name w:val="Author"/>
    <w:next w:val="Textoindependiente"/>
    <w:qFormat/>
    <w:pPr>
      <w:keepNext/>
      <w:keepLines/>
      <w:jc w:val="center"/>
    </w:pPr>
  </w:style>
  <w:style w:type="paragraph" w:styleId="Fecha">
    <w:name w:val="Date"/>
    <w:next w:val="Textoindependiente"/>
    <w:qFormat/>
    <w:pPr>
      <w:keepNext/>
      <w:keepLines/>
      <w:jc w:val="center"/>
    </w:p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color w:val="000000"/>
    </w:rPr>
  </w:style>
  <w:style w:type="paragraph" w:customStyle="1" w:styleId="Abstract">
    <w:name w:val="Abstract"/>
    <w:basedOn w:val="Normal"/>
    <w:next w:val="Textoindependiente"/>
    <w:qFormat/>
    <w:pPr>
      <w:keepNext/>
      <w:keepLines/>
      <w:spacing w:before="100" w:after="300"/>
    </w:pPr>
  </w:style>
  <w:style w:type="paragraph" w:styleId="Bibliografa">
    <w:name w:val="Bibliography"/>
    <w:basedOn w:val="Normal"/>
    <w:qFormat/>
  </w:style>
  <w:style w:type="paragraph" w:styleId="Textodebloque">
    <w:name w:val="Block Text"/>
    <w:basedOn w:val="Textoindependiente"/>
    <w:next w:val="Textoindependiente"/>
    <w:uiPriority w:val="9"/>
    <w:unhideWhenUsed/>
    <w:qFormat/>
    <w:pPr>
      <w:spacing w:before="100" w:after="100"/>
      <w:ind w:left="480" w:right="480"/>
    </w:pPr>
  </w:style>
  <w:style w:type="paragraph" w:styleId="Textonotapie">
    <w:name w:val="footnote text"/>
    <w:basedOn w:val="Normal"/>
    <w:uiPriority w:val="9"/>
    <w:unhideWhenUsed/>
    <w:qFormat/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Descripcin">
    <w:name w:val="caption"/>
    <w:basedOn w:val="Normal"/>
    <w:link w:val="DescripcinCar"/>
    <w:pPr>
      <w:spacing w:after="120"/>
    </w:pPr>
    <w:rPr>
      <w:i/>
    </w:rPr>
  </w:style>
  <w:style w:type="paragraph" w:customStyle="1" w:styleId="TableCaption">
    <w:name w:val="Table Caption"/>
    <w:basedOn w:val="Descripcin"/>
    <w:pPr>
      <w:keepNext/>
    </w:pPr>
  </w:style>
  <w:style w:type="paragraph" w:customStyle="1" w:styleId="ImageCaption">
    <w:name w:val="Image Caption"/>
    <w:basedOn w:val="Descripci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DescripcinCar">
    <w:name w:val="Descripción Car"/>
    <w:basedOn w:val="Fuentedeprrafopredeter"/>
    <w:link w:val="Descripcin"/>
  </w:style>
  <w:style w:type="character" w:customStyle="1" w:styleId="VerbatimChar">
    <w:name w:val="Verbatim Char"/>
    <w:basedOn w:val="DescripcinCar"/>
    <w:link w:val="SourceCode"/>
    <w:rPr>
      <w:rFonts w:ascii="Times New Roman" w:eastAsia="Times New Roman" w:hAnsi="Times New Roman" w:cs="Times New Roman"/>
      <w:sz w:val="24"/>
    </w:rPr>
  </w:style>
  <w:style w:type="character" w:customStyle="1" w:styleId="SectionNumber">
    <w:name w:val="Section Number"/>
    <w:basedOn w:val="DescripcinCar"/>
  </w:style>
  <w:style w:type="character" w:styleId="Refdenotaalpie">
    <w:name w:val="footnote reference"/>
    <w:basedOn w:val="DescripcinCar"/>
    <w:rPr>
      <w:vertAlign w:val="superscript"/>
    </w:rPr>
  </w:style>
  <w:style w:type="character" w:styleId="Hipervnculo">
    <w:name w:val="Hyperlink"/>
    <w:basedOn w:val="DescripcinCar"/>
    <w:rPr>
      <w:color w:val="000000"/>
    </w:rPr>
  </w:style>
  <w:style w:type="paragraph" w:styleId="TtuloTDC">
    <w:name w:val="TOC Heading"/>
    <w:basedOn w:val="Ttulo1"/>
    <w:next w:val="Textoindependiente"/>
    <w:uiPriority w:val="39"/>
    <w:unhideWhenUsed/>
    <w:qFormat/>
    <w:pPr>
      <w:spacing w:before="240" w:line="259" w:lineRule="auto"/>
      <w:outlineLvl w:val="9"/>
    </w:pPr>
    <w:rPr>
      <w:b w:val="0"/>
      <w:bCs w:val="0"/>
    </w:r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Times New Roman" w:eastAsia="Times New Roman" w:hAnsi="Times New Roman" w:cs="Times New Roman"/>
      <w:b/>
      <w:color w:val="007020"/>
      <w:sz w:val="24"/>
    </w:rPr>
  </w:style>
  <w:style w:type="character" w:customStyle="1" w:styleId="DataTypeTok">
    <w:name w:val="DataTypeTok"/>
    <w:basedOn w:val="VerbatimChar"/>
    <w:rPr>
      <w:rFonts w:ascii="Times New Roman" w:eastAsia="Times New Roman" w:hAnsi="Times New Roman" w:cs="Times New Roman"/>
      <w:color w:val="902000"/>
      <w:sz w:val="24"/>
    </w:rPr>
  </w:style>
  <w:style w:type="character" w:customStyle="1" w:styleId="DecValTok">
    <w:name w:val="DecValTok"/>
    <w:basedOn w:val="VerbatimChar"/>
    <w:rPr>
      <w:rFonts w:ascii="Times New Roman" w:eastAsia="Times New Roman" w:hAnsi="Times New Roman" w:cs="Times New Roman"/>
      <w:color w:val="40A070"/>
      <w:sz w:val="24"/>
    </w:rPr>
  </w:style>
  <w:style w:type="character" w:customStyle="1" w:styleId="BaseNTok">
    <w:name w:val="BaseNTok"/>
    <w:basedOn w:val="VerbatimChar"/>
    <w:rPr>
      <w:rFonts w:ascii="Times New Roman" w:eastAsia="Times New Roman" w:hAnsi="Times New Roman" w:cs="Times New Roman"/>
      <w:color w:val="40A070"/>
      <w:sz w:val="24"/>
    </w:rPr>
  </w:style>
  <w:style w:type="character" w:customStyle="1" w:styleId="FloatTok">
    <w:name w:val="FloatTok"/>
    <w:basedOn w:val="VerbatimChar"/>
    <w:rPr>
      <w:rFonts w:ascii="Times New Roman" w:eastAsia="Times New Roman" w:hAnsi="Times New Roman" w:cs="Times New Roman"/>
      <w:color w:val="40A070"/>
      <w:sz w:val="24"/>
    </w:rPr>
  </w:style>
  <w:style w:type="character" w:customStyle="1" w:styleId="ConstantTok">
    <w:name w:val="ConstantTok"/>
    <w:basedOn w:val="VerbatimChar"/>
    <w:rPr>
      <w:rFonts w:ascii="Times New Roman" w:eastAsia="Times New Roman" w:hAnsi="Times New Roman" w:cs="Times New Roman"/>
      <w:color w:val="880000"/>
      <w:sz w:val="24"/>
    </w:rPr>
  </w:style>
  <w:style w:type="character" w:customStyle="1" w:styleId="CharTok">
    <w:name w:val="CharTok"/>
    <w:basedOn w:val="VerbatimChar"/>
    <w:rPr>
      <w:rFonts w:ascii="Times New Roman" w:eastAsia="Times New Roman" w:hAnsi="Times New Roman" w:cs="Times New Roman"/>
      <w:color w:val="4070A0"/>
      <w:sz w:val="24"/>
    </w:rPr>
  </w:style>
  <w:style w:type="character" w:customStyle="1" w:styleId="SpecialCharTok">
    <w:name w:val="SpecialCharTok"/>
    <w:basedOn w:val="VerbatimChar"/>
    <w:rPr>
      <w:rFonts w:ascii="Times New Roman" w:eastAsia="Times New Roman" w:hAnsi="Times New Roman" w:cs="Times New Roman"/>
      <w:color w:val="4070A0"/>
      <w:sz w:val="24"/>
    </w:rPr>
  </w:style>
  <w:style w:type="character" w:customStyle="1" w:styleId="StringTok">
    <w:name w:val="StringTok"/>
    <w:basedOn w:val="VerbatimChar"/>
    <w:rPr>
      <w:rFonts w:ascii="Times New Roman" w:eastAsia="Times New Roman" w:hAnsi="Times New Roman" w:cs="Times New Roman"/>
      <w:color w:val="4070A0"/>
      <w:sz w:val="24"/>
    </w:rPr>
  </w:style>
  <w:style w:type="character" w:customStyle="1" w:styleId="VerbatimStringTok">
    <w:name w:val="VerbatimStringTok"/>
    <w:basedOn w:val="VerbatimChar"/>
    <w:rPr>
      <w:rFonts w:ascii="Times New Roman" w:eastAsia="Times New Roman" w:hAnsi="Times New Roman" w:cs="Times New Roman"/>
      <w:color w:val="4070A0"/>
      <w:sz w:val="24"/>
    </w:rPr>
  </w:style>
  <w:style w:type="character" w:customStyle="1" w:styleId="SpecialStringTok">
    <w:name w:val="SpecialStringTok"/>
    <w:basedOn w:val="VerbatimChar"/>
    <w:rPr>
      <w:rFonts w:ascii="Times New Roman" w:eastAsia="Times New Roman" w:hAnsi="Times New Roman" w:cs="Times New Roman"/>
      <w:color w:val="BB6688"/>
      <w:sz w:val="24"/>
    </w:rPr>
  </w:style>
  <w:style w:type="character" w:customStyle="1" w:styleId="ImportTok">
    <w:name w:val="ImportTok"/>
    <w:basedOn w:val="VerbatimChar"/>
    <w:rPr>
      <w:rFonts w:ascii="Times New Roman" w:eastAsia="Times New Roman" w:hAnsi="Times New Roman" w:cs="Times New Roman"/>
      <w:b/>
      <w:color w:val="008000"/>
      <w:sz w:val="24"/>
    </w:rPr>
  </w:style>
  <w:style w:type="character" w:customStyle="1" w:styleId="CommentTok">
    <w:name w:val="CommentTok"/>
    <w:basedOn w:val="VerbatimChar"/>
    <w:rPr>
      <w:rFonts w:ascii="Times New Roman" w:eastAsia="Times New Roman" w:hAnsi="Times New Roman" w:cs="Times New Roman"/>
      <w:i/>
      <w:color w:val="60A0B0"/>
      <w:sz w:val="24"/>
    </w:rPr>
  </w:style>
  <w:style w:type="character" w:customStyle="1" w:styleId="DocumentationTok">
    <w:name w:val="DocumentationTok"/>
    <w:basedOn w:val="VerbatimChar"/>
    <w:rPr>
      <w:rFonts w:ascii="Times New Roman" w:eastAsia="Times New Roman" w:hAnsi="Times New Roman" w:cs="Times New Roman"/>
      <w:i/>
      <w:color w:val="BA2121"/>
      <w:sz w:val="24"/>
    </w:rPr>
  </w:style>
  <w:style w:type="character" w:customStyle="1" w:styleId="AnnotationTok">
    <w:name w:val="AnnotationTok"/>
    <w:basedOn w:val="VerbatimChar"/>
    <w:rPr>
      <w:rFonts w:ascii="Times New Roman" w:eastAsia="Times New Roman" w:hAnsi="Times New Roman" w:cs="Times New Roman"/>
      <w:b/>
      <w:i/>
      <w:color w:val="60A0B0"/>
      <w:sz w:val="24"/>
    </w:rPr>
  </w:style>
  <w:style w:type="character" w:customStyle="1" w:styleId="CommentVarTok">
    <w:name w:val="CommentVarTok"/>
    <w:basedOn w:val="VerbatimChar"/>
    <w:rPr>
      <w:rFonts w:ascii="Times New Roman" w:eastAsia="Times New Roman" w:hAnsi="Times New Roman" w:cs="Times New Roman"/>
      <w:b/>
      <w:i/>
      <w:color w:val="60A0B0"/>
      <w:sz w:val="24"/>
    </w:rPr>
  </w:style>
  <w:style w:type="character" w:customStyle="1" w:styleId="OtherTok">
    <w:name w:val="OtherTok"/>
    <w:basedOn w:val="VerbatimChar"/>
    <w:rPr>
      <w:rFonts w:ascii="Times New Roman" w:eastAsia="Times New Roman" w:hAnsi="Times New Roman" w:cs="Times New Roman"/>
      <w:color w:val="007020"/>
      <w:sz w:val="24"/>
    </w:rPr>
  </w:style>
  <w:style w:type="character" w:customStyle="1" w:styleId="FunctionTok">
    <w:name w:val="FunctionTok"/>
    <w:basedOn w:val="VerbatimChar"/>
    <w:rPr>
      <w:rFonts w:ascii="Times New Roman" w:eastAsia="Times New Roman" w:hAnsi="Times New Roman" w:cs="Times New Roman"/>
      <w:color w:val="06287E"/>
      <w:sz w:val="24"/>
    </w:rPr>
  </w:style>
  <w:style w:type="character" w:customStyle="1" w:styleId="VariableTok">
    <w:name w:val="VariableTok"/>
    <w:basedOn w:val="VerbatimChar"/>
    <w:rPr>
      <w:rFonts w:ascii="Times New Roman" w:eastAsia="Times New Roman" w:hAnsi="Times New Roman" w:cs="Times New Roman"/>
      <w:color w:val="19177C"/>
      <w:sz w:val="24"/>
    </w:rPr>
  </w:style>
  <w:style w:type="character" w:customStyle="1" w:styleId="ControlFlowTok">
    <w:name w:val="ControlFlowTok"/>
    <w:basedOn w:val="VerbatimChar"/>
    <w:rPr>
      <w:rFonts w:ascii="Times New Roman" w:eastAsia="Times New Roman" w:hAnsi="Times New Roman" w:cs="Times New Roman"/>
      <w:b/>
      <w:color w:val="007020"/>
      <w:sz w:val="24"/>
    </w:rPr>
  </w:style>
  <w:style w:type="character" w:customStyle="1" w:styleId="OperatorTok">
    <w:name w:val="OperatorTok"/>
    <w:basedOn w:val="VerbatimChar"/>
    <w:rPr>
      <w:rFonts w:ascii="Times New Roman" w:eastAsia="Times New Roman" w:hAnsi="Times New Roman" w:cs="Times New Roman"/>
      <w:color w:val="666666"/>
      <w:sz w:val="24"/>
    </w:rPr>
  </w:style>
  <w:style w:type="character" w:customStyle="1" w:styleId="BuiltInTok">
    <w:name w:val="BuiltInTok"/>
    <w:basedOn w:val="VerbatimChar"/>
    <w:rPr>
      <w:rFonts w:ascii="Times New Roman" w:eastAsia="Times New Roman" w:hAnsi="Times New Roman" w:cs="Times New Roman"/>
      <w:color w:val="008000"/>
      <w:sz w:val="24"/>
    </w:rPr>
  </w:style>
  <w:style w:type="character" w:customStyle="1" w:styleId="ExtensionTok">
    <w:name w:val="ExtensionTok"/>
    <w:basedOn w:val="VerbatimChar"/>
    <w:rPr>
      <w:rFonts w:ascii="Times New Roman" w:eastAsia="Times New Roman" w:hAnsi="Times New Roman" w:cs="Times New Roman"/>
      <w:sz w:val="24"/>
    </w:rPr>
  </w:style>
  <w:style w:type="character" w:customStyle="1" w:styleId="PreprocessorTok">
    <w:name w:val="PreprocessorTok"/>
    <w:basedOn w:val="VerbatimChar"/>
    <w:rPr>
      <w:rFonts w:ascii="Times New Roman" w:eastAsia="Times New Roman" w:hAnsi="Times New Roman" w:cs="Times New Roman"/>
      <w:color w:val="BC7A00"/>
      <w:sz w:val="24"/>
    </w:rPr>
  </w:style>
  <w:style w:type="character" w:customStyle="1" w:styleId="AttributeTok">
    <w:name w:val="AttributeTok"/>
    <w:basedOn w:val="VerbatimChar"/>
    <w:rPr>
      <w:rFonts w:ascii="Times New Roman" w:eastAsia="Times New Roman" w:hAnsi="Times New Roman" w:cs="Times New Roman"/>
      <w:color w:val="7D9029"/>
      <w:sz w:val="24"/>
    </w:rPr>
  </w:style>
  <w:style w:type="character" w:customStyle="1" w:styleId="RegionMarkerTok">
    <w:name w:val="RegionMarkerTok"/>
    <w:basedOn w:val="VerbatimChar"/>
    <w:rPr>
      <w:rFonts w:ascii="Times New Roman" w:eastAsia="Times New Roman" w:hAnsi="Times New Roman" w:cs="Times New Roman"/>
      <w:sz w:val="24"/>
    </w:rPr>
  </w:style>
  <w:style w:type="character" w:customStyle="1" w:styleId="InformationTok">
    <w:name w:val="InformationTok"/>
    <w:basedOn w:val="VerbatimChar"/>
    <w:rPr>
      <w:rFonts w:ascii="Times New Roman" w:eastAsia="Times New Roman" w:hAnsi="Times New Roman" w:cs="Times New Roman"/>
      <w:b/>
      <w:i/>
      <w:color w:val="60A0B0"/>
      <w:sz w:val="24"/>
    </w:rPr>
  </w:style>
  <w:style w:type="character" w:customStyle="1" w:styleId="WarningTok">
    <w:name w:val="WarningTok"/>
    <w:basedOn w:val="VerbatimChar"/>
    <w:rPr>
      <w:rFonts w:ascii="Times New Roman" w:eastAsia="Times New Roman" w:hAnsi="Times New Roman" w:cs="Times New Roman"/>
      <w:b/>
      <w:i/>
      <w:color w:val="60A0B0"/>
      <w:sz w:val="24"/>
    </w:rPr>
  </w:style>
  <w:style w:type="character" w:customStyle="1" w:styleId="AlertTok">
    <w:name w:val="AlertTok"/>
    <w:basedOn w:val="VerbatimChar"/>
    <w:rPr>
      <w:rFonts w:ascii="Times New Roman" w:eastAsia="Times New Roman" w:hAnsi="Times New Roman" w:cs="Times New Roman"/>
      <w:b/>
      <w:color w:val="FF0000"/>
      <w:sz w:val="24"/>
    </w:rPr>
  </w:style>
  <w:style w:type="character" w:customStyle="1" w:styleId="ErrorTok">
    <w:name w:val="ErrorTok"/>
    <w:basedOn w:val="VerbatimChar"/>
    <w:rPr>
      <w:rFonts w:ascii="Times New Roman" w:eastAsia="Times New Roman" w:hAnsi="Times New Roman" w:cs="Times New Roman"/>
      <w:b/>
      <w:color w:val="FF0000"/>
      <w:sz w:val="24"/>
    </w:rPr>
  </w:style>
  <w:style w:type="character" w:customStyle="1" w:styleId="NormalTok">
    <w:name w:val="NormalTok"/>
    <w:basedOn w:val="VerbatimChar"/>
    <w:rPr>
      <w:rFonts w:ascii="Times New Roman" w:eastAsia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158</Words>
  <Characters>873</Characters>
  <Application>Microsoft Office Word</Application>
  <DocSecurity>0</DocSecurity>
  <Lines>7</Lines>
  <Paragraphs>2</Paragraphs>
  <ScaleCrop>false</ScaleCrop>
  <Company/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>Josivaldo De Souza Lima</cp:lastModifiedBy>
  <cp:revision>2</cp:revision>
  <dcterms:created xsi:type="dcterms:W3CDTF">2026-07-28T13:17:00Z</dcterms:created>
  <dcterms:modified xsi:type="dcterms:W3CDTF">2026-07-28T13:35:00Z</dcterms:modified>
</cp:coreProperties>
</file>