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rFonts w:ascii="Times New Roman" w:hAnsi="Times New Roman"/>
          <w:b/>
          <w:i w:val="0"/>
          <w:sz w:val="28"/>
        </w:rPr>
        <w:t>Supplementary Figures</w:t>
      </w:r>
    </w:p>
    <w:p>
      <w:pPr>
        <w:spacing w:after="120"/>
        <w:jc w:val="both"/>
      </w:pPr>
      <w:r>
        <w:rPr>
          <w:rFonts w:ascii="Times New Roman" w:hAnsi="Times New Roman"/>
          <w:b/>
          <w:i w:val="0"/>
          <w:sz w:val="22"/>
        </w:rPr>
        <w:t>Contents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0"/>
        </w:rPr>
        <w:t>Supplementary Figure S1. Tomato fruit biomass summary across nutrient regimes.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0"/>
        </w:rPr>
        <w:t>Supplementary Figure S2. Cumulative tomato fruit biomass by treatment and cultivar.</w:t>
      </w:r>
    </w:p>
    <w:p>
      <w:pPr>
        <w:spacing w:after="120"/>
        <w:jc w:val="both"/>
      </w:pPr>
      <w:r>
        <w:rPr>
          <w:rFonts w:ascii="Times New Roman" w:hAnsi="Times New Roman"/>
          <w:b w:val="0"/>
          <w:i w:val="0"/>
          <w:sz w:val="20"/>
        </w:rPr>
        <w:t>Supplementary Figure S3. Treatment-by-nutrient grid linking mean plant sap nutrient concentrations with plant-associated fungi.</w:t>
      </w:r>
    </w:p>
    <w:p>
      <w:pPr>
        <w:spacing w:after="120"/>
        <w:jc w:val="both"/>
      </w:pPr>
      <w:r>
        <w:rPr>
          <w:rFonts w:ascii="Times New Roman" w:hAnsi="Times New Roman"/>
          <w:b w:val="0"/>
          <w:i/>
          <w:sz w:val="18"/>
        </w:rPr>
        <w:t>Supplementary Figure S1. Tomato fruit biomass summary across nutrient regimes. Panel A: cumulative fruit biomass accumulation over the harvest window by treatment (mean ± SD). Panel B: final yield (kg/plant) by cultivar and treatment.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5943600" cy="25146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4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both"/>
      </w:pPr>
      <w:r>
        <w:rPr>
          <w:rFonts w:ascii="Times New Roman" w:hAnsi="Times New Roman"/>
          <w:b w:val="0"/>
          <w:i/>
          <w:sz w:val="18"/>
        </w:rPr>
        <w:t>Supplementary Figure S2. Cumulative tomato fruit biomass by treatment and cultivar. Rows are nutrient regimes (source water, standard aquaponics, supplemented aquaponics, hydroponics); columns are cultivars (Apéro, Black Cherry, Star Gold). Lines show gutter-level means (G1–G3) of plant cumulative fruit mass; ribbons are mean ± SD across plants in each gutter. Y-axis scales are free within panels; x-axis is days since first harvest.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5760720" cy="669340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_harvest_all_cultivars_by_treatment_stacked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934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both"/>
      </w:pPr>
      <w:r>
        <w:rPr>
          <w:rFonts w:ascii="Times New Roman" w:hAnsi="Times New Roman"/>
          <w:b w:val="0"/>
          <w:i/>
          <w:sz w:val="18"/>
        </w:rPr>
        <w:t>Supplementary Figure S3. Treatment-by-nutrient grid linking mean plant sap nutrient concentrations with plant-associated fungi.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114800" cy="767743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767743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