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0BB72">
      <w:pPr>
        <w:ind w:firstLine="1265" w:firstLineChars="600"/>
        <w:rPr>
          <w:rFonts w:hint="default"/>
          <w:b/>
          <w:bCs/>
          <w:lang w:val="en-US" w:eastAsia="zh-CN"/>
        </w:rPr>
      </w:pPr>
      <w:bookmarkStart w:id="1" w:name="_GoBack"/>
      <w:bookmarkEnd w:id="1"/>
      <w:r>
        <w:rPr>
          <w:rFonts w:hint="eastAsia"/>
          <w:b/>
          <w:bCs/>
          <w:lang w:val="en-US" w:eastAsia="zh-CN"/>
        </w:rPr>
        <w:t>Table 1  SiRNA sequences for gene silencing</w:t>
      </w:r>
    </w:p>
    <w:tbl>
      <w:tblPr>
        <w:tblStyle w:val="4"/>
        <w:tblW w:w="35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8"/>
        <w:gridCol w:w="3796"/>
      </w:tblGrid>
      <w:tr w14:paraId="0835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833" w:type="pct"/>
            <w:tcBorders>
              <w:top w:val="single" w:color="000000" w:sz="12" w:space="0"/>
              <w:left w:val="nil"/>
              <w:bottom w:val="single" w:color="auto" w:sz="12" w:space="0"/>
              <w:right w:val="nil"/>
              <w:tl2br w:val="nil"/>
            </w:tcBorders>
            <w:shd w:val="clear" w:color="auto" w:fill="FFFFFF"/>
            <w:vAlign w:val="center"/>
          </w:tcPr>
          <w:p w14:paraId="0CBC39A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eastAsia="宋体"/>
                <w:b w:val="0"/>
                <w:color w:val="000000"/>
                <w:sz w:val="24"/>
                <w:szCs w:val="18"/>
                <w:lang w:val="en-US" w:eastAsia="zh-CN"/>
              </w:rPr>
            </w:pPr>
            <w:r>
              <w:rPr>
                <w:rFonts w:hint="eastAsia"/>
                <w:b w:val="0"/>
                <w:color w:val="000000"/>
                <w:vertAlign w:val="baseline"/>
                <w:lang w:val="en-US" w:eastAsia="zh-CN"/>
              </w:rPr>
              <w:t>Gene symbol （Mus）</w:t>
            </w:r>
          </w:p>
        </w:tc>
        <w:tc>
          <w:tcPr>
            <w:tcW w:w="3166" w:type="pct"/>
            <w:tcBorders>
              <w:top w:val="single" w:color="000000" w:sz="12" w:space="0"/>
              <w:left w:val="nil"/>
              <w:bottom w:val="single" w:color="auto" w:sz="12" w:space="0"/>
              <w:right w:val="nil"/>
            </w:tcBorders>
            <w:shd w:val="clear" w:color="auto" w:fill="FFFFFF"/>
            <w:vAlign w:val="center"/>
          </w:tcPr>
          <w:p w14:paraId="6D0E24E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eastAsia="宋体"/>
                <w:b w:val="0"/>
                <w:color w:val="000000"/>
                <w:sz w:val="24"/>
                <w:szCs w:val="24"/>
                <w:lang w:val="en-US" w:eastAsia="zh-CN"/>
              </w:rPr>
            </w:pPr>
            <w:r>
              <w:rPr>
                <w:rFonts w:hint="eastAsia"/>
                <w:b w:val="0"/>
                <w:color w:val="000000"/>
                <w:vertAlign w:val="baseline"/>
                <w:lang w:val="en-US" w:eastAsia="zh-CN"/>
              </w:rPr>
              <w:t xml:space="preserve">   Primer sequences (5</w:t>
            </w:r>
            <w:r>
              <w:rPr>
                <w:rFonts w:hint="default"/>
                <w:b w:val="0"/>
                <w:color w:val="000000"/>
                <w:vertAlign w:val="baseline"/>
                <w:lang w:val="en-US" w:eastAsia="zh-CN"/>
              </w:rPr>
              <w:t>’</w:t>
            </w:r>
            <w:r>
              <w:rPr>
                <w:rFonts w:hint="eastAsia"/>
                <w:b w:val="0"/>
                <w:color w:val="000000"/>
                <w:vertAlign w:val="baseline"/>
                <w:lang w:val="en-US" w:eastAsia="zh-CN"/>
              </w:rPr>
              <w:t>-3</w:t>
            </w:r>
            <w:r>
              <w:rPr>
                <w:rFonts w:hint="default"/>
                <w:b w:val="0"/>
                <w:color w:val="000000"/>
                <w:vertAlign w:val="baseline"/>
                <w:lang w:val="en-US" w:eastAsia="zh-CN"/>
              </w:rPr>
              <w:t>’</w:t>
            </w:r>
            <w:r>
              <w:rPr>
                <w:rFonts w:hint="eastAsia"/>
                <w:b w:val="0"/>
                <w:color w:val="000000"/>
                <w:vertAlign w:val="baseline"/>
                <w:lang w:val="en-US" w:eastAsia="zh-CN"/>
              </w:rPr>
              <w:t>)</w:t>
            </w:r>
          </w:p>
        </w:tc>
      </w:tr>
      <w:tr w14:paraId="0F1C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3" w:type="pct"/>
            <w:vMerge w:val="restart"/>
            <w:tcBorders>
              <w:top w:val="single" w:color="auto" w:sz="12" w:space="0"/>
              <w:left w:val="nil"/>
              <w:bottom w:val="nil"/>
              <w:right w:val="nil"/>
            </w:tcBorders>
            <w:shd w:val="clear" w:color="auto" w:fill="FFFFFF"/>
            <w:vAlign w:val="top"/>
          </w:tcPr>
          <w:p w14:paraId="1DB91156">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cstheme="minorBidi"/>
                <w:b w:val="0"/>
                <w:color w:val="000000"/>
                <w:kern w:val="2"/>
                <w:sz w:val="21"/>
                <w:szCs w:val="24"/>
                <w:vertAlign w:val="baseline"/>
                <w:lang w:val="en-US" w:eastAsia="zh-CN" w:bidi="ar-SA"/>
              </w:rPr>
              <w:t>siGPX4 #1</w:t>
            </w:r>
          </w:p>
          <w:p w14:paraId="38D1E694">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p w14:paraId="505B97CC">
            <w:pPr>
              <w:keepNext w:val="0"/>
              <w:keepLines w:val="0"/>
              <w:suppressLineNumbers w:val="0"/>
              <w:spacing w:before="0" w:beforeAutospacing="0" w:after="0" w:afterAutospacing="0"/>
              <w:ind w:left="0" w:right="0"/>
              <w:rPr>
                <w:rFonts w:hint="default" w:ascii="Times New Roman" w:eastAsia="宋体"/>
                <w:b w:val="0"/>
                <w:color w:val="000000"/>
                <w:sz w:val="24"/>
                <w:szCs w:val="18"/>
                <w:lang w:val="en-US" w:eastAsia="zh-CN"/>
              </w:rPr>
            </w:pPr>
            <w:r>
              <w:rPr>
                <w:rFonts w:hint="eastAsia" w:cstheme="minorBidi"/>
                <w:b w:val="0"/>
                <w:color w:val="000000"/>
                <w:kern w:val="2"/>
                <w:sz w:val="21"/>
                <w:szCs w:val="24"/>
                <w:vertAlign w:val="baseline"/>
                <w:lang w:val="en-US" w:eastAsia="zh-CN" w:bidi="ar-SA"/>
              </w:rPr>
              <w:t>siGPX4 #2</w:t>
            </w:r>
          </w:p>
        </w:tc>
        <w:tc>
          <w:tcPr>
            <w:tcW w:w="3166" w:type="pct"/>
            <w:tcBorders>
              <w:top w:val="single" w:color="auto" w:sz="12" w:space="0"/>
              <w:left w:val="nil"/>
              <w:bottom w:val="nil"/>
              <w:right w:val="nil"/>
            </w:tcBorders>
            <w:shd w:val="clear" w:color="auto" w:fill="FFFFFF"/>
            <w:vAlign w:val="top"/>
          </w:tcPr>
          <w:p w14:paraId="4C3F0791">
            <w:pPr>
              <w:keepNext w:val="0"/>
              <w:keepLines w:val="0"/>
              <w:suppressLineNumbers w:val="0"/>
              <w:spacing w:before="0" w:beforeAutospacing="0" w:after="0" w:afterAutospacing="0"/>
              <w:ind w:left="0" w:right="0"/>
              <w:rPr>
                <w:rFonts w:hint="default" w:ascii="Times New Roman" w:eastAsia="宋体"/>
                <w:b w:val="0"/>
                <w:color w:val="000000"/>
                <w:sz w:val="24"/>
                <w:szCs w:val="24"/>
                <w:lang w:val="en-US" w:eastAsia="zh-CN"/>
              </w:rPr>
            </w:pPr>
            <w:r>
              <w:rPr>
                <w:rFonts w:hint="eastAsia"/>
                <w:b w:val="0"/>
                <w:color w:val="000000"/>
                <w:vertAlign w:val="baseline"/>
                <w:lang w:val="en-US" w:eastAsia="zh-CN"/>
              </w:rPr>
              <w:t>Forward: GGAAAUGGAUGAAAGUCCATT</w:t>
            </w:r>
          </w:p>
        </w:tc>
      </w:tr>
      <w:tr w14:paraId="5F62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3" w:type="pct"/>
            <w:vMerge w:val="continue"/>
            <w:tcBorders>
              <w:top w:val="nil"/>
              <w:left w:val="nil"/>
              <w:bottom w:val="nil"/>
              <w:right w:val="nil"/>
            </w:tcBorders>
            <w:shd w:val="clear" w:color="auto" w:fill="FFFFFF"/>
            <w:vAlign w:val="top"/>
          </w:tcPr>
          <w:p w14:paraId="381BBBD4">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Times New Roman" w:eastAsia="宋体"/>
                <w:b w:val="0"/>
                <w:color w:val="000000"/>
                <w:sz w:val="24"/>
                <w:szCs w:val="18"/>
                <w:lang w:val="en-US" w:eastAsia="zh-CN"/>
              </w:rPr>
            </w:pPr>
          </w:p>
        </w:tc>
        <w:tc>
          <w:tcPr>
            <w:tcW w:w="3166" w:type="pct"/>
            <w:tcBorders>
              <w:top w:val="nil"/>
              <w:left w:val="nil"/>
              <w:bottom w:val="nil"/>
              <w:right w:val="nil"/>
            </w:tcBorders>
            <w:shd w:val="clear" w:color="auto" w:fill="FFFFFF"/>
            <w:vAlign w:val="top"/>
          </w:tcPr>
          <w:p w14:paraId="5FB1FF4D">
            <w:pPr>
              <w:keepNext w:val="0"/>
              <w:keepLines w:val="0"/>
              <w:suppressLineNumbers w:val="0"/>
              <w:spacing w:before="0" w:beforeAutospacing="0" w:after="0" w:afterAutospacing="0"/>
              <w:ind w:left="0" w:right="0"/>
              <w:rPr>
                <w:rFonts w:hint="default" w:ascii="Times New Roman" w:eastAsia="宋体"/>
                <w:b w:val="0"/>
                <w:color w:val="000000"/>
                <w:sz w:val="24"/>
                <w:szCs w:val="24"/>
                <w:lang w:val="en-US" w:eastAsia="zh-CN"/>
              </w:rPr>
            </w:pPr>
            <w:r>
              <w:rPr>
                <w:rFonts w:hint="eastAsia"/>
                <w:b w:val="0"/>
                <w:color w:val="000000"/>
                <w:vertAlign w:val="baseline"/>
                <w:lang w:val="en-US" w:eastAsia="zh-CN"/>
              </w:rPr>
              <w:t>Reverse: UGGACUUUCAUCCAUUUCCTT</w:t>
            </w:r>
          </w:p>
        </w:tc>
      </w:tr>
      <w:tr w14:paraId="5DD2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833" w:type="pct"/>
            <w:vMerge w:val="continue"/>
            <w:tcBorders>
              <w:top w:val="nil"/>
              <w:left w:val="nil"/>
              <w:bottom w:val="nil"/>
              <w:right w:val="nil"/>
            </w:tcBorders>
            <w:shd w:val="clear" w:color="auto" w:fill="FFFFFF"/>
            <w:vAlign w:val="top"/>
          </w:tcPr>
          <w:p w14:paraId="797296A9">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66D7476E">
            <w:pPr>
              <w:keepNext w:val="0"/>
              <w:keepLines w:val="0"/>
              <w:suppressLineNumbers w:val="0"/>
              <w:spacing w:before="0" w:beforeAutospacing="0" w:after="0" w:afterAutospacing="0"/>
              <w:ind w:left="0" w:right="0"/>
              <w:rPr>
                <w:rFonts w:hint="default" w:ascii="Times New Roman" w:eastAsia="宋体"/>
                <w:b w:val="0"/>
                <w:color w:val="000000"/>
                <w:sz w:val="24"/>
                <w:szCs w:val="24"/>
                <w:lang w:val="en-US" w:eastAsia="zh-CN"/>
              </w:rPr>
            </w:pPr>
            <w:r>
              <w:rPr>
                <w:rFonts w:hint="eastAsia"/>
                <w:b w:val="0"/>
                <w:color w:val="000000"/>
                <w:vertAlign w:val="baseline"/>
                <w:lang w:val="en-US" w:eastAsia="zh-CN"/>
              </w:rPr>
              <w:t>Forward: GCUGCGUGGUGAAGCGCUATT</w:t>
            </w:r>
          </w:p>
        </w:tc>
      </w:tr>
      <w:tr w14:paraId="7F34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2D7E9EBB">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4DBFD179">
            <w:pPr>
              <w:keepNext w:val="0"/>
              <w:keepLines w:val="0"/>
              <w:suppressLineNumbers w:val="0"/>
              <w:spacing w:before="0" w:beforeAutospacing="0" w:after="0" w:afterAutospacing="0"/>
              <w:ind w:left="0" w:right="0"/>
              <w:rPr>
                <w:rFonts w:hint="eastAsia"/>
                <w:b w:val="0"/>
                <w:color w:val="000000"/>
                <w:vertAlign w:val="baseline"/>
                <w:lang w:val="en-US" w:eastAsia="zh-CN"/>
              </w:rPr>
            </w:pPr>
            <w:r>
              <w:rPr>
                <w:rFonts w:hint="eastAsia"/>
                <w:b w:val="0"/>
                <w:color w:val="000000"/>
                <w:vertAlign w:val="baseline"/>
                <w:lang w:val="en-US" w:eastAsia="zh-CN"/>
              </w:rPr>
              <w:t>Reverse: GGAGAUGAAUUUCACAAUATT</w:t>
            </w:r>
          </w:p>
        </w:tc>
      </w:tr>
      <w:tr w14:paraId="3A1C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44041DB9">
            <w:pPr>
              <w:keepNext w:val="0"/>
              <w:keepLines w:val="0"/>
              <w:suppressLineNumbers w:val="0"/>
              <w:spacing w:before="0" w:beforeAutospacing="0" w:after="0" w:afterAutospacing="0"/>
              <w:ind w:left="0" w:right="0"/>
              <w:rPr>
                <w:rFonts w:hint="default"/>
                <w:b w:val="0"/>
                <w:color w:val="000000"/>
                <w:vertAlign w:val="baseline"/>
                <w:lang w:val="en-US" w:eastAsia="zh-CN"/>
              </w:rPr>
            </w:pPr>
            <w:r>
              <w:rPr>
                <w:rFonts w:hint="eastAsia"/>
                <w:b w:val="0"/>
                <w:color w:val="000000"/>
                <w:vertAlign w:val="baseline"/>
                <w:lang w:val="en-US" w:eastAsia="zh-CN"/>
              </w:rPr>
              <w:t>siLAMP2A #1</w:t>
            </w:r>
          </w:p>
        </w:tc>
        <w:tc>
          <w:tcPr>
            <w:tcW w:w="3166" w:type="pct"/>
            <w:tcBorders>
              <w:top w:val="nil"/>
              <w:left w:val="nil"/>
              <w:bottom w:val="nil"/>
              <w:right w:val="nil"/>
            </w:tcBorders>
            <w:shd w:val="clear" w:color="auto" w:fill="FFFFFF"/>
            <w:vAlign w:val="top"/>
          </w:tcPr>
          <w:p w14:paraId="6D1C07DE">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Forward: </w:t>
            </w:r>
            <w:r>
              <w:rPr>
                <w:rFonts w:hint="default"/>
                <w:b w:val="0"/>
                <w:color w:val="000000"/>
                <w:vertAlign w:val="baseline"/>
                <w:lang w:val="en-US" w:eastAsia="zh-CN"/>
              </w:rPr>
              <w:t>GGAGAUGAAUUUCACAAUATT</w:t>
            </w:r>
          </w:p>
        </w:tc>
      </w:tr>
      <w:tr w14:paraId="0FA5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7AF993C1">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0CCE34B4">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Reverse: </w:t>
            </w:r>
            <w:r>
              <w:rPr>
                <w:rFonts w:hint="default"/>
                <w:b w:val="0"/>
                <w:color w:val="000000"/>
                <w:vertAlign w:val="baseline"/>
                <w:lang w:val="en-US" w:eastAsia="zh-CN"/>
              </w:rPr>
              <w:t>UAUUGUGAAAUUCAUCUCCTT</w:t>
            </w:r>
          </w:p>
        </w:tc>
      </w:tr>
      <w:tr w14:paraId="6BE8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7EA8CDE6">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siLAMP2A #2</w:t>
            </w:r>
          </w:p>
        </w:tc>
        <w:tc>
          <w:tcPr>
            <w:tcW w:w="3166" w:type="pct"/>
            <w:tcBorders>
              <w:top w:val="nil"/>
              <w:left w:val="nil"/>
              <w:bottom w:val="nil"/>
              <w:right w:val="nil"/>
            </w:tcBorders>
            <w:shd w:val="clear" w:color="auto" w:fill="FFFFFF"/>
            <w:vAlign w:val="top"/>
          </w:tcPr>
          <w:p w14:paraId="29B82D98">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Forward: </w:t>
            </w:r>
            <w:r>
              <w:rPr>
                <w:rFonts w:hint="default"/>
                <w:b w:val="0"/>
                <w:color w:val="000000"/>
                <w:vertAlign w:val="baseline"/>
                <w:lang w:val="en-US" w:eastAsia="zh-CN"/>
              </w:rPr>
              <w:t>CACUAGUGAUAGCACAGUATT</w:t>
            </w:r>
          </w:p>
        </w:tc>
      </w:tr>
      <w:tr w14:paraId="7E50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47A69FA0">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6FAFE5D2">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Reverse: </w:t>
            </w:r>
            <w:r>
              <w:rPr>
                <w:rFonts w:hint="default"/>
                <w:b w:val="0"/>
                <w:color w:val="000000"/>
                <w:vertAlign w:val="baseline"/>
                <w:lang w:val="en-US" w:eastAsia="zh-CN"/>
              </w:rPr>
              <w:t>UACUGUGCUAUCACUAGUGTT</w:t>
            </w:r>
          </w:p>
        </w:tc>
      </w:tr>
      <w:tr w14:paraId="734D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593514C2">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siLAMP2A #3</w:t>
            </w:r>
          </w:p>
        </w:tc>
        <w:tc>
          <w:tcPr>
            <w:tcW w:w="3166" w:type="pct"/>
            <w:tcBorders>
              <w:top w:val="nil"/>
              <w:left w:val="nil"/>
              <w:bottom w:val="nil"/>
              <w:right w:val="nil"/>
            </w:tcBorders>
            <w:shd w:val="clear" w:color="auto" w:fill="FFFFFF"/>
            <w:vAlign w:val="top"/>
          </w:tcPr>
          <w:p w14:paraId="6D362888">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Forward: </w:t>
            </w:r>
            <w:r>
              <w:rPr>
                <w:rFonts w:hint="default"/>
                <w:lang w:val="en-US" w:eastAsia="zh-CN"/>
              </w:rPr>
              <w:t>CCUCAAAGUGCUCAACUUATT</w:t>
            </w:r>
          </w:p>
        </w:tc>
      </w:tr>
      <w:tr w14:paraId="6D0B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53FB547C">
            <w:pPr>
              <w:keepNext w:val="0"/>
              <w:keepLines w:val="0"/>
              <w:suppressLineNumbers w:val="0"/>
              <w:spacing w:before="0" w:beforeAutospacing="0" w:after="0" w:afterAutospacing="0"/>
              <w:ind w:left="0" w:right="0"/>
              <w:rPr>
                <w:rFonts w:hint="eastAsia"/>
                <w:lang w:val="en-US" w:eastAsia="zh-CN"/>
              </w:rPr>
            </w:pPr>
          </w:p>
        </w:tc>
        <w:tc>
          <w:tcPr>
            <w:tcW w:w="3166" w:type="pct"/>
            <w:tcBorders>
              <w:top w:val="nil"/>
              <w:left w:val="nil"/>
              <w:bottom w:val="nil"/>
              <w:right w:val="nil"/>
            </w:tcBorders>
            <w:shd w:val="clear" w:color="auto" w:fill="FFFFFF"/>
            <w:vAlign w:val="top"/>
          </w:tcPr>
          <w:p w14:paraId="2D8A18AF">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Reverse: </w:t>
            </w:r>
            <w:r>
              <w:rPr>
                <w:rFonts w:hint="default"/>
                <w:lang w:val="en-US" w:eastAsia="zh-CN"/>
              </w:rPr>
              <w:t>UAAGUUGAGCACUUUGAGGTT</w:t>
            </w:r>
          </w:p>
        </w:tc>
      </w:tr>
      <w:tr w14:paraId="5AEC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6ECE73B6">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siNC</w:t>
            </w:r>
          </w:p>
        </w:tc>
        <w:tc>
          <w:tcPr>
            <w:tcW w:w="3166" w:type="pct"/>
            <w:tcBorders>
              <w:top w:val="nil"/>
              <w:left w:val="nil"/>
              <w:bottom w:val="nil"/>
              <w:right w:val="nil"/>
            </w:tcBorders>
            <w:shd w:val="clear" w:color="auto" w:fill="FFFFFF"/>
            <w:vAlign w:val="top"/>
          </w:tcPr>
          <w:p w14:paraId="0EF7B658">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Forward: UUCUCCGAACGUGUCACGUTT</w:t>
            </w:r>
          </w:p>
        </w:tc>
      </w:tr>
      <w:tr w14:paraId="6ED1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single" w:color="auto" w:sz="12" w:space="0"/>
              <w:right w:val="nil"/>
            </w:tcBorders>
            <w:shd w:val="clear" w:color="auto" w:fill="FFFFFF"/>
            <w:vAlign w:val="top"/>
          </w:tcPr>
          <w:p w14:paraId="2606333F">
            <w:pPr>
              <w:keepNext w:val="0"/>
              <w:keepLines w:val="0"/>
              <w:suppressLineNumbers w:val="0"/>
              <w:spacing w:before="0" w:beforeAutospacing="0" w:after="0" w:afterAutospacing="0"/>
              <w:ind w:left="0" w:right="0"/>
              <w:rPr>
                <w:rFonts w:hint="eastAsia"/>
                <w:lang w:val="en-US" w:eastAsia="zh-CN"/>
              </w:rPr>
            </w:pPr>
          </w:p>
        </w:tc>
        <w:tc>
          <w:tcPr>
            <w:tcW w:w="3166" w:type="pct"/>
            <w:tcBorders>
              <w:top w:val="nil"/>
              <w:left w:val="nil"/>
              <w:bottom w:val="single" w:color="auto" w:sz="12" w:space="0"/>
              <w:right w:val="nil"/>
            </w:tcBorders>
            <w:shd w:val="clear" w:color="auto" w:fill="FFFFFF"/>
            <w:vAlign w:val="top"/>
          </w:tcPr>
          <w:p w14:paraId="23A42BFE">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Reverse: ACGUGACACGUUCGGAGAATT</w:t>
            </w:r>
          </w:p>
        </w:tc>
      </w:tr>
    </w:tbl>
    <w:p w14:paraId="30D3C040">
      <w:pPr>
        <w:rPr>
          <w:rFonts w:hint="eastAsia"/>
          <w:b/>
          <w:bCs/>
          <w:lang w:val="en-US" w:eastAsia="zh-CN"/>
        </w:rPr>
      </w:pPr>
      <w:r>
        <w:rPr>
          <w:rFonts w:hint="eastAsia"/>
          <w:lang w:val="en-US" w:eastAsia="zh-CN"/>
        </w:rPr>
        <w:t xml:space="preserve">           </w:t>
      </w:r>
    </w:p>
    <w:p w14:paraId="3AE66E66">
      <w:pPr>
        <w:rPr>
          <w:rFonts w:hint="default"/>
          <w:lang w:val="en-US" w:eastAsia="zh-CN"/>
        </w:rPr>
      </w:pPr>
      <w:r>
        <w:rPr>
          <w:rFonts w:hint="eastAsia"/>
          <w:b/>
          <w:bCs/>
          <w:lang w:val="en-US" w:eastAsia="zh-CN"/>
        </w:rPr>
        <w:t xml:space="preserve">           Table2  Real-time PCR primers</w:t>
      </w:r>
    </w:p>
    <w:tbl>
      <w:tblPr>
        <w:tblStyle w:val="4"/>
        <w:tblW w:w="35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9"/>
        <w:gridCol w:w="3799"/>
      </w:tblGrid>
      <w:tr w14:paraId="3362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833" w:type="pct"/>
            <w:tcBorders>
              <w:top w:val="single" w:color="000000" w:sz="12" w:space="0"/>
              <w:left w:val="nil"/>
              <w:bottom w:val="single" w:color="auto" w:sz="12" w:space="0"/>
              <w:right w:val="nil"/>
              <w:tl2br w:val="nil"/>
            </w:tcBorders>
            <w:shd w:val="clear" w:color="auto" w:fill="FFFFFF"/>
            <w:vAlign w:val="center"/>
          </w:tcPr>
          <w:p w14:paraId="2695F5B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eastAsia="宋体"/>
                <w:b w:val="0"/>
                <w:color w:val="000000"/>
                <w:sz w:val="24"/>
                <w:szCs w:val="18"/>
                <w:lang w:val="en-US" w:eastAsia="zh-CN"/>
              </w:rPr>
            </w:pPr>
            <w:r>
              <w:rPr>
                <w:rFonts w:hint="eastAsia"/>
                <w:b w:val="0"/>
                <w:color w:val="000000"/>
                <w:vertAlign w:val="baseline"/>
                <w:lang w:val="en-US" w:eastAsia="zh-CN"/>
              </w:rPr>
              <w:t>Gene symbol （Mus）</w:t>
            </w:r>
          </w:p>
        </w:tc>
        <w:tc>
          <w:tcPr>
            <w:tcW w:w="3166" w:type="pct"/>
            <w:tcBorders>
              <w:top w:val="single" w:color="000000" w:sz="12" w:space="0"/>
              <w:left w:val="nil"/>
              <w:bottom w:val="single" w:color="auto" w:sz="12" w:space="0"/>
              <w:right w:val="nil"/>
            </w:tcBorders>
            <w:shd w:val="clear" w:color="auto" w:fill="FFFFFF"/>
            <w:vAlign w:val="center"/>
          </w:tcPr>
          <w:p w14:paraId="43BE11D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eastAsia="宋体"/>
                <w:b w:val="0"/>
                <w:color w:val="000000"/>
                <w:sz w:val="24"/>
                <w:szCs w:val="24"/>
                <w:lang w:val="en-US" w:eastAsia="zh-CN"/>
              </w:rPr>
            </w:pPr>
            <w:r>
              <w:rPr>
                <w:rFonts w:hint="eastAsia"/>
                <w:b w:val="0"/>
                <w:color w:val="000000"/>
                <w:vertAlign w:val="baseline"/>
                <w:lang w:val="en-US" w:eastAsia="zh-CN"/>
              </w:rPr>
              <w:t xml:space="preserve">   Primer sequences (5</w:t>
            </w:r>
            <w:r>
              <w:rPr>
                <w:rFonts w:hint="default"/>
                <w:b w:val="0"/>
                <w:color w:val="000000"/>
                <w:vertAlign w:val="baseline"/>
                <w:lang w:val="en-US" w:eastAsia="zh-CN"/>
              </w:rPr>
              <w:t>’</w:t>
            </w:r>
            <w:r>
              <w:rPr>
                <w:rFonts w:hint="eastAsia"/>
                <w:b w:val="0"/>
                <w:color w:val="000000"/>
                <w:vertAlign w:val="baseline"/>
                <w:lang w:val="en-US" w:eastAsia="zh-CN"/>
              </w:rPr>
              <w:t>-3</w:t>
            </w:r>
            <w:r>
              <w:rPr>
                <w:rFonts w:hint="default"/>
                <w:b w:val="0"/>
                <w:color w:val="000000"/>
                <w:vertAlign w:val="baseline"/>
                <w:lang w:val="en-US" w:eastAsia="zh-CN"/>
              </w:rPr>
              <w:t>’</w:t>
            </w:r>
            <w:r>
              <w:rPr>
                <w:rFonts w:hint="eastAsia"/>
                <w:b w:val="0"/>
                <w:color w:val="000000"/>
                <w:vertAlign w:val="baseline"/>
                <w:lang w:val="en-US" w:eastAsia="zh-CN"/>
              </w:rPr>
              <w:t>)</w:t>
            </w:r>
          </w:p>
        </w:tc>
      </w:tr>
      <w:tr w14:paraId="0D04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3" w:type="pct"/>
            <w:vMerge w:val="restart"/>
            <w:tcBorders>
              <w:top w:val="single" w:color="auto" w:sz="12" w:space="0"/>
              <w:left w:val="nil"/>
              <w:bottom w:val="nil"/>
              <w:right w:val="nil"/>
            </w:tcBorders>
            <w:shd w:val="clear" w:color="auto" w:fill="FFFFFF"/>
            <w:vAlign w:val="top"/>
          </w:tcPr>
          <w:p w14:paraId="3BB680AD">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Gapdh</w:t>
            </w:r>
          </w:p>
          <w:p w14:paraId="3444B61D">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p w14:paraId="1E5E30F4">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Times New Roman" w:eastAsia="宋体"/>
                <w:b w:val="0"/>
                <w:color w:val="000000"/>
                <w:sz w:val="24"/>
                <w:szCs w:val="18"/>
                <w:lang w:val="en-US" w:eastAsia="zh-CN"/>
              </w:rPr>
            </w:pPr>
            <w:r>
              <w:rPr>
                <w:rFonts w:hint="eastAsia"/>
                <w:b w:val="0"/>
                <w:color w:val="000000"/>
                <w:vertAlign w:val="baseline"/>
                <w:lang w:val="en-US" w:eastAsia="zh-CN"/>
              </w:rPr>
              <w:t>Gpx4</w:t>
            </w:r>
          </w:p>
        </w:tc>
        <w:tc>
          <w:tcPr>
            <w:tcW w:w="3166" w:type="pct"/>
            <w:tcBorders>
              <w:top w:val="single" w:color="auto" w:sz="12" w:space="0"/>
              <w:left w:val="nil"/>
              <w:bottom w:val="nil"/>
              <w:right w:val="nil"/>
            </w:tcBorders>
            <w:shd w:val="clear" w:color="auto" w:fill="FFFFFF"/>
            <w:vAlign w:val="top"/>
          </w:tcPr>
          <w:p w14:paraId="2337549C">
            <w:pPr>
              <w:keepNext w:val="0"/>
              <w:keepLines w:val="0"/>
              <w:suppressLineNumbers w:val="0"/>
              <w:spacing w:before="0" w:beforeAutospacing="0" w:after="0" w:afterAutospacing="0"/>
              <w:ind w:left="0" w:right="0"/>
              <w:rPr>
                <w:rFonts w:hint="default" w:ascii="Times New Roman" w:eastAsia="宋体"/>
                <w:b w:val="0"/>
                <w:color w:val="000000"/>
                <w:sz w:val="24"/>
                <w:szCs w:val="24"/>
                <w:lang w:val="en-US" w:eastAsia="zh-CN"/>
              </w:rPr>
            </w:pPr>
            <w:r>
              <w:rPr>
                <w:rFonts w:hint="eastAsia"/>
                <w:b w:val="0"/>
                <w:color w:val="000000"/>
                <w:vertAlign w:val="baseline"/>
                <w:lang w:val="en-US" w:eastAsia="zh-CN"/>
              </w:rPr>
              <w:t>Forward: TCCAAAATCAAGTGGGGCGA</w:t>
            </w:r>
          </w:p>
        </w:tc>
      </w:tr>
      <w:tr w14:paraId="670D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3" w:type="pct"/>
            <w:vMerge w:val="continue"/>
            <w:tcBorders>
              <w:top w:val="nil"/>
              <w:left w:val="nil"/>
              <w:bottom w:val="nil"/>
              <w:right w:val="nil"/>
            </w:tcBorders>
            <w:shd w:val="clear" w:color="auto" w:fill="FFFFFF"/>
            <w:vAlign w:val="top"/>
          </w:tcPr>
          <w:p w14:paraId="209C7DB2">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Times New Roman" w:eastAsia="宋体"/>
                <w:b w:val="0"/>
                <w:color w:val="000000"/>
                <w:sz w:val="24"/>
                <w:szCs w:val="18"/>
                <w:lang w:val="en-US" w:eastAsia="zh-CN"/>
              </w:rPr>
            </w:pPr>
          </w:p>
        </w:tc>
        <w:tc>
          <w:tcPr>
            <w:tcW w:w="3166" w:type="pct"/>
            <w:tcBorders>
              <w:top w:val="nil"/>
              <w:left w:val="nil"/>
              <w:bottom w:val="nil"/>
              <w:right w:val="nil"/>
            </w:tcBorders>
            <w:shd w:val="clear" w:color="auto" w:fill="FFFFFF"/>
            <w:vAlign w:val="top"/>
          </w:tcPr>
          <w:p w14:paraId="0375047B">
            <w:pPr>
              <w:keepNext w:val="0"/>
              <w:keepLines w:val="0"/>
              <w:suppressLineNumbers w:val="0"/>
              <w:spacing w:before="0" w:beforeAutospacing="0" w:after="0" w:afterAutospacing="0"/>
              <w:ind w:left="0" w:right="0"/>
              <w:rPr>
                <w:rFonts w:hint="default" w:ascii="Times New Roman" w:eastAsia="宋体"/>
                <w:b w:val="0"/>
                <w:color w:val="000000"/>
                <w:sz w:val="24"/>
                <w:szCs w:val="24"/>
                <w:lang w:val="en-US" w:eastAsia="zh-CN"/>
              </w:rPr>
            </w:pPr>
            <w:r>
              <w:rPr>
                <w:rFonts w:hint="eastAsia"/>
                <w:b w:val="0"/>
                <w:color w:val="000000"/>
                <w:vertAlign w:val="baseline"/>
                <w:lang w:val="en-US" w:eastAsia="zh-CN"/>
              </w:rPr>
              <w:t>Reverse: AAATGAGCCCCAGCCTTCTC</w:t>
            </w:r>
          </w:p>
        </w:tc>
      </w:tr>
      <w:tr w14:paraId="628F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833" w:type="pct"/>
            <w:vMerge w:val="continue"/>
            <w:tcBorders>
              <w:top w:val="nil"/>
              <w:left w:val="nil"/>
              <w:bottom w:val="nil"/>
              <w:right w:val="nil"/>
            </w:tcBorders>
            <w:shd w:val="clear" w:color="auto" w:fill="FFFFFF"/>
            <w:vAlign w:val="top"/>
          </w:tcPr>
          <w:p w14:paraId="6B53EF0B">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529AB461">
            <w:pPr>
              <w:keepNext w:val="0"/>
              <w:keepLines w:val="0"/>
              <w:suppressLineNumbers w:val="0"/>
              <w:spacing w:before="0" w:beforeAutospacing="0" w:after="0" w:afterAutospacing="0"/>
              <w:ind w:left="0" w:right="0"/>
              <w:rPr>
                <w:rFonts w:hint="default" w:ascii="Times New Roman" w:eastAsia="宋体"/>
                <w:b w:val="0"/>
                <w:color w:val="000000"/>
                <w:sz w:val="24"/>
                <w:szCs w:val="24"/>
                <w:lang w:val="en-US" w:eastAsia="zh-CN"/>
              </w:rPr>
            </w:pPr>
            <w:r>
              <w:rPr>
                <w:rFonts w:hint="eastAsia"/>
                <w:b w:val="0"/>
                <w:color w:val="000000"/>
                <w:vertAlign w:val="baseline"/>
                <w:lang w:val="en-US" w:eastAsia="zh-CN"/>
              </w:rPr>
              <w:t>Forward: CGCTGTGGAAGTGGATGAAG</w:t>
            </w:r>
          </w:p>
        </w:tc>
      </w:tr>
      <w:tr w14:paraId="7E7E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78675381">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1D530D37">
            <w:pPr>
              <w:keepNext w:val="0"/>
              <w:keepLines w:val="0"/>
              <w:suppressLineNumbers w:val="0"/>
              <w:spacing w:before="0" w:beforeAutospacing="0" w:after="0" w:afterAutospacing="0"/>
              <w:ind w:left="0" w:right="0"/>
              <w:rPr>
                <w:rFonts w:hint="eastAsia"/>
                <w:b w:val="0"/>
                <w:color w:val="000000"/>
                <w:vertAlign w:val="baseline"/>
                <w:lang w:val="en-US" w:eastAsia="zh-CN"/>
              </w:rPr>
            </w:pPr>
            <w:r>
              <w:rPr>
                <w:rFonts w:hint="eastAsia"/>
                <w:b w:val="0"/>
                <w:color w:val="000000"/>
                <w:vertAlign w:val="baseline"/>
                <w:lang w:val="en-US" w:eastAsia="zh-CN"/>
              </w:rPr>
              <w:t>Reverse: TTGTCGATGAGGAACTGTGG</w:t>
            </w:r>
          </w:p>
        </w:tc>
      </w:tr>
      <w:tr w14:paraId="3177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6CC4CE38">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Col2a1</w:t>
            </w:r>
          </w:p>
        </w:tc>
        <w:tc>
          <w:tcPr>
            <w:tcW w:w="3166" w:type="pct"/>
            <w:tcBorders>
              <w:top w:val="nil"/>
              <w:left w:val="nil"/>
              <w:bottom w:val="nil"/>
              <w:right w:val="nil"/>
            </w:tcBorders>
            <w:shd w:val="clear" w:color="auto" w:fill="FFFFFF"/>
            <w:vAlign w:val="top"/>
          </w:tcPr>
          <w:p w14:paraId="7649B0A2">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Forward: </w:t>
            </w:r>
            <w:r>
              <w:rPr>
                <w:rFonts w:hint="default"/>
                <w:b w:val="0"/>
                <w:color w:val="000000"/>
                <w:vertAlign w:val="baseline"/>
                <w:lang w:val="en-US" w:eastAsia="zh-CN"/>
              </w:rPr>
              <w:t>CAAGGACCCAGAGGTGATCG</w:t>
            </w:r>
          </w:p>
        </w:tc>
      </w:tr>
      <w:tr w14:paraId="241F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556EA4B7">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2EFFF6DE">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Reverse: </w:t>
            </w:r>
            <w:r>
              <w:rPr>
                <w:rFonts w:hint="default"/>
                <w:b w:val="0"/>
                <w:color w:val="000000"/>
                <w:vertAlign w:val="baseline"/>
                <w:lang w:val="en-US" w:eastAsia="zh-CN"/>
              </w:rPr>
              <w:t>CCAGCCTTCTCGTCATACCC</w:t>
            </w:r>
          </w:p>
        </w:tc>
      </w:tr>
      <w:tr w14:paraId="514A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7672A345">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Acan</w:t>
            </w:r>
          </w:p>
        </w:tc>
        <w:tc>
          <w:tcPr>
            <w:tcW w:w="3166" w:type="pct"/>
            <w:tcBorders>
              <w:top w:val="nil"/>
              <w:left w:val="nil"/>
              <w:bottom w:val="nil"/>
              <w:right w:val="nil"/>
            </w:tcBorders>
            <w:shd w:val="clear" w:color="auto" w:fill="FFFFFF"/>
            <w:vAlign w:val="top"/>
          </w:tcPr>
          <w:p w14:paraId="50F29AA8">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Forward: </w:t>
            </w:r>
            <w:r>
              <w:rPr>
                <w:rFonts w:hint="default"/>
                <w:b w:val="0"/>
                <w:color w:val="000000"/>
                <w:vertAlign w:val="baseline"/>
                <w:lang w:val="en-US" w:eastAsia="zh-CN"/>
              </w:rPr>
              <w:t>GATGGAAACCAGCACGGAGA</w:t>
            </w:r>
          </w:p>
        </w:tc>
      </w:tr>
      <w:tr w14:paraId="0CC8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69D6E42C">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2EED4910">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Reverse: </w:t>
            </w:r>
            <w:r>
              <w:rPr>
                <w:rFonts w:hint="default"/>
                <w:b w:val="0"/>
                <w:color w:val="000000"/>
                <w:vertAlign w:val="baseline"/>
                <w:lang w:val="en-US" w:eastAsia="zh-CN"/>
              </w:rPr>
              <w:t>CCTGGGAAACAGTGGGTTCA</w:t>
            </w:r>
          </w:p>
        </w:tc>
      </w:tr>
      <w:tr w14:paraId="5940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2E94A249">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Adamts-5</w:t>
            </w:r>
          </w:p>
        </w:tc>
        <w:tc>
          <w:tcPr>
            <w:tcW w:w="3166" w:type="pct"/>
            <w:tcBorders>
              <w:top w:val="nil"/>
              <w:left w:val="nil"/>
              <w:bottom w:val="nil"/>
              <w:right w:val="nil"/>
            </w:tcBorders>
            <w:shd w:val="clear" w:color="auto" w:fill="FFFFFF"/>
            <w:vAlign w:val="top"/>
          </w:tcPr>
          <w:p w14:paraId="77787301">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Forward: </w:t>
            </w:r>
            <w:r>
              <w:rPr>
                <w:rFonts w:hint="default"/>
                <w:b w:val="0"/>
                <w:color w:val="000000"/>
                <w:vertAlign w:val="baseline"/>
                <w:lang w:val="en-US" w:eastAsia="zh-CN"/>
              </w:rPr>
              <w:t>CCAAGGCCAAATGGTGTGTC</w:t>
            </w:r>
          </w:p>
        </w:tc>
      </w:tr>
      <w:tr w14:paraId="5D9C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55684C1E">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47D55FA8">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Reverse: </w:t>
            </w:r>
            <w:r>
              <w:rPr>
                <w:rFonts w:hint="default"/>
                <w:b w:val="0"/>
                <w:color w:val="000000"/>
                <w:vertAlign w:val="baseline"/>
                <w:lang w:val="en-US" w:eastAsia="zh-CN"/>
              </w:rPr>
              <w:t>CAATGGCGGTAGGCAAACTG</w:t>
            </w:r>
          </w:p>
        </w:tc>
      </w:tr>
      <w:tr w14:paraId="164E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10152F9D">
            <w:pPr>
              <w:keepNext w:val="0"/>
              <w:keepLines w:val="0"/>
              <w:suppressLineNumbers w:val="0"/>
              <w:spacing w:before="0" w:beforeAutospacing="0" w:after="0" w:afterAutospacing="0"/>
              <w:ind w:left="0" w:right="0"/>
              <w:rPr>
                <w:rFonts w:hint="default"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Mmp13</w:t>
            </w:r>
          </w:p>
        </w:tc>
        <w:tc>
          <w:tcPr>
            <w:tcW w:w="3166" w:type="pct"/>
            <w:tcBorders>
              <w:top w:val="nil"/>
              <w:left w:val="nil"/>
              <w:bottom w:val="nil"/>
              <w:right w:val="nil"/>
            </w:tcBorders>
            <w:shd w:val="clear" w:color="auto" w:fill="FFFFFF"/>
            <w:vAlign w:val="top"/>
          </w:tcPr>
          <w:p w14:paraId="1451FB96">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Forward: </w:t>
            </w:r>
            <w:r>
              <w:rPr>
                <w:rFonts w:hint="default"/>
                <w:b w:val="0"/>
                <w:color w:val="000000"/>
                <w:vertAlign w:val="baseline"/>
                <w:lang w:val="en-US" w:eastAsia="zh-CN"/>
              </w:rPr>
              <w:t>TACCATCCTGCGACTCTTGC</w:t>
            </w:r>
          </w:p>
        </w:tc>
      </w:tr>
      <w:tr w14:paraId="4F5A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0141663F">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p>
        </w:tc>
        <w:tc>
          <w:tcPr>
            <w:tcW w:w="3166" w:type="pct"/>
            <w:tcBorders>
              <w:top w:val="nil"/>
              <w:left w:val="nil"/>
              <w:bottom w:val="nil"/>
              <w:right w:val="nil"/>
            </w:tcBorders>
            <w:shd w:val="clear" w:color="auto" w:fill="FFFFFF"/>
            <w:vAlign w:val="top"/>
          </w:tcPr>
          <w:p w14:paraId="3DBC70F4">
            <w:pPr>
              <w:keepNext w:val="0"/>
              <w:keepLines w:val="0"/>
              <w:suppressLineNumbers w:val="0"/>
              <w:spacing w:before="0" w:beforeAutospacing="0" w:after="0" w:afterAutospacing="0"/>
              <w:ind w:left="0" w:right="0"/>
              <w:rPr>
                <w:rFonts w:hint="eastAsia" w:asciiTheme="minorHAnsi" w:hAnsiTheme="minorHAnsi" w:eastAsiaTheme="minorEastAsia" w:cstheme="minorBidi"/>
                <w:b w:val="0"/>
                <w:color w:val="000000"/>
                <w:kern w:val="2"/>
                <w:sz w:val="21"/>
                <w:szCs w:val="24"/>
                <w:vertAlign w:val="baseline"/>
                <w:lang w:val="en-US" w:eastAsia="zh-CN" w:bidi="ar-SA"/>
              </w:rPr>
            </w:pPr>
            <w:r>
              <w:rPr>
                <w:rFonts w:hint="eastAsia"/>
                <w:b w:val="0"/>
                <w:color w:val="000000"/>
                <w:vertAlign w:val="baseline"/>
                <w:lang w:val="en-US" w:eastAsia="zh-CN"/>
              </w:rPr>
              <w:t xml:space="preserve">Reverse: </w:t>
            </w:r>
            <w:r>
              <w:rPr>
                <w:rFonts w:hint="default"/>
                <w:b w:val="0"/>
                <w:color w:val="000000"/>
                <w:vertAlign w:val="baseline"/>
                <w:lang w:val="en-US" w:eastAsia="zh-CN"/>
              </w:rPr>
              <w:t>TTCACCCACATCAGGCACTC</w:t>
            </w:r>
          </w:p>
        </w:tc>
      </w:tr>
      <w:tr w14:paraId="3521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nil"/>
              <w:right w:val="nil"/>
            </w:tcBorders>
            <w:shd w:val="clear" w:color="auto" w:fill="FFFFFF"/>
            <w:vAlign w:val="top"/>
          </w:tcPr>
          <w:p w14:paraId="527D3337">
            <w:pPr>
              <w:keepNext w:val="0"/>
              <w:keepLines w:val="0"/>
              <w:suppressLineNumbers w:val="0"/>
              <w:spacing w:before="0" w:beforeAutospacing="0" w:after="0" w:afterAutospacing="0"/>
              <w:ind w:left="0" w:right="0"/>
              <w:rPr>
                <w:rFonts w:hint="default"/>
                <w:b w:val="0"/>
                <w:color w:val="000000"/>
                <w:vertAlign w:val="baseline"/>
                <w:lang w:val="en-US" w:eastAsia="zh-CN"/>
              </w:rPr>
            </w:pPr>
            <w:r>
              <w:rPr>
                <w:rFonts w:hint="eastAsia"/>
                <w:b w:val="0"/>
                <w:color w:val="000000"/>
                <w:vertAlign w:val="baseline"/>
                <w:lang w:val="en-US" w:eastAsia="zh-CN"/>
              </w:rPr>
              <w:t>Mmp3</w:t>
            </w:r>
          </w:p>
        </w:tc>
        <w:tc>
          <w:tcPr>
            <w:tcW w:w="3166" w:type="pct"/>
            <w:tcBorders>
              <w:top w:val="nil"/>
              <w:left w:val="nil"/>
              <w:bottom w:val="nil"/>
              <w:right w:val="nil"/>
            </w:tcBorders>
            <w:shd w:val="clear" w:color="auto" w:fill="FFFFFF"/>
            <w:vAlign w:val="top"/>
          </w:tcPr>
          <w:p w14:paraId="44AD0D00">
            <w:pPr>
              <w:keepNext w:val="0"/>
              <w:keepLines w:val="0"/>
              <w:suppressLineNumbers w:val="0"/>
              <w:spacing w:before="0" w:beforeAutospacing="0" w:after="0" w:afterAutospacing="0"/>
              <w:ind w:left="0" w:right="0"/>
              <w:rPr>
                <w:rFonts w:hint="eastAsia"/>
                <w:b w:val="0"/>
                <w:color w:val="000000"/>
                <w:vertAlign w:val="baseline"/>
                <w:lang w:val="en-US" w:eastAsia="zh-CN"/>
              </w:rPr>
            </w:pPr>
            <w:r>
              <w:rPr>
                <w:rFonts w:hint="eastAsia"/>
                <w:b w:val="0"/>
                <w:color w:val="000000"/>
                <w:vertAlign w:val="baseline"/>
                <w:lang w:val="en-US" w:eastAsia="zh-CN"/>
              </w:rPr>
              <w:t>Forward: GCAGCAGGAGAAGAAGAAGAC</w:t>
            </w:r>
          </w:p>
        </w:tc>
      </w:tr>
      <w:tr w14:paraId="6075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833" w:type="pct"/>
            <w:tcBorders>
              <w:top w:val="nil"/>
              <w:left w:val="nil"/>
              <w:bottom w:val="single" w:color="000000" w:sz="12" w:space="0"/>
              <w:right w:val="nil"/>
            </w:tcBorders>
            <w:shd w:val="clear" w:color="auto" w:fill="FFFFFF"/>
            <w:vAlign w:val="top"/>
          </w:tcPr>
          <w:p w14:paraId="7E0B9842">
            <w:pPr>
              <w:keepNext w:val="0"/>
              <w:keepLines w:val="0"/>
              <w:suppressLineNumbers w:val="0"/>
              <w:spacing w:before="0" w:beforeAutospacing="0" w:after="0" w:afterAutospacing="0"/>
              <w:ind w:left="0" w:right="0"/>
              <w:rPr>
                <w:rFonts w:hint="eastAsia"/>
                <w:b w:val="0"/>
                <w:color w:val="000000"/>
                <w:vertAlign w:val="baseline"/>
                <w:lang w:val="en-US" w:eastAsia="zh-CN"/>
              </w:rPr>
            </w:pPr>
          </w:p>
        </w:tc>
        <w:tc>
          <w:tcPr>
            <w:tcW w:w="3166" w:type="pct"/>
            <w:tcBorders>
              <w:top w:val="nil"/>
              <w:left w:val="nil"/>
              <w:bottom w:val="single" w:color="000000" w:sz="12" w:space="0"/>
              <w:right w:val="nil"/>
            </w:tcBorders>
            <w:shd w:val="clear" w:color="auto" w:fill="FFFFFF"/>
            <w:vAlign w:val="top"/>
          </w:tcPr>
          <w:p w14:paraId="172AC67C">
            <w:pPr>
              <w:keepNext w:val="0"/>
              <w:keepLines w:val="0"/>
              <w:suppressLineNumbers w:val="0"/>
              <w:spacing w:before="0" w:beforeAutospacing="0" w:after="0" w:afterAutospacing="0"/>
              <w:ind w:left="0" w:right="0"/>
              <w:rPr>
                <w:rFonts w:hint="eastAsia"/>
                <w:b w:val="0"/>
                <w:color w:val="000000"/>
                <w:vertAlign w:val="baseline"/>
                <w:lang w:val="en-US" w:eastAsia="zh-CN"/>
              </w:rPr>
            </w:pPr>
            <w:r>
              <w:rPr>
                <w:rFonts w:hint="eastAsia"/>
                <w:b w:val="0"/>
                <w:color w:val="000000"/>
                <w:vertAlign w:val="baseline"/>
                <w:lang w:val="en-US" w:eastAsia="zh-CN"/>
              </w:rPr>
              <w:t>Reverse: TCAGGAGGAGGAGGAGAAGAT</w:t>
            </w:r>
          </w:p>
        </w:tc>
      </w:tr>
    </w:tbl>
    <w:p w14:paraId="5B45A0DB"/>
    <w:p w14:paraId="0FB3851A">
      <w:r>
        <w:drawing>
          <wp:inline distT="0" distB="0" distL="114300" distR="114300">
            <wp:extent cx="3767455" cy="2786380"/>
            <wp:effectExtent l="0" t="0" r="4445"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4"/>
                    <a:stretch>
                      <a:fillRect/>
                    </a:stretch>
                  </pic:blipFill>
                  <pic:spPr>
                    <a:xfrm>
                      <a:off x="0" y="0"/>
                      <a:ext cx="3767455" cy="2786380"/>
                    </a:xfrm>
                    <a:prstGeom prst="rect">
                      <a:avLst/>
                    </a:prstGeom>
                    <a:noFill/>
                    <a:ln>
                      <a:noFill/>
                    </a:ln>
                  </pic:spPr>
                </pic:pic>
              </a:graphicData>
            </a:graphic>
          </wp:inline>
        </w:drawing>
      </w:r>
    </w:p>
    <w:p w14:paraId="1466573A">
      <w:pPr>
        <w:jc w:val="left"/>
        <w:rPr>
          <w:rFonts w:hint="default" w:ascii="Times New Roman" w:hAnsi="Times New Roman" w:cs="Times New Roman"/>
          <w:b w:val="0"/>
          <w:color w:val="000000"/>
          <w:vertAlign w:val="baseline"/>
          <w:lang w:val="en-US" w:eastAsia="zh-CN"/>
        </w:rPr>
      </w:pPr>
      <w:r>
        <w:rPr>
          <w:rFonts w:hint="eastAsia"/>
          <w:b w:val="0"/>
          <w:color w:val="000000"/>
          <w:vertAlign w:val="baseline"/>
          <w:lang w:val="en-US" w:eastAsia="zh-CN"/>
        </w:rPr>
        <w:t xml:space="preserve"> </w:t>
      </w:r>
      <w:r>
        <w:rPr>
          <w:rFonts w:hint="default" w:ascii="Times New Roman" w:hAnsi="Times New Roman" w:cs="Times New Roman"/>
          <w:b/>
          <w:bCs/>
          <w:color w:val="000000"/>
          <w:vertAlign w:val="baseline"/>
          <w:lang w:val="en-US" w:eastAsia="zh-CN"/>
        </w:rPr>
        <w:t>Fig</w:t>
      </w:r>
      <w:r>
        <w:rPr>
          <w:rFonts w:hint="eastAsia" w:ascii="Times New Roman" w:hAnsi="Times New Roman" w:cs="Times New Roman"/>
          <w:b/>
          <w:bCs/>
          <w:color w:val="000000"/>
          <w:vertAlign w:val="baseline"/>
          <w:lang w:val="en-US" w:eastAsia="zh-CN"/>
        </w:rPr>
        <w:t xml:space="preserve"> </w:t>
      </w:r>
      <w:r>
        <w:rPr>
          <w:rFonts w:hint="default" w:ascii="Times New Roman" w:hAnsi="Times New Roman" w:cs="Times New Roman"/>
          <w:b/>
          <w:bCs/>
          <w:color w:val="000000"/>
          <w:vertAlign w:val="baseline"/>
          <w:lang w:val="en-US" w:eastAsia="zh-CN"/>
        </w:rPr>
        <w:t>S1</w:t>
      </w:r>
      <w:r>
        <w:rPr>
          <w:rFonts w:hint="eastAsia" w:ascii="Times New Roman" w:hAnsi="Times New Roman" w:cs="Times New Roman"/>
          <w:b/>
          <w:bCs/>
          <w:color w:val="000000"/>
          <w:vertAlign w:val="baseline"/>
          <w:lang w:val="en-US" w:eastAsia="zh-CN"/>
        </w:rPr>
        <w:t>:</w:t>
      </w:r>
      <w:r>
        <w:rPr>
          <w:rFonts w:hint="default" w:ascii="Times New Roman" w:hAnsi="Times New Roman" w:cs="Times New Roman"/>
          <w:b w:val="0"/>
          <w:color w:val="000000"/>
          <w:vertAlign w:val="baseline"/>
          <w:lang w:val="en-US" w:eastAsia="zh-CN"/>
        </w:rPr>
        <w:t xml:space="preserve"> Erastin decreases the viability of primary mouse chondrocytes in a dose-dependent manner. Primary chondrocytes isolated from mice were treated with Erastin at the indicated concentrations (0, 0.1, 0.2, 0.5, 1, 2.5, 5, 7.5, and 10 μM), and cell viability was quantified using a colorimetric viability assay. Data are normalized to the 0 μM group (set to 1) and presented as mean ± SD; each symbol represents one independent replicate (n = 3).</w:t>
      </w:r>
    </w:p>
    <w:p w14:paraId="3DD0AEBE">
      <w:pPr>
        <w:rPr>
          <w:rFonts w:hint="default" w:ascii="Times New Roman" w:hAnsi="Times New Roman" w:cs="Times New Roman"/>
          <w:b w:val="0"/>
          <w:color w:val="000000"/>
          <w:vertAlign w:val="baseline"/>
          <w:lang w:val="en-US" w:eastAsia="zh-CN"/>
        </w:rPr>
      </w:pPr>
    </w:p>
    <w:p w14:paraId="7D95CAFC">
      <w:pPr>
        <w:rPr>
          <w:rFonts w:hint="default"/>
          <w:lang w:val="en-US" w:eastAsia="zh-CN"/>
        </w:rPr>
      </w:pPr>
    </w:p>
    <w:p w14:paraId="5E3D1E6E">
      <w:pPr>
        <w:rPr>
          <w:rFonts w:hint="default"/>
          <w:lang w:val="en-US" w:eastAsia="zh-CN"/>
        </w:rPr>
      </w:pPr>
      <w:r>
        <w:rPr>
          <w:rFonts w:hint="default"/>
          <w:lang w:val="en-US" w:eastAsia="zh-CN"/>
        </w:rPr>
        <w:drawing>
          <wp:inline distT="0" distB="0" distL="114300" distR="114300">
            <wp:extent cx="5271135" cy="2004695"/>
            <wp:effectExtent l="0" t="0" r="5715" b="5080"/>
            <wp:docPr id="2" name="图片 2" descr="补充1  RSL3对蛋白影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补充1  RSL3对蛋白影响"/>
                    <pic:cNvPicPr>
                      <a:picLocks noChangeAspect="1"/>
                    </pic:cNvPicPr>
                  </pic:nvPicPr>
                  <pic:blipFill>
                    <a:blip r:embed="rId5"/>
                    <a:stretch>
                      <a:fillRect/>
                    </a:stretch>
                  </pic:blipFill>
                  <pic:spPr>
                    <a:xfrm>
                      <a:off x="0" y="0"/>
                      <a:ext cx="5271135" cy="2004695"/>
                    </a:xfrm>
                    <a:prstGeom prst="rect">
                      <a:avLst/>
                    </a:prstGeom>
                  </pic:spPr>
                </pic:pic>
              </a:graphicData>
            </a:graphic>
          </wp:inline>
        </w:drawing>
      </w:r>
    </w:p>
    <w:p w14:paraId="2F79C687">
      <w:pPr>
        <w:jc w:val="left"/>
        <w:rPr>
          <w:rFonts w:hint="default" w:ascii="Times New Roman" w:hAnsi="Times New Roman" w:cs="Times New Roman"/>
          <w:b w:val="0"/>
          <w:color w:val="000000"/>
          <w:vertAlign w:val="baseline"/>
          <w:lang w:val="en-US" w:eastAsia="zh-CN"/>
        </w:rPr>
      </w:pPr>
      <w:r>
        <w:rPr>
          <w:rFonts w:hint="default" w:ascii="Times New Roman" w:hAnsi="Times New Roman" w:cs="Times New Roman"/>
          <w:b/>
          <w:bCs/>
          <w:lang w:val="en-US" w:eastAsia="zh-CN"/>
        </w:rPr>
        <w:t>Fig</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S2</w:t>
      </w:r>
      <w:r>
        <w:rPr>
          <w:rFonts w:hint="eastAsia" w:ascii="Times New Roman" w:hAnsi="Times New Roman" w:cs="Times New Roman"/>
          <w:b/>
          <w:bCs/>
          <w:lang w:val="en-US" w:eastAsia="zh-CN"/>
        </w:rPr>
        <w:t>:</w:t>
      </w:r>
      <w:r>
        <w:rPr>
          <w:rFonts w:hint="eastAsia" w:ascii="Times New Roman" w:hAnsi="Times New Roman" w:cs="Times New Roman"/>
          <w:lang w:val="en-US" w:eastAsia="zh-CN"/>
        </w:rPr>
        <w:t xml:space="preserve"> </w:t>
      </w:r>
      <w:r>
        <w:rPr>
          <w:rFonts w:hint="default" w:ascii="Times New Roman" w:hAnsi="Times New Roman" w:cs="Times New Roman"/>
          <w:b w:val="0"/>
          <w:color w:val="000000"/>
          <w:vertAlign w:val="baseline"/>
          <w:lang w:val="en-US" w:eastAsia="zh-CN"/>
        </w:rPr>
        <w:t>(A) Representative Western blot showing GPX4 protein levels in chondrocytes treated with vehicle, RSL3 alone, RSL3 plus 4MC (40 μM), or RSL3 plus ferrostatin-1 (Fer-1, 1 μM). β-actin served as the loading control. (B) Quantification of GPX4 protein levels normalized to β-actin and expressed relative to the control group. Statistical significance: Data are presented as mean ± SD from three independent primary murine chondrocyte isolations (n = 3)</w:t>
      </w:r>
      <w:r>
        <w:rPr>
          <w:rFonts w:hint="eastAsia" w:ascii="Times New Roman" w:hAnsi="Times New Roman" w:cs="Times New Roman"/>
          <w:b w:val="0"/>
          <w:color w:val="000000"/>
          <w:vertAlign w:val="baseline"/>
          <w:lang w:val="en-US" w:eastAsia="zh-CN"/>
        </w:rPr>
        <w:t xml:space="preserve">. </w:t>
      </w:r>
      <w:r>
        <w:rPr>
          <w:rFonts w:hint="default" w:ascii="Times New Roman" w:hAnsi="Times New Roman" w:cs="Times New Roman"/>
          <w:b w:val="0"/>
          <w:color w:val="000000"/>
          <w:vertAlign w:val="baseline"/>
          <w:lang w:val="en-US" w:eastAsia="zh-CN"/>
        </w:rPr>
        <w:t>*p &lt; 0.05; **p &lt; 0.01; ***p &lt; 0.001; ****p &lt; 0.0001. ns = not significant.</w:t>
      </w:r>
      <w:r>
        <w:rPr>
          <w:rFonts w:hint="default" w:ascii="Times New Roman" w:hAnsi="Times New Roman" w:cs="Times New Roman"/>
          <w:b w:val="0"/>
          <w:color w:val="000000"/>
          <w:vertAlign w:val="baseline"/>
          <w:lang w:val="en-US" w:eastAsia="zh-CN"/>
        </w:rPr>
        <w:br w:type="textWrapping"/>
      </w:r>
    </w:p>
    <w:p w14:paraId="3D375B83">
      <w:pPr>
        <w:rPr>
          <w:rFonts w:hint="default"/>
          <w:lang w:val="en-US" w:eastAsia="zh-CN"/>
        </w:rPr>
      </w:pPr>
    </w:p>
    <w:p w14:paraId="56DEAC8A">
      <w:r>
        <w:drawing>
          <wp:inline distT="0" distB="0" distL="114300" distR="114300">
            <wp:extent cx="2719705" cy="3195955"/>
            <wp:effectExtent l="0" t="0" r="4445"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2719705" cy="3195955"/>
                    </a:xfrm>
                    <a:prstGeom prst="rect">
                      <a:avLst/>
                    </a:prstGeom>
                    <a:noFill/>
                    <a:ln>
                      <a:noFill/>
                    </a:ln>
                  </pic:spPr>
                </pic:pic>
              </a:graphicData>
            </a:graphic>
          </wp:inline>
        </w:drawing>
      </w:r>
    </w:p>
    <w:p w14:paraId="600EF21F">
      <w:pPr>
        <w:jc w:val="left"/>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b/>
          <w:bCs/>
          <w:kern w:val="2"/>
          <w:sz w:val="21"/>
          <w:szCs w:val="24"/>
          <w:lang w:val="en-US" w:eastAsia="zh-CN" w:bidi="ar-SA"/>
        </w:rPr>
        <w:t>Fig</w:t>
      </w:r>
      <w:r>
        <w:rPr>
          <w:rFonts w:hint="eastAsia" w:ascii="Times New Roman" w:hAnsi="Times New Roman" w:cs="Times New Roman"/>
          <w:b/>
          <w:bCs/>
          <w:kern w:val="2"/>
          <w:sz w:val="21"/>
          <w:szCs w:val="24"/>
          <w:lang w:val="en-US" w:eastAsia="zh-CN" w:bidi="ar-SA"/>
        </w:rPr>
        <w:t xml:space="preserve"> </w:t>
      </w:r>
      <w:r>
        <w:rPr>
          <w:rFonts w:hint="default" w:ascii="Times New Roman" w:hAnsi="Times New Roman" w:cs="Times New Roman"/>
          <w:b/>
          <w:bCs/>
          <w:kern w:val="2"/>
          <w:sz w:val="21"/>
          <w:szCs w:val="24"/>
          <w:lang w:val="en-US" w:eastAsia="zh-CN" w:bidi="ar-SA"/>
        </w:rPr>
        <w:t>S3</w:t>
      </w:r>
      <w:r>
        <w:rPr>
          <w:rFonts w:hint="eastAsia" w:ascii="Times New Roman" w:hAnsi="Times New Roman" w:cs="Times New Roman"/>
          <w:b/>
          <w:bCs/>
          <w:kern w:val="2"/>
          <w:sz w:val="21"/>
          <w:szCs w:val="24"/>
          <w:lang w:val="en-US" w:eastAsia="zh-CN" w:bidi="ar-SA"/>
        </w:rPr>
        <w:t>:</w:t>
      </w:r>
      <w:r>
        <w:rPr>
          <w:rFonts w:hint="eastAsia" w:ascii="Times New Roman" w:hAnsi="Times New Roman" w:cs="Times New Roman"/>
          <w:kern w:val="2"/>
          <w:sz w:val="21"/>
          <w:szCs w:val="24"/>
          <w:lang w:val="en-US" w:eastAsia="zh-CN" w:bidi="ar-SA"/>
        </w:rPr>
        <w:t xml:space="preserve"> </w:t>
      </w:r>
      <w:r>
        <w:rPr>
          <w:rFonts w:hint="default" w:ascii="Times New Roman" w:hAnsi="Times New Roman" w:cs="Times New Roman" w:eastAsiaTheme="minorEastAsia"/>
          <w:kern w:val="2"/>
          <w:sz w:val="21"/>
          <w:szCs w:val="24"/>
          <w:lang w:val="en-US" w:eastAsia="zh-CN" w:bidi="ar-SA"/>
        </w:rPr>
        <w:t xml:space="preserve">qPCR analysis of Gpx4 mRNA in cells treated with Erastin or 4MC (10 or 40 μM). Expression was normalized to Control and presented as mean ± SD (n = 3). Statistical significance: </w:t>
      </w:r>
      <w:bookmarkStart w:id="0" w:name="OLE_LINK144"/>
      <w:r>
        <w:rPr>
          <w:rFonts w:hint="default" w:ascii="Times New Roman" w:hAnsi="Times New Roman" w:cs="Times New Roman" w:eastAsiaTheme="minorEastAsia"/>
          <w:kern w:val="2"/>
          <w:sz w:val="21"/>
          <w:szCs w:val="24"/>
          <w:lang w:val="en-US" w:eastAsia="zh-CN" w:bidi="ar-SA"/>
        </w:rPr>
        <w:t>Data are presented as mean ± SD from three independent primary murine chondrocyte isolations (n = 3)</w:t>
      </w:r>
      <w:bookmarkEnd w:id="0"/>
      <w:r>
        <w:rPr>
          <w:rFonts w:hint="eastAsia" w:ascii="Times New Roman" w:hAnsi="Times New Roman" w:cs="Times New Roman" w:eastAsiaTheme="minorEastAsia"/>
          <w:kern w:val="2"/>
          <w:sz w:val="21"/>
          <w:szCs w:val="24"/>
          <w:lang w:val="en-US" w:eastAsia="zh-CN" w:bidi="ar-SA"/>
        </w:rPr>
        <w:t xml:space="preserve">. </w:t>
      </w:r>
      <w:r>
        <w:rPr>
          <w:rFonts w:hint="default" w:ascii="Times New Roman" w:hAnsi="Times New Roman" w:cs="Times New Roman" w:eastAsiaTheme="minorEastAsia"/>
          <w:kern w:val="2"/>
          <w:sz w:val="21"/>
          <w:szCs w:val="24"/>
          <w:lang w:val="en-US" w:eastAsia="zh-CN" w:bidi="ar-SA"/>
        </w:rPr>
        <w:t>*p &lt; 0.05; **p &lt; 0.01; ***p &lt; 0.001; ****p &lt; 0.0001. ns = not significant.</w:t>
      </w:r>
      <w:r>
        <w:rPr>
          <w:rFonts w:hint="default" w:ascii="Times New Roman" w:hAnsi="Times New Roman" w:cs="Times New Roman" w:eastAsiaTheme="minorEastAsia"/>
          <w:kern w:val="2"/>
          <w:sz w:val="21"/>
          <w:szCs w:val="24"/>
          <w:lang w:val="en-US" w:eastAsia="zh-CN" w:bidi="ar-SA"/>
        </w:rPr>
        <w:br w:type="textWrapping"/>
      </w:r>
    </w:p>
    <w:p w14:paraId="7DFCB290">
      <w:pPr>
        <w:jc w:val="left"/>
        <w:rPr>
          <w:rFonts w:hint="eastAsia" w:ascii="Times New Roman" w:hAnsi="Times New Roman" w:cs="Times New Roman" w:eastAsiaTheme="minorEastAsia"/>
          <w:kern w:val="2"/>
          <w:sz w:val="21"/>
          <w:szCs w:val="24"/>
          <w:lang w:val="en-US" w:eastAsia="zh-CN" w:bidi="ar-SA"/>
        </w:rPr>
      </w:pPr>
    </w:p>
    <w:p w14:paraId="58220E34">
      <w:pPr>
        <w:jc w:val="left"/>
        <w:rPr>
          <w:rFonts w:hint="eastAsia"/>
          <w:lang w:val="en-US" w:eastAsia="zh-CN"/>
        </w:rPr>
      </w:pPr>
      <w:r>
        <w:rPr>
          <w:rFonts w:hint="default" w:ascii="Times New Roman" w:hAnsi="Times New Roman" w:cs="Times New Roman" w:eastAsiaTheme="minorEastAsia"/>
          <w:kern w:val="2"/>
          <w:sz w:val="21"/>
          <w:szCs w:val="24"/>
          <w:lang w:val="en-US" w:eastAsia="zh-CN" w:bidi="ar-SA"/>
        </w:rPr>
        <w:t xml:space="preserve"> </w:t>
      </w:r>
      <w:r>
        <w:rPr>
          <w:rFonts w:hint="eastAsia"/>
          <w:lang w:val="en-US" w:eastAsia="zh-CN"/>
        </w:rPr>
        <w:drawing>
          <wp:inline distT="0" distB="0" distL="114300" distR="114300">
            <wp:extent cx="5270500" cy="4912995"/>
            <wp:effectExtent l="0" t="0" r="6350" b="1905"/>
            <wp:docPr id="4" name="图片 4" descr="LAMP2A人关节免疫组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MP2A人关节免疫组化"/>
                    <pic:cNvPicPr>
                      <a:picLocks noChangeAspect="1"/>
                    </pic:cNvPicPr>
                  </pic:nvPicPr>
                  <pic:blipFill>
                    <a:blip r:embed="rId7"/>
                    <a:stretch>
                      <a:fillRect/>
                    </a:stretch>
                  </pic:blipFill>
                  <pic:spPr>
                    <a:xfrm>
                      <a:off x="0" y="0"/>
                      <a:ext cx="5270500" cy="4912995"/>
                    </a:xfrm>
                    <a:prstGeom prst="rect">
                      <a:avLst/>
                    </a:prstGeom>
                  </pic:spPr>
                </pic:pic>
              </a:graphicData>
            </a:graphic>
          </wp:inline>
        </w:drawing>
      </w:r>
    </w:p>
    <w:p w14:paraId="36154DF0">
      <w:pPr>
        <w:jc w:val="left"/>
        <w:rPr>
          <w:rFonts w:hint="default" w:ascii="Times New Roman" w:hAnsi="Times New Roman" w:cs="Times New Roman"/>
          <w:lang w:val="en-US" w:eastAsia="zh-CN"/>
        </w:rPr>
      </w:pPr>
      <w:r>
        <w:rPr>
          <w:rFonts w:hint="default" w:ascii="Times New Roman" w:hAnsi="Times New Roman" w:cs="Times New Roman"/>
          <w:b/>
          <w:bCs/>
          <w:lang w:val="en-US" w:eastAsia="zh-CN"/>
        </w:rPr>
        <w:t>Fig</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S</w:t>
      </w:r>
      <w:r>
        <w:rPr>
          <w:rFonts w:hint="eastAsia" w:ascii="Times New Roman" w:hAnsi="Times New Roman" w:cs="Times New Roman"/>
          <w:b/>
          <w:bCs/>
          <w:lang w:val="en-US" w:eastAsia="zh-CN"/>
        </w:rPr>
        <w:t xml:space="preserve">4: </w:t>
      </w:r>
      <w:r>
        <w:rPr>
          <w:rFonts w:hint="default" w:ascii="Times New Roman" w:hAnsi="Times New Roman" w:cs="Times New Roman"/>
          <w:lang w:val="en-US" w:eastAsia="zh-CN"/>
        </w:rPr>
        <w:t>Increased LAMP2A expression in the weight-bearing area of human OA cartilage.</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(A) Representative X-ray image and gross specimen indicating the collection of paired cartilage samples from the weight-bearing and matched non-weight-bearing area of the same osteoarthritic knee joint.(B) Representative immunohistochemical staining of LAMP2A in paired human OA cartilage samples. The weight-bearing region displayed a higher proportion of LAMP2A-positive chondrocytes than the matched non-weight-bearing region. Red arrows indicate positive staining. Scale bar, 20 μm.(C) Quantitative analysis of LAMP2A-positive cells shown in (B)</w:t>
      </w:r>
      <w:r>
        <w:rPr>
          <w:rFonts w:hint="eastAsia" w:ascii="Times New Roman" w:hAnsi="Times New Roman" w:cs="Times New Roman"/>
          <w:lang w:val="en-US" w:eastAsia="zh-CN"/>
        </w:rPr>
        <w:t>.</w:t>
      </w:r>
      <w:r>
        <w:rPr>
          <w:rFonts w:hint="default" w:ascii="Times New Roman" w:hAnsi="Times New Roman" w:cs="Times New Roman"/>
          <w:lang w:val="en-US" w:eastAsia="zh-CN"/>
        </w:rPr>
        <w:t>Data are presented as mean ± SD; n = 9 independent human OA donors. S</w:t>
      </w:r>
      <w:r>
        <w:rPr>
          <w:rFonts w:hint="default" w:ascii="Times New Roman" w:hAnsi="Times New Roman" w:cs="Times New Roman"/>
          <w:b w:val="0"/>
          <w:color w:val="000000"/>
          <w:vertAlign w:val="baseline"/>
          <w:lang w:val="en-US" w:eastAsia="zh-CN"/>
        </w:rPr>
        <w:t>tatistical significance: *p &lt; 0.05; **p &lt; 0.01; ***p &lt; 0.001; ****p &lt; 0.0001. ns = not significant.</w:t>
      </w:r>
      <w:r>
        <w:rPr>
          <w:rFonts w:hint="default" w:ascii="Times New Roman" w:hAnsi="Times New Roman" w:cs="Times New Roman"/>
          <w:b w:val="0"/>
          <w:color w:val="000000"/>
          <w:vertAlign w:val="baseline"/>
          <w:lang w:val="en-US" w:eastAsia="zh-CN"/>
        </w:rPr>
        <w:br w:type="textWrapping"/>
      </w:r>
    </w:p>
    <w:p w14:paraId="0A76EAD9">
      <w:pPr>
        <w:jc w:val="both"/>
        <w:rPr>
          <w:rFonts w:hint="eastAsia" w:eastAsiaTheme="minorEastAsia"/>
          <w:lang w:eastAsia="zh-CN"/>
        </w:rPr>
      </w:pPr>
      <w:r>
        <w:rPr>
          <w:rFonts w:hint="eastAsia" w:eastAsiaTheme="minorEastAsia"/>
          <w:lang w:eastAsia="zh-CN"/>
        </w:rPr>
        <w:drawing>
          <wp:inline distT="0" distB="0" distL="114300" distR="114300">
            <wp:extent cx="5273675" cy="2284095"/>
            <wp:effectExtent l="0" t="0" r="3175" b="1905"/>
            <wp:docPr id="1" name="图片 1" descr="补充Baf 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补充Baf A1"/>
                    <pic:cNvPicPr>
                      <a:picLocks noChangeAspect="1"/>
                    </pic:cNvPicPr>
                  </pic:nvPicPr>
                  <pic:blipFill>
                    <a:blip r:embed="rId8"/>
                    <a:stretch>
                      <a:fillRect/>
                    </a:stretch>
                  </pic:blipFill>
                  <pic:spPr>
                    <a:xfrm>
                      <a:off x="0" y="0"/>
                      <a:ext cx="5273675" cy="2284095"/>
                    </a:xfrm>
                    <a:prstGeom prst="rect">
                      <a:avLst/>
                    </a:prstGeom>
                  </pic:spPr>
                </pic:pic>
              </a:graphicData>
            </a:graphic>
          </wp:inline>
        </w:drawing>
      </w:r>
    </w:p>
    <w:p w14:paraId="47486E00">
      <w:pPr>
        <w:jc w:val="left"/>
        <w:rPr>
          <w:rFonts w:hint="default" w:ascii="Times New Roman" w:hAnsi="Times New Roman" w:cs="Times New Roman"/>
          <w:b w:val="0"/>
          <w:color w:val="000000"/>
          <w:vertAlign w:val="baseline"/>
          <w:lang w:val="en-US" w:eastAsia="zh-CN"/>
        </w:rPr>
      </w:pPr>
      <w:r>
        <w:rPr>
          <w:rFonts w:hint="default" w:ascii="Times New Roman" w:hAnsi="Times New Roman" w:cs="Times New Roman"/>
          <w:b/>
          <w:bCs/>
          <w:lang w:val="en-US" w:eastAsia="zh-CN"/>
        </w:rPr>
        <w:t>Fig</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S</w:t>
      </w:r>
      <w:r>
        <w:rPr>
          <w:rFonts w:hint="eastAsia" w:ascii="Times New Roman" w:hAnsi="Times New Roman" w:cs="Times New Roman"/>
          <w:b/>
          <w:bCs/>
          <w:lang w:val="en-US" w:eastAsia="zh-CN"/>
        </w:rPr>
        <w:t xml:space="preserve">5: </w:t>
      </w:r>
      <w:r>
        <w:rPr>
          <w:rFonts w:hint="default" w:ascii="Times New Roman" w:hAnsi="Times New Roman" w:cs="Times New Roman"/>
          <w:lang w:val="en-US" w:eastAsia="zh-CN"/>
        </w:rPr>
        <w:t>(A) Representative Western blot of GPX4 (22 kDa) in cells treated with Erastin (±), with or without 4MC and/or bafilomycin A1 (Baf A1); Actin (41 kDa) served as the loading control.(B) Densitometric qua</w:t>
      </w:r>
      <w:r>
        <w:rPr>
          <w:rFonts w:hint="default" w:ascii="Times New Roman" w:hAnsi="Times New Roman" w:cs="Times New Roman"/>
          <w:b w:val="0"/>
          <w:color w:val="000000"/>
          <w:vertAlign w:val="baseline"/>
          <w:lang w:val="en-US" w:eastAsia="zh-CN"/>
        </w:rPr>
        <w:t>ntification of GPX4 normalized to Actin and expressed relative to the control group. Statistical significance:Data are presented as mean ± SD from three independent primary murine chondrocyte isolations (n = 3)</w:t>
      </w:r>
      <w:r>
        <w:rPr>
          <w:rFonts w:hint="eastAsia" w:ascii="Times New Roman" w:hAnsi="Times New Roman" w:cs="Times New Roman"/>
          <w:b w:val="0"/>
          <w:color w:val="000000"/>
          <w:vertAlign w:val="baseline"/>
          <w:lang w:val="en-US" w:eastAsia="zh-CN"/>
        </w:rPr>
        <w:t>.</w:t>
      </w:r>
      <w:r>
        <w:rPr>
          <w:rFonts w:hint="default" w:ascii="Times New Roman" w:hAnsi="Times New Roman" w:cs="Times New Roman"/>
          <w:b w:val="0"/>
          <w:color w:val="000000"/>
          <w:vertAlign w:val="baseline"/>
          <w:lang w:val="en-US" w:eastAsia="zh-CN"/>
        </w:rPr>
        <w:t xml:space="preserve"> *p &lt; 0.05; **p &lt; 0.01; ***p &lt; 0.001; ****p &lt; 0.0001. ns = not significant.</w:t>
      </w:r>
      <w:r>
        <w:rPr>
          <w:rFonts w:hint="default" w:ascii="Times New Roman" w:hAnsi="Times New Roman" w:cs="Times New Roman"/>
          <w:b w:val="0"/>
          <w:color w:val="000000"/>
          <w:vertAlign w:val="baseline"/>
          <w:lang w:val="en-US" w:eastAsia="zh-CN"/>
        </w:rPr>
        <w:br w:type="textWrapping"/>
      </w:r>
    </w:p>
    <w:p w14:paraId="7B64F7A6">
      <w:pPr>
        <w:jc w:val="both"/>
        <w:rPr>
          <w:rFonts w:hint="default" w:eastAsiaTheme="minorEastAsia"/>
          <w:lang w:val="en-US" w:eastAsia="zh-CN"/>
        </w:rPr>
      </w:pPr>
    </w:p>
    <w:p w14:paraId="21037E6D">
      <w:pPr>
        <w:jc w:val="both"/>
        <w:rPr>
          <w:rFonts w:hint="default" w:ascii="Times New Roman" w:hAnsi="Times New Roman" w:cs="Times New Roman"/>
          <w:lang w:val="en-US" w:eastAsia="zh-CN"/>
        </w:rPr>
      </w:pPr>
    </w:p>
    <w:p w14:paraId="54D860FF">
      <w:pPr>
        <w:rPr>
          <w:rFonts w:hint="eastAsia"/>
          <w:lang w:val="en-US" w:eastAsia="zh-CN"/>
        </w:rPr>
      </w:pPr>
      <w:r>
        <w:rPr>
          <w:rFonts w:hint="eastAsia"/>
          <w:lang w:val="en-US" w:eastAsia="zh-CN"/>
        </w:rPr>
        <w:drawing>
          <wp:inline distT="0" distB="0" distL="114300" distR="114300">
            <wp:extent cx="3767455" cy="2819400"/>
            <wp:effectExtent l="0" t="0" r="4445"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3767455" cy="2819400"/>
                    </a:xfrm>
                    <a:prstGeom prst="rect">
                      <a:avLst/>
                    </a:prstGeom>
                    <a:noFill/>
                    <a:ln>
                      <a:noFill/>
                    </a:ln>
                  </pic:spPr>
                </pic:pic>
              </a:graphicData>
            </a:graphic>
          </wp:inline>
        </w:drawing>
      </w:r>
    </w:p>
    <w:p w14:paraId="4F9728CC">
      <w:pPr>
        <w:jc w:val="left"/>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default" w:ascii="Times New Roman" w:hAnsi="Times New Roman" w:cs="Times New Roman"/>
          <w:b/>
          <w:bCs/>
          <w:lang w:val="en-US" w:eastAsia="zh-CN"/>
        </w:rPr>
        <w:t>Fig</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S6</w:t>
      </w:r>
      <w:r>
        <w:rPr>
          <w:rFonts w:hint="eastAsia" w:ascii="Times New Roman" w:hAnsi="Times New Roman" w:cs="Times New Roman"/>
          <w:b/>
          <w:bCs/>
          <w:lang w:val="en-US"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Erastin dose-dependently reduces viability of OA chondrocytes. Viability was normalized to 0 μM (set to 1) and shown as mean ± SD (n = 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00141"/>
    <w:rsid w:val="01D06506"/>
    <w:rsid w:val="030346AF"/>
    <w:rsid w:val="04B61857"/>
    <w:rsid w:val="04E94C18"/>
    <w:rsid w:val="09036BB8"/>
    <w:rsid w:val="09731AE3"/>
    <w:rsid w:val="09EF3209"/>
    <w:rsid w:val="0A6C48B5"/>
    <w:rsid w:val="0A937AE7"/>
    <w:rsid w:val="0D354DA4"/>
    <w:rsid w:val="0D412DD3"/>
    <w:rsid w:val="0F0D7E49"/>
    <w:rsid w:val="125D38B0"/>
    <w:rsid w:val="131F6DE2"/>
    <w:rsid w:val="14F86A77"/>
    <w:rsid w:val="15954377"/>
    <w:rsid w:val="1844295B"/>
    <w:rsid w:val="18B0330F"/>
    <w:rsid w:val="1A476D69"/>
    <w:rsid w:val="1BDC4741"/>
    <w:rsid w:val="22A650E4"/>
    <w:rsid w:val="239509E5"/>
    <w:rsid w:val="24890C8C"/>
    <w:rsid w:val="2D17427A"/>
    <w:rsid w:val="2D97448E"/>
    <w:rsid w:val="2EB931C8"/>
    <w:rsid w:val="322C0750"/>
    <w:rsid w:val="356B757B"/>
    <w:rsid w:val="36586946"/>
    <w:rsid w:val="382615AD"/>
    <w:rsid w:val="385B72B6"/>
    <w:rsid w:val="39F16EBB"/>
    <w:rsid w:val="3EE214C8"/>
    <w:rsid w:val="409444EC"/>
    <w:rsid w:val="417C49FE"/>
    <w:rsid w:val="444E229E"/>
    <w:rsid w:val="445C221E"/>
    <w:rsid w:val="45BB24A6"/>
    <w:rsid w:val="47663D1A"/>
    <w:rsid w:val="4A41475A"/>
    <w:rsid w:val="4F2A522D"/>
    <w:rsid w:val="56B104E7"/>
    <w:rsid w:val="57234807"/>
    <w:rsid w:val="580A14B8"/>
    <w:rsid w:val="5D2B49E2"/>
    <w:rsid w:val="5FC00141"/>
    <w:rsid w:val="61E32090"/>
    <w:rsid w:val="637E48A2"/>
    <w:rsid w:val="66154489"/>
    <w:rsid w:val="692A3719"/>
    <w:rsid w:val="72A61BB4"/>
    <w:rsid w:val="75FB4D1F"/>
    <w:rsid w:val="790137E9"/>
    <w:rsid w:val="7965778C"/>
    <w:rsid w:val="7A184A3D"/>
    <w:rsid w:val="7BA24F97"/>
    <w:rsid w:val="7DBE44EE"/>
    <w:rsid w:val="7FC63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546</Words>
  <Characters>3310</Characters>
  <Lines>0</Lines>
  <Paragraphs>0</Paragraphs>
  <TotalTime>12</TotalTime>
  <ScaleCrop>false</ScaleCrop>
  <LinksUpToDate>false</LinksUpToDate>
  <CharactersWithSpaces>3833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2026-01-24T02:51:00Z</dcterms:created>
  <dc:creator>田田</dc:creator>
  <cp:lastModifiedBy>  </cp:lastModifiedBy>
  <dcterms:modified xsi:type="dcterms:W3CDTF">2026-07-29T05:38:54Z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C39C095B2B1348B2A89301F11CF34C16_13</vt:lpwstr>
  </property>
  <property fmtid="{D5CDD505-2E9C-101B-9397-08002B2CF9AE}" pid="4" name="KSOTemplateDocerSaveRecord">
    <vt:lpwstr>eyJoZGlkIjoiMzEwNTM5NzYwMDRjMzkwZTVkZjY2ODkwMGIxNGU0OTUiLCJ1c2VySWQiOiIxMDA4MjM1ODg5In0=</vt:lpwstr>
  </property>
</Properties>
</file>