
<file path=[Content_Types].xml><?xml version="1.0" encoding="utf-8"?>
<Types xmlns="http://schemas.openxmlformats.org/package/2006/content-types">
  <Default Extension="xml" ContentType="application/xml"/>
  <Default Extension="wmf" ContentType="image/x-wmf"/>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2AC7513">
      <w:pPr>
        <w:keepNext/>
        <w:spacing w:before="160" w:after="80" w:line="240" w:lineRule="auto"/>
      </w:pPr>
      <w:r>
        <w:rPr>
          <w:rFonts w:ascii="Times New Roman" w:hAnsi="Times New Roman" w:eastAsia="Times New Roman" w:cs="Times New Roman"/>
          <w:b/>
          <w:color w:val="000000"/>
          <w:sz w:val="28"/>
          <w:szCs w:val="28"/>
        </w:rPr>
        <w:t>Supplementary Table S1</w:t>
      </w:r>
      <w:r>
        <w:rPr>
          <w:rFonts w:ascii="Times New Roman" w:hAnsi="Times New Roman" w:eastAsia="Times New Roman" w:cs="Times New Roman"/>
          <w:b/>
          <w:color w:val="000000"/>
          <w:sz w:val="22"/>
        </w:rPr>
        <w:t xml:space="preserve">: </w:t>
      </w:r>
      <w:r>
        <w:rPr>
          <w:rFonts w:ascii="Times New Roman" w:hAnsi="Times New Roman" w:eastAsia="Times New Roman" w:cs="Times New Roman"/>
          <w:color w:val="000000"/>
          <w:sz w:val="22"/>
        </w:rPr>
        <w:t>Antibodies used for flow cytometry, immunofluorescence, and Western blotting</w:t>
      </w:r>
    </w:p>
    <w:tbl>
      <w:tblPr>
        <w:tblStyle w:val="33"/>
        <w:tblW w:w="118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592"/>
        <w:gridCol w:w="1944"/>
        <w:gridCol w:w="2232"/>
        <w:gridCol w:w="2952"/>
      </w:tblGrid>
      <w:tr w14:paraId="06C61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088" w:type="dxa"/>
            <w:shd w:val="clear" w:color="auto" w:fill="E7E6E6"/>
            <w:tcMar>
              <w:top w:w="80" w:type="dxa"/>
              <w:left w:w="90" w:type="dxa"/>
              <w:bottom w:w="80" w:type="dxa"/>
              <w:right w:w="90" w:type="dxa"/>
            </w:tcMar>
            <w:vAlign w:val="center"/>
          </w:tcPr>
          <w:p w14:paraId="43747ACD">
            <w:pPr>
              <w:spacing w:before="0" w:after="0" w:line="240" w:lineRule="auto"/>
              <w:jc w:val="center"/>
            </w:pPr>
            <w:r>
              <w:rPr>
                <w:rFonts w:ascii="Times New Roman" w:hAnsi="Times New Roman" w:eastAsia="Times New Roman" w:cs="Times New Roman"/>
                <w:b/>
                <w:color w:val="000000"/>
                <w:sz w:val="18"/>
              </w:rPr>
              <w:t>Application</w:t>
            </w:r>
          </w:p>
        </w:tc>
        <w:tc>
          <w:tcPr>
            <w:tcW w:w="2592" w:type="dxa"/>
            <w:shd w:val="clear" w:color="auto" w:fill="E7E6E6"/>
            <w:tcMar>
              <w:top w:w="80" w:type="dxa"/>
              <w:left w:w="90" w:type="dxa"/>
              <w:bottom w:w="80" w:type="dxa"/>
              <w:right w:w="90" w:type="dxa"/>
            </w:tcMar>
            <w:vAlign w:val="center"/>
          </w:tcPr>
          <w:p w14:paraId="473D4932">
            <w:pPr>
              <w:spacing w:before="0" w:after="0" w:line="240" w:lineRule="auto"/>
              <w:jc w:val="center"/>
            </w:pPr>
            <w:r>
              <w:rPr>
                <w:rFonts w:ascii="Times New Roman" w:hAnsi="Times New Roman" w:eastAsia="Times New Roman" w:cs="Times New Roman"/>
                <w:b/>
                <w:color w:val="000000"/>
                <w:sz w:val="18"/>
              </w:rPr>
              <w:t>Target</w:t>
            </w:r>
          </w:p>
        </w:tc>
        <w:tc>
          <w:tcPr>
            <w:tcW w:w="1944" w:type="dxa"/>
            <w:shd w:val="clear" w:color="auto" w:fill="E7E6E6"/>
            <w:tcMar>
              <w:top w:w="80" w:type="dxa"/>
              <w:left w:w="90" w:type="dxa"/>
              <w:bottom w:w="80" w:type="dxa"/>
              <w:right w:w="90" w:type="dxa"/>
            </w:tcMar>
            <w:vAlign w:val="center"/>
          </w:tcPr>
          <w:p w14:paraId="7A704530">
            <w:pPr>
              <w:spacing w:before="0" w:after="0" w:line="240" w:lineRule="auto"/>
              <w:jc w:val="center"/>
            </w:pPr>
            <w:r>
              <w:rPr>
                <w:rFonts w:ascii="Times New Roman" w:hAnsi="Times New Roman" w:eastAsia="Times New Roman" w:cs="Times New Roman"/>
                <w:b/>
                <w:color w:val="000000"/>
                <w:sz w:val="18"/>
              </w:rPr>
              <w:t>Supplier</w:t>
            </w:r>
          </w:p>
        </w:tc>
        <w:tc>
          <w:tcPr>
            <w:tcW w:w="2232" w:type="dxa"/>
            <w:shd w:val="clear" w:color="auto" w:fill="E7E6E6"/>
            <w:tcMar>
              <w:top w:w="80" w:type="dxa"/>
              <w:left w:w="90" w:type="dxa"/>
              <w:bottom w:w="80" w:type="dxa"/>
              <w:right w:w="90" w:type="dxa"/>
            </w:tcMar>
            <w:vAlign w:val="center"/>
          </w:tcPr>
          <w:p w14:paraId="35AFEE00">
            <w:pPr>
              <w:spacing w:before="0" w:after="0" w:line="240" w:lineRule="auto"/>
              <w:jc w:val="center"/>
            </w:pPr>
            <w:r>
              <w:rPr>
                <w:rFonts w:ascii="Times New Roman" w:hAnsi="Times New Roman" w:eastAsia="Times New Roman" w:cs="Times New Roman"/>
                <w:b/>
                <w:color w:val="000000"/>
                <w:sz w:val="18"/>
              </w:rPr>
              <w:t>Catalog number</w:t>
            </w:r>
          </w:p>
        </w:tc>
        <w:tc>
          <w:tcPr>
            <w:tcW w:w="2952" w:type="dxa"/>
            <w:shd w:val="clear" w:color="auto" w:fill="E7E6E6"/>
            <w:tcMar>
              <w:top w:w="80" w:type="dxa"/>
              <w:left w:w="90" w:type="dxa"/>
              <w:bottom w:w="80" w:type="dxa"/>
              <w:right w:w="90" w:type="dxa"/>
            </w:tcMar>
            <w:vAlign w:val="center"/>
          </w:tcPr>
          <w:p w14:paraId="45AA9F38">
            <w:pPr>
              <w:spacing w:before="0" w:after="0" w:line="240" w:lineRule="auto"/>
              <w:jc w:val="center"/>
            </w:pPr>
            <w:r>
              <w:rPr>
                <w:rFonts w:ascii="Times New Roman" w:hAnsi="Times New Roman" w:eastAsia="Times New Roman" w:cs="Times New Roman"/>
                <w:b/>
                <w:color w:val="000000"/>
                <w:sz w:val="18"/>
              </w:rPr>
              <w:t>Working dilution or amount</w:t>
            </w:r>
          </w:p>
        </w:tc>
      </w:tr>
      <w:tr w14:paraId="59E0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1AA07BE2">
            <w:pPr>
              <w:spacing w:before="0" w:after="0" w:line="240" w:lineRule="auto"/>
              <w:jc w:val="center"/>
            </w:pPr>
            <w:r>
              <w:rPr>
                <w:rFonts w:ascii="Times New Roman" w:hAnsi="Times New Roman" w:eastAsia="Times New Roman" w:cs="Times New Roman"/>
                <w:b w:val="0"/>
                <w:color w:val="000000"/>
                <w:sz w:val="17"/>
              </w:rPr>
              <w:t>Flow cytometry</w:t>
            </w:r>
          </w:p>
        </w:tc>
        <w:tc>
          <w:tcPr>
            <w:tcW w:w="2592" w:type="dxa"/>
            <w:tcMar>
              <w:top w:w="80" w:type="dxa"/>
              <w:left w:w="90" w:type="dxa"/>
              <w:bottom w:w="80" w:type="dxa"/>
              <w:right w:w="90" w:type="dxa"/>
            </w:tcMar>
            <w:vAlign w:val="center"/>
          </w:tcPr>
          <w:p w14:paraId="72115653">
            <w:pPr>
              <w:spacing w:before="0" w:after="0" w:line="240" w:lineRule="auto"/>
              <w:jc w:val="left"/>
            </w:pPr>
            <w:r>
              <w:rPr>
                <w:rFonts w:ascii="Times New Roman" w:hAnsi="Times New Roman" w:eastAsia="Times New Roman" w:cs="Times New Roman"/>
                <w:b w:val="0"/>
                <w:color w:val="000000"/>
                <w:sz w:val="17"/>
              </w:rPr>
              <w:t>CD90</w:t>
            </w:r>
          </w:p>
        </w:tc>
        <w:tc>
          <w:tcPr>
            <w:tcW w:w="1944" w:type="dxa"/>
            <w:tcMar>
              <w:top w:w="80" w:type="dxa"/>
              <w:left w:w="90" w:type="dxa"/>
              <w:bottom w:w="80" w:type="dxa"/>
              <w:right w:w="90" w:type="dxa"/>
            </w:tcMar>
            <w:vAlign w:val="center"/>
          </w:tcPr>
          <w:p w14:paraId="7BC25089">
            <w:pPr>
              <w:spacing w:before="0" w:after="0" w:line="240" w:lineRule="auto"/>
              <w:jc w:val="center"/>
            </w:pPr>
            <w:r>
              <w:rPr>
                <w:rFonts w:ascii="Times New Roman" w:hAnsi="Times New Roman" w:eastAsia="Times New Roman" w:cs="Times New Roman"/>
                <w:b w:val="0"/>
                <w:color w:val="000000"/>
                <w:sz w:val="17"/>
              </w:rPr>
              <w:t>Invitrogen</w:t>
            </w:r>
          </w:p>
        </w:tc>
        <w:tc>
          <w:tcPr>
            <w:tcW w:w="2232" w:type="dxa"/>
            <w:tcMar>
              <w:top w:w="80" w:type="dxa"/>
              <w:left w:w="90" w:type="dxa"/>
              <w:bottom w:w="80" w:type="dxa"/>
              <w:right w:w="90" w:type="dxa"/>
            </w:tcMar>
            <w:vAlign w:val="center"/>
          </w:tcPr>
          <w:p w14:paraId="5BFF4876">
            <w:pPr>
              <w:spacing w:before="0" w:after="0" w:line="240" w:lineRule="auto"/>
              <w:jc w:val="center"/>
            </w:pPr>
            <w:r>
              <w:rPr>
                <w:rFonts w:ascii="Times New Roman" w:hAnsi="Times New Roman" w:eastAsia="Times New Roman" w:cs="Times New Roman"/>
                <w:b w:val="0"/>
                <w:color w:val="000000"/>
                <w:sz w:val="17"/>
              </w:rPr>
              <w:t>11-0909-42</w:t>
            </w:r>
          </w:p>
        </w:tc>
        <w:tc>
          <w:tcPr>
            <w:tcW w:w="2952" w:type="dxa"/>
            <w:tcMar>
              <w:top w:w="80" w:type="dxa"/>
              <w:left w:w="90" w:type="dxa"/>
              <w:bottom w:w="80" w:type="dxa"/>
              <w:right w:w="90" w:type="dxa"/>
            </w:tcMar>
            <w:vAlign w:val="center"/>
          </w:tcPr>
          <w:p w14:paraId="654A25CD">
            <w:pPr>
              <w:spacing w:before="0" w:after="0" w:line="240" w:lineRule="auto"/>
              <w:jc w:val="left"/>
            </w:pPr>
            <w:r>
              <w:rPr>
                <w:rFonts w:ascii="Times New Roman" w:hAnsi="Times New Roman" w:eastAsia="Times New Roman" w:cs="Times New Roman"/>
                <w:b w:val="0"/>
                <w:color w:val="000000"/>
                <w:sz w:val="17"/>
              </w:rPr>
              <w:t>2.5 μL per tube</w:t>
            </w:r>
          </w:p>
        </w:tc>
      </w:tr>
      <w:tr w14:paraId="6A66D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652C7FB2">
            <w:pPr>
              <w:spacing w:before="0" w:after="0" w:line="240" w:lineRule="auto"/>
              <w:jc w:val="center"/>
            </w:pPr>
            <w:r>
              <w:rPr>
                <w:rFonts w:ascii="Times New Roman" w:hAnsi="Times New Roman" w:eastAsia="Times New Roman" w:cs="Times New Roman"/>
                <w:b w:val="0"/>
                <w:color w:val="000000"/>
                <w:sz w:val="17"/>
              </w:rPr>
              <w:t>Flow cytometry</w:t>
            </w:r>
          </w:p>
        </w:tc>
        <w:tc>
          <w:tcPr>
            <w:tcW w:w="2592" w:type="dxa"/>
            <w:tcMar>
              <w:top w:w="80" w:type="dxa"/>
              <w:left w:w="90" w:type="dxa"/>
              <w:bottom w:w="80" w:type="dxa"/>
              <w:right w:w="90" w:type="dxa"/>
            </w:tcMar>
            <w:vAlign w:val="center"/>
          </w:tcPr>
          <w:p w14:paraId="15B47FA1">
            <w:pPr>
              <w:spacing w:before="0" w:after="0" w:line="240" w:lineRule="auto"/>
              <w:jc w:val="left"/>
            </w:pPr>
            <w:r>
              <w:rPr>
                <w:rFonts w:ascii="Times New Roman" w:hAnsi="Times New Roman" w:eastAsia="Times New Roman" w:cs="Times New Roman"/>
                <w:b w:val="0"/>
                <w:color w:val="000000"/>
                <w:sz w:val="17"/>
              </w:rPr>
              <w:t>CD45</w:t>
            </w:r>
          </w:p>
        </w:tc>
        <w:tc>
          <w:tcPr>
            <w:tcW w:w="1944" w:type="dxa"/>
            <w:tcMar>
              <w:top w:w="80" w:type="dxa"/>
              <w:left w:w="90" w:type="dxa"/>
              <w:bottom w:w="80" w:type="dxa"/>
              <w:right w:w="90" w:type="dxa"/>
            </w:tcMar>
            <w:vAlign w:val="center"/>
          </w:tcPr>
          <w:p w14:paraId="0E81FF91">
            <w:pPr>
              <w:spacing w:before="0" w:after="0" w:line="240" w:lineRule="auto"/>
              <w:jc w:val="center"/>
            </w:pPr>
            <w:r>
              <w:rPr>
                <w:rFonts w:ascii="Times New Roman" w:hAnsi="Times New Roman" w:eastAsia="Times New Roman" w:cs="Times New Roman"/>
                <w:b w:val="0"/>
                <w:color w:val="000000"/>
                <w:sz w:val="17"/>
              </w:rPr>
              <w:t>Invitrogen</w:t>
            </w:r>
          </w:p>
        </w:tc>
        <w:tc>
          <w:tcPr>
            <w:tcW w:w="2232" w:type="dxa"/>
            <w:tcMar>
              <w:top w:w="80" w:type="dxa"/>
              <w:left w:w="90" w:type="dxa"/>
              <w:bottom w:w="80" w:type="dxa"/>
              <w:right w:w="90" w:type="dxa"/>
            </w:tcMar>
            <w:vAlign w:val="center"/>
          </w:tcPr>
          <w:p w14:paraId="7E6CF761">
            <w:pPr>
              <w:spacing w:before="0" w:after="0" w:line="240" w:lineRule="auto"/>
              <w:jc w:val="center"/>
            </w:pPr>
            <w:r>
              <w:rPr>
                <w:rFonts w:ascii="Times New Roman" w:hAnsi="Times New Roman" w:eastAsia="Times New Roman" w:cs="Times New Roman"/>
                <w:b w:val="0"/>
                <w:color w:val="000000"/>
                <w:sz w:val="17"/>
              </w:rPr>
              <w:t>12-0459-42</w:t>
            </w:r>
          </w:p>
        </w:tc>
        <w:tc>
          <w:tcPr>
            <w:tcW w:w="2952" w:type="dxa"/>
            <w:tcMar>
              <w:top w:w="80" w:type="dxa"/>
              <w:left w:w="90" w:type="dxa"/>
              <w:bottom w:w="80" w:type="dxa"/>
              <w:right w:w="90" w:type="dxa"/>
            </w:tcMar>
            <w:vAlign w:val="center"/>
          </w:tcPr>
          <w:p w14:paraId="25D8ECBD">
            <w:pPr>
              <w:spacing w:before="0" w:after="0" w:line="240" w:lineRule="auto"/>
              <w:jc w:val="left"/>
            </w:pPr>
            <w:r>
              <w:rPr>
                <w:rFonts w:ascii="Times New Roman" w:hAnsi="Times New Roman" w:eastAsia="Times New Roman" w:cs="Times New Roman"/>
                <w:b w:val="0"/>
                <w:color w:val="000000"/>
                <w:sz w:val="17"/>
              </w:rPr>
              <w:t>2.5 μL per tube</w:t>
            </w:r>
          </w:p>
        </w:tc>
      </w:tr>
      <w:tr w14:paraId="614D7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35610CEE">
            <w:pPr>
              <w:spacing w:before="0" w:after="0" w:line="240" w:lineRule="auto"/>
              <w:jc w:val="center"/>
            </w:pPr>
            <w:r>
              <w:rPr>
                <w:rFonts w:ascii="Times New Roman" w:hAnsi="Times New Roman" w:eastAsia="Times New Roman" w:cs="Times New Roman"/>
                <w:b w:val="0"/>
                <w:color w:val="000000"/>
                <w:sz w:val="17"/>
              </w:rPr>
              <w:t>Flow cytometry</w:t>
            </w:r>
          </w:p>
        </w:tc>
        <w:tc>
          <w:tcPr>
            <w:tcW w:w="2592" w:type="dxa"/>
            <w:tcMar>
              <w:top w:w="80" w:type="dxa"/>
              <w:left w:w="90" w:type="dxa"/>
              <w:bottom w:w="80" w:type="dxa"/>
              <w:right w:w="90" w:type="dxa"/>
            </w:tcMar>
            <w:vAlign w:val="center"/>
          </w:tcPr>
          <w:p w14:paraId="3B01298D">
            <w:pPr>
              <w:spacing w:before="0" w:after="0" w:line="240" w:lineRule="auto"/>
              <w:jc w:val="left"/>
            </w:pPr>
            <w:r>
              <w:rPr>
                <w:rFonts w:ascii="Times New Roman" w:hAnsi="Times New Roman" w:eastAsia="Times New Roman" w:cs="Times New Roman"/>
                <w:b w:val="0"/>
                <w:color w:val="000000"/>
                <w:sz w:val="17"/>
              </w:rPr>
              <w:t>CD73</w:t>
            </w:r>
          </w:p>
        </w:tc>
        <w:tc>
          <w:tcPr>
            <w:tcW w:w="1944" w:type="dxa"/>
            <w:tcMar>
              <w:top w:w="80" w:type="dxa"/>
              <w:left w:w="90" w:type="dxa"/>
              <w:bottom w:w="80" w:type="dxa"/>
              <w:right w:w="90" w:type="dxa"/>
            </w:tcMar>
            <w:vAlign w:val="center"/>
          </w:tcPr>
          <w:p w14:paraId="6D7BABEB">
            <w:pPr>
              <w:spacing w:before="0" w:after="0" w:line="240" w:lineRule="auto"/>
              <w:jc w:val="center"/>
            </w:pPr>
            <w:r>
              <w:rPr>
                <w:rFonts w:ascii="Times New Roman" w:hAnsi="Times New Roman" w:eastAsia="Times New Roman" w:cs="Times New Roman"/>
                <w:b w:val="0"/>
                <w:color w:val="000000"/>
                <w:sz w:val="17"/>
              </w:rPr>
              <w:t>Invitrogen</w:t>
            </w:r>
          </w:p>
        </w:tc>
        <w:tc>
          <w:tcPr>
            <w:tcW w:w="2232" w:type="dxa"/>
            <w:tcMar>
              <w:top w:w="80" w:type="dxa"/>
              <w:left w:w="90" w:type="dxa"/>
              <w:bottom w:w="80" w:type="dxa"/>
              <w:right w:w="90" w:type="dxa"/>
            </w:tcMar>
            <w:vAlign w:val="center"/>
          </w:tcPr>
          <w:p w14:paraId="22B5EDBD">
            <w:pPr>
              <w:spacing w:before="0" w:after="0" w:line="240" w:lineRule="auto"/>
              <w:jc w:val="center"/>
            </w:pPr>
            <w:r>
              <w:rPr>
                <w:rFonts w:ascii="Times New Roman" w:hAnsi="Times New Roman" w:eastAsia="Times New Roman" w:cs="Times New Roman"/>
                <w:b w:val="0"/>
                <w:color w:val="000000"/>
                <w:sz w:val="17"/>
              </w:rPr>
              <w:t>11-0739-42</w:t>
            </w:r>
          </w:p>
        </w:tc>
        <w:tc>
          <w:tcPr>
            <w:tcW w:w="2952" w:type="dxa"/>
            <w:tcMar>
              <w:top w:w="80" w:type="dxa"/>
              <w:left w:w="90" w:type="dxa"/>
              <w:bottom w:w="80" w:type="dxa"/>
              <w:right w:w="90" w:type="dxa"/>
            </w:tcMar>
            <w:vAlign w:val="center"/>
          </w:tcPr>
          <w:p w14:paraId="4A581D6D">
            <w:pPr>
              <w:spacing w:before="0" w:after="0" w:line="240" w:lineRule="auto"/>
              <w:jc w:val="left"/>
            </w:pPr>
            <w:r>
              <w:rPr>
                <w:rFonts w:ascii="Times New Roman" w:hAnsi="Times New Roman" w:eastAsia="Times New Roman" w:cs="Times New Roman"/>
                <w:b w:val="0"/>
                <w:color w:val="000000"/>
                <w:sz w:val="17"/>
              </w:rPr>
              <w:t>2.5 μL per tube</w:t>
            </w:r>
          </w:p>
        </w:tc>
      </w:tr>
      <w:tr w14:paraId="0879F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1F9AA3C3">
            <w:pPr>
              <w:spacing w:before="0" w:after="0" w:line="240" w:lineRule="auto"/>
              <w:jc w:val="center"/>
            </w:pPr>
            <w:r>
              <w:rPr>
                <w:rFonts w:ascii="Times New Roman" w:hAnsi="Times New Roman" w:eastAsia="Times New Roman" w:cs="Times New Roman"/>
                <w:b w:val="0"/>
                <w:color w:val="000000"/>
                <w:sz w:val="17"/>
              </w:rPr>
              <w:t>Flow cytometry</w:t>
            </w:r>
          </w:p>
        </w:tc>
        <w:tc>
          <w:tcPr>
            <w:tcW w:w="2592" w:type="dxa"/>
            <w:tcMar>
              <w:top w:w="80" w:type="dxa"/>
              <w:left w:w="90" w:type="dxa"/>
              <w:bottom w:w="80" w:type="dxa"/>
              <w:right w:w="90" w:type="dxa"/>
            </w:tcMar>
            <w:vAlign w:val="center"/>
          </w:tcPr>
          <w:p w14:paraId="107EF2EA">
            <w:pPr>
              <w:spacing w:before="0" w:after="0" w:line="240" w:lineRule="auto"/>
              <w:jc w:val="left"/>
            </w:pPr>
            <w:r>
              <w:rPr>
                <w:rFonts w:ascii="Times New Roman" w:hAnsi="Times New Roman" w:eastAsia="Times New Roman" w:cs="Times New Roman"/>
                <w:b w:val="0"/>
                <w:color w:val="000000"/>
                <w:sz w:val="17"/>
              </w:rPr>
              <w:t>CD105</w:t>
            </w:r>
          </w:p>
        </w:tc>
        <w:tc>
          <w:tcPr>
            <w:tcW w:w="1944" w:type="dxa"/>
            <w:tcMar>
              <w:top w:w="80" w:type="dxa"/>
              <w:left w:w="90" w:type="dxa"/>
              <w:bottom w:w="80" w:type="dxa"/>
              <w:right w:w="90" w:type="dxa"/>
            </w:tcMar>
            <w:vAlign w:val="center"/>
          </w:tcPr>
          <w:p w14:paraId="5C5F7C96">
            <w:pPr>
              <w:spacing w:before="0" w:after="0" w:line="240" w:lineRule="auto"/>
              <w:jc w:val="center"/>
            </w:pPr>
            <w:r>
              <w:rPr>
                <w:rFonts w:ascii="Times New Roman" w:hAnsi="Times New Roman" w:eastAsia="Times New Roman" w:cs="Times New Roman"/>
                <w:b w:val="0"/>
                <w:color w:val="000000"/>
                <w:sz w:val="17"/>
              </w:rPr>
              <w:t>Invitrogen</w:t>
            </w:r>
          </w:p>
        </w:tc>
        <w:tc>
          <w:tcPr>
            <w:tcW w:w="2232" w:type="dxa"/>
            <w:tcMar>
              <w:top w:w="80" w:type="dxa"/>
              <w:left w:w="90" w:type="dxa"/>
              <w:bottom w:w="80" w:type="dxa"/>
              <w:right w:w="90" w:type="dxa"/>
            </w:tcMar>
            <w:vAlign w:val="center"/>
          </w:tcPr>
          <w:p w14:paraId="0A95BC0A">
            <w:pPr>
              <w:spacing w:before="0" w:after="0" w:line="240" w:lineRule="auto"/>
              <w:jc w:val="center"/>
            </w:pPr>
            <w:r>
              <w:rPr>
                <w:rFonts w:ascii="Times New Roman" w:hAnsi="Times New Roman" w:eastAsia="Times New Roman" w:cs="Times New Roman"/>
                <w:b w:val="0"/>
                <w:color w:val="000000"/>
                <w:sz w:val="17"/>
              </w:rPr>
              <w:t>12-1057-42</w:t>
            </w:r>
          </w:p>
        </w:tc>
        <w:tc>
          <w:tcPr>
            <w:tcW w:w="2952" w:type="dxa"/>
            <w:tcMar>
              <w:top w:w="80" w:type="dxa"/>
              <w:left w:w="90" w:type="dxa"/>
              <w:bottom w:w="80" w:type="dxa"/>
              <w:right w:w="90" w:type="dxa"/>
            </w:tcMar>
            <w:vAlign w:val="center"/>
          </w:tcPr>
          <w:p w14:paraId="166AA3A2">
            <w:pPr>
              <w:spacing w:before="0" w:after="0" w:line="240" w:lineRule="auto"/>
              <w:jc w:val="left"/>
            </w:pPr>
            <w:r>
              <w:rPr>
                <w:rFonts w:ascii="Times New Roman" w:hAnsi="Times New Roman" w:eastAsia="Times New Roman" w:cs="Times New Roman"/>
                <w:b w:val="0"/>
                <w:color w:val="000000"/>
                <w:sz w:val="17"/>
              </w:rPr>
              <w:t>2.5 μL per tube</w:t>
            </w:r>
          </w:p>
        </w:tc>
      </w:tr>
      <w:tr w14:paraId="7E4D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302D0EA9">
            <w:pPr>
              <w:spacing w:before="0" w:after="0" w:line="240" w:lineRule="auto"/>
              <w:jc w:val="center"/>
            </w:pPr>
            <w:r>
              <w:rPr>
                <w:rFonts w:ascii="Times New Roman" w:hAnsi="Times New Roman" w:eastAsia="Times New Roman" w:cs="Times New Roman"/>
                <w:b w:val="0"/>
                <w:color w:val="000000"/>
                <w:sz w:val="17"/>
              </w:rPr>
              <w:t>Flow cytometry</w:t>
            </w:r>
          </w:p>
        </w:tc>
        <w:tc>
          <w:tcPr>
            <w:tcW w:w="2592" w:type="dxa"/>
            <w:tcMar>
              <w:top w:w="80" w:type="dxa"/>
              <w:left w:w="90" w:type="dxa"/>
              <w:bottom w:w="80" w:type="dxa"/>
              <w:right w:w="90" w:type="dxa"/>
            </w:tcMar>
            <w:vAlign w:val="center"/>
          </w:tcPr>
          <w:p w14:paraId="6CBC416E">
            <w:pPr>
              <w:spacing w:before="0" w:after="0" w:line="240" w:lineRule="auto"/>
              <w:jc w:val="left"/>
            </w:pPr>
            <w:r>
              <w:rPr>
                <w:rFonts w:ascii="Times New Roman" w:hAnsi="Times New Roman" w:eastAsia="Times New Roman" w:cs="Times New Roman"/>
                <w:b w:val="0"/>
                <w:color w:val="000000"/>
                <w:sz w:val="17"/>
              </w:rPr>
              <w:t>CD34</w:t>
            </w:r>
          </w:p>
        </w:tc>
        <w:tc>
          <w:tcPr>
            <w:tcW w:w="1944" w:type="dxa"/>
            <w:tcMar>
              <w:top w:w="80" w:type="dxa"/>
              <w:left w:w="90" w:type="dxa"/>
              <w:bottom w:w="80" w:type="dxa"/>
              <w:right w:w="90" w:type="dxa"/>
            </w:tcMar>
            <w:vAlign w:val="center"/>
          </w:tcPr>
          <w:p w14:paraId="4D69764B">
            <w:pPr>
              <w:spacing w:before="0" w:after="0" w:line="240" w:lineRule="auto"/>
              <w:jc w:val="center"/>
            </w:pPr>
            <w:r>
              <w:rPr>
                <w:rFonts w:ascii="Times New Roman" w:hAnsi="Times New Roman" w:eastAsia="Times New Roman" w:cs="Times New Roman"/>
                <w:b w:val="0"/>
                <w:color w:val="000000"/>
                <w:sz w:val="17"/>
              </w:rPr>
              <w:t>Invitrogen</w:t>
            </w:r>
          </w:p>
        </w:tc>
        <w:tc>
          <w:tcPr>
            <w:tcW w:w="2232" w:type="dxa"/>
            <w:tcMar>
              <w:top w:w="80" w:type="dxa"/>
              <w:left w:w="90" w:type="dxa"/>
              <w:bottom w:w="80" w:type="dxa"/>
              <w:right w:w="90" w:type="dxa"/>
            </w:tcMar>
            <w:vAlign w:val="center"/>
          </w:tcPr>
          <w:p w14:paraId="58AA4109">
            <w:pPr>
              <w:spacing w:before="0" w:after="0" w:line="240" w:lineRule="auto"/>
              <w:jc w:val="center"/>
            </w:pPr>
            <w:r>
              <w:rPr>
                <w:rFonts w:ascii="Times New Roman" w:hAnsi="Times New Roman" w:eastAsia="Times New Roman" w:cs="Times New Roman"/>
                <w:b w:val="0"/>
                <w:color w:val="000000"/>
                <w:sz w:val="17"/>
              </w:rPr>
              <w:t>11-0349-42</w:t>
            </w:r>
          </w:p>
        </w:tc>
        <w:tc>
          <w:tcPr>
            <w:tcW w:w="2952" w:type="dxa"/>
            <w:tcMar>
              <w:top w:w="80" w:type="dxa"/>
              <w:left w:w="90" w:type="dxa"/>
              <w:bottom w:w="80" w:type="dxa"/>
              <w:right w:w="90" w:type="dxa"/>
            </w:tcMar>
            <w:vAlign w:val="center"/>
          </w:tcPr>
          <w:p w14:paraId="072213B4">
            <w:pPr>
              <w:spacing w:before="0" w:after="0" w:line="240" w:lineRule="auto"/>
              <w:jc w:val="left"/>
            </w:pPr>
            <w:r>
              <w:rPr>
                <w:rFonts w:ascii="Times New Roman" w:hAnsi="Times New Roman" w:eastAsia="Times New Roman" w:cs="Times New Roman"/>
                <w:b w:val="0"/>
                <w:color w:val="000000"/>
                <w:sz w:val="17"/>
              </w:rPr>
              <w:t>2.5 μL per tube</w:t>
            </w:r>
          </w:p>
        </w:tc>
      </w:tr>
      <w:tr w14:paraId="1889C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7B0C184C">
            <w:pPr>
              <w:spacing w:before="0" w:after="0" w:line="240" w:lineRule="auto"/>
              <w:jc w:val="center"/>
            </w:pPr>
            <w:r>
              <w:rPr>
                <w:rFonts w:ascii="Times New Roman" w:hAnsi="Times New Roman" w:eastAsia="Times New Roman" w:cs="Times New Roman"/>
                <w:b w:val="0"/>
                <w:color w:val="000000"/>
                <w:sz w:val="17"/>
              </w:rPr>
              <w:t>Flow cytometry</w:t>
            </w:r>
          </w:p>
        </w:tc>
        <w:tc>
          <w:tcPr>
            <w:tcW w:w="2592" w:type="dxa"/>
            <w:tcMar>
              <w:top w:w="80" w:type="dxa"/>
              <w:left w:w="90" w:type="dxa"/>
              <w:bottom w:w="80" w:type="dxa"/>
              <w:right w:w="90" w:type="dxa"/>
            </w:tcMar>
            <w:vAlign w:val="center"/>
          </w:tcPr>
          <w:p w14:paraId="26D17E13">
            <w:pPr>
              <w:spacing w:before="0" w:after="0" w:line="240" w:lineRule="auto"/>
              <w:jc w:val="left"/>
            </w:pPr>
            <w:r>
              <w:rPr>
                <w:rFonts w:ascii="Times New Roman" w:hAnsi="Times New Roman" w:eastAsia="Times New Roman" w:cs="Times New Roman"/>
                <w:b w:val="0"/>
                <w:color w:val="000000"/>
                <w:sz w:val="17"/>
              </w:rPr>
              <w:t>HLA-DR</w:t>
            </w:r>
          </w:p>
        </w:tc>
        <w:tc>
          <w:tcPr>
            <w:tcW w:w="1944" w:type="dxa"/>
            <w:tcMar>
              <w:top w:w="80" w:type="dxa"/>
              <w:left w:w="90" w:type="dxa"/>
              <w:bottom w:w="80" w:type="dxa"/>
              <w:right w:w="90" w:type="dxa"/>
            </w:tcMar>
            <w:vAlign w:val="center"/>
          </w:tcPr>
          <w:p w14:paraId="4AEC2554">
            <w:pPr>
              <w:spacing w:before="0" w:after="0" w:line="240" w:lineRule="auto"/>
              <w:jc w:val="center"/>
            </w:pPr>
            <w:r>
              <w:rPr>
                <w:rFonts w:ascii="Times New Roman" w:hAnsi="Times New Roman" w:eastAsia="Times New Roman" w:cs="Times New Roman"/>
                <w:b w:val="0"/>
                <w:color w:val="000000"/>
                <w:sz w:val="17"/>
              </w:rPr>
              <w:t>BioLegend</w:t>
            </w:r>
          </w:p>
        </w:tc>
        <w:tc>
          <w:tcPr>
            <w:tcW w:w="2232" w:type="dxa"/>
            <w:tcMar>
              <w:top w:w="80" w:type="dxa"/>
              <w:left w:w="90" w:type="dxa"/>
              <w:bottom w:w="80" w:type="dxa"/>
              <w:right w:w="90" w:type="dxa"/>
            </w:tcMar>
            <w:vAlign w:val="center"/>
          </w:tcPr>
          <w:p w14:paraId="403ECA24">
            <w:pPr>
              <w:spacing w:before="0" w:after="0" w:line="240" w:lineRule="auto"/>
              <w:jc w:val="center"/>
            </w:pPr>
            <w:r>
              <w:rPr>
                <w:rFonts w:ascii="Times New Roman" w:hAnsi="Times New Roman" w:eastAsia="Times New Roman" w:cs="Times New Roman"/>
                <w:b w:val="0"/>
                <w:color w:val="000000"/>
                <w:sz w:val="17"/>
              </w:rPr>
              <w:t>307603</w:t>
            </w:r>
          </w:p>
        </w:tc>
        <w:tc>
          <w:tcPr>
            <w:tcW w:w="2952" w:type="dxa"/>
            <w:tcMar>
              <w:top w:w="80" w:type="dxa"/>
              <w:left w:w="90" w:type="dxa"/>
              <w:bottom w:w="80" w:type="dxa"/>
              <w:right w:w="90" w:type="dxa"/>
            </w:tcMar>
            <w:vAlign w:val="center"/>
          </w:tcPr>
          <w:p w14:paraId="76BAEEE3">
            <w:pPr>
              <w:spacing w:before="0" w:after="0" w:line="240" w:lineRule="auto"/>
              <w:jc w:val="left"/>
            </w:pPr>
            <w:r>
              <w:rPr>
                <w:rFonts w:ascii="Times New Roman" w:hAnsi="Times New Roman" w:eastAsia="Times New Roman" w:cs="Times New Roman"/>
                <w:b w:val="0"/>
                <w:color w:val="000000"/>
                <w:sz w:val="17"/>
              </w:rPr>
              <w:t>2.5 μL per tube</w:t>
            </w:r>
          </w:p>
        </w:tc>
      </w:tr>
      <w:tr w14:paraId="4DC4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02487FF6">
            <w:pPr>
              <w:spacing w:before="0" w:after="0" w:line="240" w:lineRule="auto"/>
              <w:jc w:val="center"/>
            </w:pPr>
            <w:r>
              <w:rPr>
                <w:rFonts w:ascii="Times New Roman" w:hAnsi="Times New Roman" w:eastAsia="Times New Roman" w:cs="Times New Roman"/>
                <w:b w:val="0"/>
                <w:color w:val="000000"/>
                <w:sz w:val="17"/>
              </w:rPr>
              <w:t>Immunofluorescence</w:t>
            </w:r>
          </w:p>
        </w:tc>
        <w:tc>
          <w:tcPr>
            <w:tcW w:w="2592" w:type="dxa"/>
            <w:tcMar>
              <w:top w:w="80" w:type="dxa"/>
              <w:left w:w="90" w:type="dxa"/>
              <w:bottom w:w="80" w:type="dxa"/>
              <w:right w:w="90" w:type="dxa"/>
            </w:tcMar>
            <w:vAlign w:val="center"/>
          </w:tcPr>
          <w:p w14:paraId="0D7A8BB2">
            <w:pPr>
              <w:spacing w:before="0" w:after="0" w:line="240" w:lineRule="auto"/>
              <w:jc w:val="left"/>
            </w:pPr>
            <w:r>
              <w:rPr>
                <w:rFonts w:ascii="Times New Roman" w:hAnsi="Times New Roman" w:eastAsia="Times New Roman" w:cs="Times New Roman"/>
                <w:b w:val="0"/>
                <w:color w:val="000000"/>
                <w:sz w:val="17"/>
              </w:rPr>
              <w:t>eNOS</w:t>
            </w:r>
          </w:p>
        </w:tc>
        <w:tc>
          <w:tcPr>
            <w:tcW w:w="1944" w:type="dxa"/>
            <w:tcMar>
              <w:top w:w="80" w:type="dxa"/>
              <w:left w:w="90" w:type="dxa"/>
              <w:bottom w:w="80" w:type="dxa"/>
              <w:right w:w="90" w:type="dxa"/>
            </w:tcMar>
            <w:vAlign w:val="center"/>
          </w:tcPr>
          <w:p w14:paraId="36EA79E9">
            <w:pPr>
              <w:spacing w:before="0" w:after="0" w:line="240" w:lineRule="auto"/>
              <w:jc w:val="center"/>
            </w:pPr>
            <w:r>
              <w:rPr>
                <w:rFonts w:ascii="Times New Roman" w:hAnsi="Times New Roman" w:eastAsia="Times New Roman" w:cs="Times New Roman"/>
                <w:b w:val="0"/>
                <w:color w:val="000000"/>
                <w:sz w:val="17"/>
              </w:rPr>
              <w:t>ImmunoWay</w:t>
            </w:r>
          </w:p>
        </w:tc>
        <w:tc>
          <w:tcPr>
            <w:tcW w:w="2232" w:type="dxa"/>
            <w:tcMar>
              <w:top w:w="80" w:type="dxa"/>
              <w:left w:w="90" w:type="dxa"/>
              <w:bottom w:w="80" w:type="dxa"/>
              <w:right w:w="90" w:type="dxa"/>
            </w:tcMar>
            <w:vAlign w:val="center"/>
          </w:tcPr>
          <w:p w14:paraId="531145DE">
            <w:pPr>
              <w:spacing w:before="0" w:after="0" w:line="240" w:lineRule="auto"/>
              <w:jc w:val="center"/>
            </w:pPr>
            <w:r>
              <w:rPr>
                <w:rFonts w:ascii="Times New Roman" w:hAnsi="Times New Roman" w:eastAsia="Times New Roman" w:cs="Times New Roman"/>
                <w:b w:val="0"/>
                <w:color w:val="000000"/>
                <w:sz w:val="17"/>
              </w:rPr>
              <w:t>PT0454R</w:t>
            </w:r>
          </w:p>
        </w:tc>
        <w:tc>
          <w:tcPr>
            <w:tcW w:w="2952" w:type="dxa"/>
            <w:tcMar>
              <w:top w:w="80" w:type="dxa"/>
              <w:left w:w="90" w:type="dxa"/>
              <w:bottom w:w="80" w:type="dxa"/>
              <w:right w:w="90" w:type="dxa"/>
            </w:tcMar>
            <w:vAlign w:val="center"/>
          </w:tcPr>
          <w:p w14:paraId="4D696EC6">
            <w:pPr>
              <w:spacing w:before="0" w:after="0" w:line="240" w:lineRule="auto"/>
              <w:jc w:val="left"/>
            </w:pPr>
            <w:r>
              <w:rPr>
                <w:rFonts w:ascii="Times New Roman" w:hAnsi="Times New Roman" w:eastAsia="Times New Roman" w:cs="Times New Roman"/>
                <w:b w:val="0"/>
                <w:color w:val="000000"/>
                <w:sz w:val="17"/>
              </w:rPr>
              <w:t>1:500</w:t>
            </w:r>
          </w:p>
        </w:tc>
      </w:tr>
      <w:tr w14:paraId="48687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12BCDABB">
            <w:pPr>
              <w:spacing w:before="0" w:after="0" w:line="240" w:lineRule="auto"/>
              <w:jc w:val="center"/>
            </w:pPr>
            <w:r>
              <w:rPr>
                <w:rFonts w:ascii="Times New Roman" w:hAnsi="Times New Roman" w:eastAsia="Times New Roman" w:cs="Times New Roman"/>
                <w:b w:val="0"/>
                <w:color w:val="000000"/>
                <w:sz w:val="17"/>
              </w:rPr>
              <w:t>Immunofluorescence</w:t>
            </w:r>
          </w:p>
        </w:tc>
        <w:tc>
          <w:tcPr>
            <w:tcW w:w="2592" w:type="dxa"/>
            <w:tcMar>
              <w:top w:w="80" w:type="dxa"/>
              <w:left w:w="90" w:type="dxa"/>
              <w:bottom w:w="80" w:type="dxa"/>
              <w:right w:w="90" w:type="dxa"/>
            </w:tcMar>
            <w:vAlign w:val="center"/>
          </w:tcPr>
          <w:p w14:paraId="6C19368B">
            <w:pPr>
              <w:spacing w:before="0" w:after="0" w:line="240" w:lineRule="auto"/>
              <w:jc w:val="left"/>
            </w:pPr>
            <w:r>
              <w:rPr>
                <w:rFonts w:ascii="Times New Roman" w:hAnsi="Times New Roman" w:eastAsia="Times New Roman" w:cs="Times New Roman"/>
                <w:b w:val="0"/>
                <w:color w:val="000000"/>
                <w:sz w:val="17"/>
              </w:rPr>
              <w:t>α-SMA</w:t>
            </w:r>
          </w:p>
        </w:tc>
        <w:tc>
          <w:tcPr>
            <w:tcW w:w="1944" w:type="dxa"/>
            <w:tcMar>
              <w:top w:w="80" w:type="dxa"/>
              <w:left w:w="90" w:type="dxa"/>
              <w:bottom w:w="80" w:type="dxa"/>
              <w:right w:w="90" w:type="dxa"/>
            </w:tcMar>
            <w:vAlign w:val="center"/>
          </w:tcPr>
          <w:p w14:paraId="2E997625">
            <w:pPr>
              <w:spacing w:before="0" w:after="0" w:line="240" w:lineRule="auto"/>
              <w:jc w:val="center"/>
            </w:pPr>
            <w:r>
              <w:rPr>
                <w:rFonts w:ascii="Times New Roman" w:hAnsi="Times New Roman" w:eastAsia="Times New Roman" w:cs="Times New Roman"/>
                <w:b w:val="0"/>
                <w:color w:val="000000"/>
                <w:sz w:val="17"/>
              </w:rPr>
              <w:t>Servicebio</w:t>
            </w:r>
          </w:p>
        </w:tc>
        <w:tc>
          <w:tcPr>
            <w:tcW w:w="2232" w:type="dxa"/>
            <w:tcMar>
              <w:top w:w="80" w:type="dxa"/>
              <w:left w:w="90" w:type="dxa"/>
              <w:bottom w:w="80" w:type="dxa"/>
              <w:right w:w="90" w:type="dxa"/>
            </w:tcMar>
            <w:vAlign w:val="center"/>
          </w:tcPr>
          <w:p w14:paraId="703A489A">
            <w:pPr>
              <w:spacing w:before="0" w:after="0" w:line="240" w:lineRule="auto"/>
              <w:jc w:val="center"/>
            </w:pPr>
            <w:r>
              <w:rPr>
                <w:rFonts w:ascii="Times New Roman" w:hAnsi="Times New Roman" w:eastAsia="Times New Roman" w:cs="Times New Roman"/>
                <w:b w:val="0"/>
                <w:color w:val="000000"/>
                <w:sz w:val="17"/>
              </w:rPr>
              <w:t>GB111364</w:t>
            </w:r>
          </w:p>
        </w:tc>
        <w:tc>
          <w:tcPr>
            <w:tcW w:w="2952" w:type="dxa"/>
            <w:tcMar>
              <w:top w:w="80" w:type="dxa"/>
              <w:left w:w="90" w:type="dxa"/>
              <w:bottom w:w="80" w:type="dxa"/>
              <w:right w:w="90" w:type="dxa"/>
            </w:tcMar>
            <w:vAlign w:val="center"/>
          </w:tcPr>
          <w:p w14:paraId="6B87FB7E">
            <w:pPr>
              <w:spacing w:before="0" w:after="0" w:line="240" w:lineRule="auto"/>
              <w:jc w:val="left"/>
            </w:pPr>
            <w:r>
              <w:rPr>
                <w:rFonts w:ascii="Times New Roman" w:hAnsi="Times New Roman" w:eastAsia="Times New Roman" w:cs="Times New Roman"/>
                <w:b w:val="0"/>
                <w:color w:val="000000"/>
                <w:sz w:val="17"/>
              </w:rPr>
              <w:t>1:800</w:t>
            </w:r>
          </w:p>
        </w:tc>
      </w:tr>
      <w:tr w14:paraId="76FE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3050F3ED">
            <w:pPr>
              <w:spacing w:before="0" w:after="0" w:line="240" w:lineRule="auto"/>
              <w:jc w:val="center"/>
            </w:pPr>
            <w:r>
              <w:rPr>
                <w:rFonts w:ascii="Times New Roman" w:hAnsi="Times New Roman" w:eastAsia="Times New Roman" w:cs="Times New Roman"/>
                <w:b w:val="0"/>
                <w:color w:val="000000"/>
                <w:sz w:val="17"/>
              </w:rPr>
              <w:t>Western blotting</w:t>
            </w:r>
          </w:p>
        </w:tc>
        <w:tc>
          <w:tcPr>
            <w:tcW w:w="2592" w:type="dxa"/>
            <w:tcMar>
              <w:top w:w="80" w:type="dxa"/>
              <w:left w:w="90" w:type="dxa"/>
              <w:bottom w:w="80" w:type="dxa"/>
              <w:right w:w="90" w:type="dxa"/>
            </w:tcMar>
            <w:vAlign w:val="center"/>
          </w:tcPr>
          <w:p w14:paraId="6DB93283">
            <w:pPr>
              <w:spacing w:before="0" w:after="0" w:line="240" w:lineRule="auto"/>
              <w:jc w:val="left"/>
            </w:pPr>
            <w:r>
              <w:rPr>
                <w:rFonts w:ascii="Times New Roman" w:hAnsi="Times New Roman" w:eastAsia="Times New Roman" w:cs="Times New Roman"/>
                <w:b w:val="0"/>
                <w:color w:val="000000"/>
                <w:sz w:val="17"/>
              </w:rPr>
              <w:t>Calponin-1</w:t>
            </w:r>
          </w:p>
        </w:tc>
        <w:tc>
          <w:tcPr>
            <w:tcW w:w="1944" w:type="dxa"/>
            <w:tcMar>
              <w:top w:w="80" w:type="dxa"/>
              <w:left w:w="90" w:type="dxa"/>
              <w:bottom w:w="80" w:type="dxa"/>
              <w:right w:w="90" w:type="dxa"/>
            </w:tcMar>
            <w:vAlign w:val="center"/>
          </w:tcPr>
          <w:p w14:paraId="3828A75E">
            <w:pPr>
              <w:spacing w:before="0" w:after="0" w:line="240" w:lineRule="auto"/>
              <w:jc w:val="center"/>
            </w:pPr>
            <w:r>
              <w:rPr>
                <w:rFonts w:ascii="Times New Roman" w:hAnsi="Times New Roman" w:eastAsia="Times New Roman" w:cs="Times New Roman"/>
                <w:b w:val="0"/>
                <w:color w:val="000000"/>
                <w:sz w:val="17"/>
              </w:rPr>
              <w:t>ImmunoWay</w:t>
            </w:r>
          </w:p>
        </w:tc>
        <w:tc>
          <w:tcPr>
            <w:tcW w:w="2232" w:type="dxa"/>
            <w:tcMar>
              <w:top w:w="80" w:type="dxa"/>
              <w:left w:w="90" w:type="dxa"/>
              <w:bottom w:w="80" w:type="dxa"/>
              <w:right w:w="90" w:type="dxa"/>
            </w:tcMar>
            <w:vAlign w:val="center"/>
          </w:tcPr>
          <w:p w14:paraId="24E2570D">
            <w:pPr>
              <w:spacing w:before="0" w:after="0" w:line="240" w:lineRule="auto"/>
              <w:jc w:val="center"/>
            </w:pPr>
            <w:r>
              <w:rPr>
                <w:rFonts w:ascii="Times New Roman" w:hAnsi="Times New Roman" w:eastAsia="Times New Roman" w:cs="Times New Roman"/>
                <w:b w:val="0"/>
                <w:color w:val="000000"/>
                <w:sz w:val="17"/>
              </w:rPr>
              <w:t>YM8523</w:t>
            </w:r>
          </w:p>
        </w:tc>
        <w:tc>
          <w:tcPr>
            <w:tcW w:w="2952" w:type="dxa"/>
            <w:tcMar>
              <w:top w:w="80" w:type="dxa"/>
              <w:left w:w="90" w:type="dxa"/>
              <w:bottom w:w="80" w:type="dxa"/>
              <w:right w:w="90" w:type="dxa"/>
            </w:tcMar>
            <w:vAlign w:val="center"/>
          </w:tcPr>
          <w:p w14:paraId="10BD90C9">
            <w:pPr>
              <w:spacing w:before="0" w:after="0" w:line="240" w:lineRule="auto"/>
              <w:jc w:val="left"/>
            </w:pPr>
            <w:r>
              <w:rPr>
                <w:rFonts w:ascii="Times New Roman" w:hAnsi="Times New Roman" w:eastAsia="Times New Roman" w:cs="Times New Roman"/>
                <w:b w:val="0"/>
                <w:color w:val="000000"/>
                <w:sz w:val="17"/>
              </w:rPr>
              <w:t>1:1000</w:t>
            </w:r>
          </w:p>
        </w:tc>
      </w:tr>
      <w:tr w14:paraId="2C3E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279563A5">
            <w:pPr>
              <w:spacing w:before="0" w:after="0" w:line="240" w:lineRule="auto"/>
              <w:jc w:val="center"/>
            </w:pPr>
            <w:r>
              <w:rPr>
                <w:rFonts w:ascii="Times New Roman" w:hAnsi="Times New Roman" w:eastAsia="Times New Roman" w:cs="Times New Roman"/>
                <w:b w:val="0"/>
                <w:color w:val="000000"/>
                <w:sz w:val="17"/>
              </w:rPr>
              <w:t>Western blotting</w:t>
            </w:r>
          </w:p>
        </w:tc>
        <w:tc>
          <w:tcPr>
            <w:tcW w:w="2592" w:type="dxa"/>
            <w:tcMar>
              <w:top w:w="80" w:type="dxa"/>
              <w:left w:w="90" w:type="dxa"/>
              <w:bottom w:w="80" w:type="dxa"/>
              <w:right w:w="90" w:type="dxa"/>
            </w:tcMar>
            <w:vAlign w:val="center"/>
          </w:tcPr>
          <w:p w14:paraId="6BD137D5">
            <w:pPr>
              <w:spacing w:before="0" w:after="0" w:line="240" w:lineRule="auto"/>
              <w:jc w:val="left"/>
            </w:pPr>
            <w:r>
              <w:rPr>
                <w:rFonts w:ascii="Times New Roman" w:hAnsi="Times New Roman" w:eastAsia="Times New Roman" w:cs="Times New Roman"/>
                <w:b w:val="0"/>
                <w:color w:val="000000"/>
                <w:sz w:val="17"/>
              </w:rPr>
              <w:t>Collagen I</w:t>
            </w:r>
          </w:p>
        </w:tc>
        <w:tc>
          <w:tcPr>
            <w:tcW w:w="1944" w:type="dxa"/>
            <w:tcMar>
              <w:top w:w="80" w:type="dxa"/>
              <w:left w:w="90" w:type="dxa"/>
              <w:bottom w:w="80" w:type="dxa"/>
              <w:right w:w="90" w:type="dxa"/>
            </w:tcMar>
            <w:vAlign w:val="center"/>
          </w:tcPr>
          <w:p w14:paraId="14060501">
            <w:pPr>
              <w:spacing w:before="0" w:after="0" w:line="240" w:lineRule="auto"/>
              <w:jc w:val="center"/>
            </w:pPr>
            <w:r>
              <w:rPr>
                <w:rFonts w:ascii="Times New Roman" w:hAnsi="Times New Roman" w:eastAsia="Times New Roman" w:cs="Times New Roman"/>
                <w:b w:val="0"/>
                <w:color w:val="000000"/>
                <w:sz w:val="17"/>
              </w:rPr>
              <w:t>ImmunoWay</w:t>
            </w:r>
          </w:p>
        </w:tc>
        <w:tc>
          <w:tcPr>
            <w:tcW w:w="2232" w:type="dxa"/>
            <w:tcMar>
              <w:top w:w="80" w:type="dxa"/>
              <w:left w:w="90" w:type="dxa"/>
              <w:bottom w:w="80" w:type="dxa"/>
              <w:right w:w="90" w:type="dxa"/>
            </w:tcMar>
            <w:vAlign w:val="center"/>
          </w:tcPr>
          <w:p w14:paraId="53C41602">
            <w:pPr>
              <w:spacing w:before="0" w:after="0" w:line="240" w:lineRule="auto"/>
              <w:jc w:val="center"/>
            </w:pPr>
            <w:r>
              <w:rPr>
                <w:rFonts w:ascii="Times New Roman" w:hAnsi="Times New Roman" w:eastAsia="Times New Roman" w:cs="Times New Roman"/>
                <w:b w:val="0"/>
                <w:color w:val="000000"/>
                <w:sz w:val="17"/>
              </w:rPr>
              <w:t>YM8576</w:t>
            </w:r>
          </w:p>
        </w:tc>
        <w:tc>
          <w:tcPr>
            <w:tcW w:w="2952" w:type="dxa"/>
            <w:tcMar>
              <w:top w:w="80" w:type="dxa"/>
              <w:left w:w="90" w:type="dxa"/>
              <w:bottom w:w="80" w:type="dxa"/>
              <w:right w:w="90" w:type="dxa"/>
            </w:tcMar>
            <w:vAlign w:val="center"/>
          </w:tcPr>
          <w:p w14:paraId="59E1FEBC">
            <w:pPr>
              <w:spacing w:before="0" w:after="0" w:line="240" w:lineRule="auto"/>
              <w:jc w:val="left"/>
            </w:pPr>
            <w:r>
              <w:rPr>
                <w:rFonts w:ascii="Times New Roman" w:hAnsi="Times New Roman" w:eastAsia="Times New Roman" w:cs="Times New Roman"/>
                <w:b w:val="0"/>
                <w:color w:val="000000"/>
                <w:sz w:val="17"/>
              </w:rPr>
              <w:t>1:2000</w:t>
            </w:r>
          </w:p>
        </w:tc>
      </w:tr>
      <w:tr w14:paraId="3B850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1BEA2C5A">
            <w:pPr>
              <w:spacing w:before="0" w:after="0" w:line="240" w:lineRule="auto"/>
              <w:jc w:val="center"/>
            </w:pPr>
            <w:r>
              <w:rPr>
                <w:rFonts w:ascii="Times New Roman" w:hAnsi="Times New Roman" w:eastAsia="Times New Roman" w:cs="Times New Roman"/>
                <w:b w:val="0"/>
                <w:color w:val="000000"/>
                <w:sz w:val="17"/>
              </w:rPr>
              <w:t>Western blotting</w:t>
            </w:r>
          </w:p>
        </w:tc>
        <w:tc>
          <w:tcPr>
            <w:tcW w:w="2592" w:type="dxa"/>
            <w:tcMar>
              <w:top w:w="80" w:type="dxa"/>
              <w:left w:w="90" w:type="dxa"/>
              <w:bottom w:w="80" w:type="dxa"/>
              <w:right w:w="90" w:type="dxa"/>
            </w:tcMar>
            <w:vAlign w:val="center"/>
          </w:tcPr>
          <w:p w14:paraId="5DD407EF">
            <w:pPr>
              <w:spacing w:before="0" w:after="0" w:line="240" w:lineRule="auto"/>
              <w:jc w:val="left"/>
            </w:pPr>
            <w:r>
              <w:rPr>
                <w:rFonts w:ascii="Times New Roman" w:hAnsi="Times New Roman" w:eastAsia="Times New Roman" w:cs="Times New Roman"/>
                <w:b w:val="0"/>
                <w:color w:val="000000"/>
                <w:sz w:val="17"/>
              </w:rPr>
              <w:t>MMP9</w:t>
            </w:r>
          </w:p>
        </w:tc>
        <w:tc>
          <w:tcPr>
            <w:tcW w:w="1944" w:type="dxa"/>
            <w:tcMar>
              <w:top w:w="80" w:type="dxa"/>
              <w:left w:w="90" w:type="dxa"/>
              <w:bottom w:w="80" w:type="dxa"/>
              <w:right w:w="90" w:type="dxa"/>
            </w:tcMar>
            <w:vAlign w:val="center"/>
          </w:tcPr>
          <w:p w14:paraId="06F556F9">
            <w:pPr>
              <w:spacing w:before="0" w:after="0" w:line="240" w:lineRule="auto"/>
              <w:jc w:val="center"/>
            </w:pPr>
            <w:r>
              <w:rPr>
                <w:rFonts w:ascii="Times New Roman" w:hAnsi="Times New Roman" w:eastAsia="Times New Roman" w:cs="Times New Roman"/>
                <w:b w:val="0"/>
                <w:color w:val="000000"/>
                <w:sz w:val="17"/>
              </w:rPr>
              <w:t>ImmunoWay</w:t>
            </w:r>
          </w:p>
        </w:tc>
        <w:tc>
          <w:tcPr>
            <w:tcW w:w="2232" w:type="dxa"/>
            <w:tcMar>
              <w:top w:w="80" w:type="dxa"/>
              <w:left w:w="90" w:type="dxa"/>
              <w:bottom w:w="80" w:type="dxa"/>
              <w:right w:w="90" w:type="dxa"/>
            </w:tcMar>
            <w:vAlign w:val="center"/>
          </w:tcPr>
          <w:p w14:paraId="02565229">
            <w:pPr>
              <w:spacing w:before="0" w:after="0" w:line="240" w:lineRule="auto"/>
              <w:jc w:val="center"/>
            </w:pPr>
            <w:r>
              <w:rPr>
                <w:rFonts w:ascii="Times New Roman" w:hAnsi="Times New Roman" w:eastAsia="Times New Roman" w:cs="Times New Roman"/>
                <w:b w:val="0"/>
                <w:color w:val="000000"/>
                <w:sz w:val="17"/>
              </w:rPr>
              <w:t>YM8311</w:t>
            </w:r>
          </w:p>
        </w:tc>
        <w:tc>
          <w:tcPr>
            <w:tcW w:w="2952" w:type="dxa"/>
            <w:tcMar>
              <w:top w:w="80" w:type="dxa"/>
              <w:left w:w="90" w:type="dxa"/>
              <w:bottom w:w="80" w:type="dxa"/>
              <w:right w:w="90" w:type="dxa"/>
            </w:tcMar>
            <w:vAlign w:val="center"/>
          </w:tcPr>
          <w:p w14:paraId="36C52D95">
            <w:pPr>
              <w:spacing w:before="0" w:after="0" w:line="240" w:lineRule="auto"/>
              <w:jc w:val="left"/>
            </w:pPr>
            <w:r>
              <w:rPr>
                <w:rFonts w:ascii="Times New Roman" w:hAnsi="Times New Roman" w:eastAsia="Times New Roman" w:cs="Times New Roman"/>
                <w:b w:val="0"/>
                <w:color w:val="000000"/>
                <w:sz w:val="17"/>
              </w:rPr>
              <w:t>1:500</w:t>
            </w:r>
          </w:p>
        </w:tc>
      </w:tr>
      <w:tr w14:paraId="6773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19E6E34D">
            <w:pPr>
              <w:spacing w:before="0" w:after="0" w:line="240" w:lineRule="auto"/>
              <w:jc w:val="center"/>
            </w:pPr>
            <w:r>
              <w:rPr>
                <w:rFonts w:ascii="Times New Roman" w:hAnsi="Times New Roman" w:eastAsia="Times New Roman" w:cs="Times New Roman"/>
                <w:b w:val="0"/>
                <w:color w:val="000000"/>
                <w:sz w:val="17"/>
              </w:rPr>
              <w:t>Western blotting</w:t>
            </w:r>
          </w:p>
        </w:tc>
        <w:tc>
          <w:tcPr>
            <w:tcW w:w="2592" w:type="dxa"/>
            <w:tcMar>
              <w:top w:w="80" w:type="dxa"/>
              <w:left w:w="90" w:type="dxa"/>
              <w:bottom w:w="80" w:type="dxa"/>
              <w:right w:w="90" w:type="dxa"/>
            </w:tcMar>
            <w:vAlign w:val="center"/>
          </w:tcPr>
          <w:p w14:paraId="46295BEA">
            <w:pPr>
              <w:spacing w:before="0" w:after="0" w:line="240" w:lineRule="auto"/>
              <w:jc w:val="left"/>
            </w:pPr>
            <w:r>
              <w:rPr>
                <w:rFonts w:ascii="Times New Roman" w:hAnsi="Times New Roman" w:eastAsia="Times New Roman" w:cs="Times New Roman"/>
                <w:b w:val="0"/>
                <w:color w:val="000000"/>
                <w:sz w:val="17"/>
              </w:rPr>
              <w:t>p-Smad2/3</w:t>
            </w:r>
          </w:p>
        </w:tc>
        <w:tc>
          <w:tcPr>
            <w:tcW w:w="1944" w:type="dxa"/>
            <w:tcMar>
              <w:top w:w="80" w:type="dxa"/>
              <w:left w:w="90" w:type="dxa"/>
              <w:bottom w:w="80" w:type="dxa"/>
              <w:right w:w="90" w:type="dxa"/>
            </w:tcMar>
            <w:vAlign w:val="center"/>
          </w:tcPr>
          <w:p w14:paraId="74B632BB">
            <w:pPr>
              <w:spacing w:before="0" w:after="0" w:line="240" w:lineRule="auto"/>
              <w:jc w:val="center"/>
            </w:pPr>
            <w:r>
              <w:rPr>
                <w:rFonts w:ascii="Times New Roman" w:hAnsi="Times New Roman" w:eastAsia="Times New Roman" w:cs="Times New Roman"/>
                <w:b w:val="0"/>
                <w:color w:val="000000"/>
                <w:sz w:val="17"/>
              </w:rPr>
              <w:t>ImmunoWay</w:t>
            </w:r>
          </w:p>
        </w:tc>
        <w:tc>
          <w:tcPr>
            <w:tcW w:w="2232" w:type="dxa"/>
            <w:tcMar>
              <w:top w:w="80" w:type="dxa"/>
              <w:left w:w="90" w:type="dxa"/>
              <w:bottom w:w="80" w:type="dxa"/>
              <w:right w:w="90" w:type="dxa"/>
            </w:tcMar>
            <w:vAlign w:val="center"/>
          </w:tcPr>
          <w:p w14:paraId="0DF7B346">
            <w:pPr>
              <w:spacing w:before="0" w:after="0" w:line="240" w:lineRule="auto"/>
              <w:jc w:val="center"/>
            </w:pPr>
            <w:r>
              <w:rPr>
                <w:rFonts w:ascii="Times New Roman" w:hAnsi="Times New Roman" w:eastAsia="Times New Roman" w:cs="Times New Roman"/>
                <w:b w:val="0"/>
                <w:color w:val="000000"/>
                <w:sz w:val="17"/>
              </w:rPr>
              <w:t>YM8539</w:t>
            </w:r>
          </w:p>
        </w:tc>
        <w:tc>
          <w:tcPr>
            <w:tcW w:w="2952" w:type="dxa"/>
            <w:tcMar>
              <w:top w:w="80" w:type="dxa"/>
              <w:left w:w="90" w:type="dxa"/>
              <w:bottom w:w="80" w:type="dxa"/>
              <w:right w:w="90" w:type="dxa"/>
            </w:tcMar>
            <w:vAlign w:val="center"/>
          </w:tcPr>
          <w:p w14:paraId="4ECDFB59">
            <w:pPr>
              <w:spacing w:before="0" w:after="0" w:line="240" w:lineRule="auto"/>
              <w:jc w:val="left"/>
            </w:pPr>
            <w:r>
              <w:rPr>
                <w:rFonts w:ascii="Times New Roman" w:hAnsi="Times New Roman" w:eastAsia="Times New Roman" w:cs="Times New Roman"/>
                <w:b w:val="0"/>
                <w:color w:val="000000"/>
                <w:sz w:val="17"/>
              </w:rPr>
              <w:t>1:500</w:t>
            </w:r>
          </w:p>
        </w:tc>
      </w:tr>
      <w:tr w14:paraId="5BE5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2F902145">
            <w:pPr>
              <w:spacing w:before="0" w:after="0" w:line="240" w:lineRule="auto"/>
              <w:jc w:val="center"/>
            </w:pPr>
            <w:r>
              <w:rPr>
                <w:rFonts w:ascii="Times New Roman" w:hAnsi="Times New Roman" w:eastAsia="Times New Roman" w:cs="Times New Roman"/>
                <w:b w:val="0"/>
                <w:color w:val="000000"/>
                <w:sz w:val="17"/>
              </w:rPr>
              <w:t>Western blotting</w:t>
            </w:r>
          </w:p>
        </w:tc>
        <w:tc>
          <w:tcPr>
            <w:tcW w:w="2592" w:type="dxa"/>
            <w:tcMar>
              <w:top w:w="80" w:type="dxa"/>
              <w:left w:w="90" w:type="dxa"/>
              <w:bottom w:w="80" w:type="dxa"/>
              <w:right w:w="90" w:type="dxa"/>
            </w:tcMar>
            <w:vAlign w:val="center"/>
          </w:tcPr>
          <w:p w14:paraId="6BC6A5D3">
            <w:pPr>
              <w:spacing w:before="0" w:after="0" w:line="240" w:lineRule="auto"/>
              <w:jc w:val="left"/>
            </w:pPr>
            <w:r>
              <w:rPr>
                <w:rFonts w:ascii="Times New Roman" w:hAnsi="Times New Roman" w:eastAsia="Times New Roman" w:cs="Times New Roman"/>
                <w:b w:val="0"/>
                <w:color w:val="000000"/>
                <w:sz w:val="17"/>
              </w:rPr>
              <w:t>α-SMA</w:t>
            </w:r>
          </w:p>
        </w:tc>
        <w:tc>
          <w:tcPr>
            <w:tcW w:w="1944" w:type="dxa"/>
            <w:tcMar>
              <w:top w:w="80" w:type="dxa"/>
              <w:left w:w="90" w:type="dxa"/>
              <w:bottom w:w="80" w:type="dxa"/>
              <w:right w:w="90" w:type="dxa"/>
            </w:tcMar>
            <w:vAlign w:val="center"/>
          </w:tcPr>
          <w:p w14:paraId="4CFF882F">
            <w:pPr>
              <w:spacing w:before="0" w:after="0" w:line="240" w:lineRule="auto"/>
              <w:jc w:val="center"/>
            </w:pPr>
            <w:r>
              <w:rPr>
                <w:rFonts w:ascii="Times New Roman" w:hAnsi="Times New Roman" w:eastAsia="Times New Roman" w:cs="Times New Roman"/>
                <w:b w:val="0"/>
                <w:color w:val="000000"/>
                <w:sz w:val="17"/>
              </w:rPr>
              <w:t>ImmunoWay</w:t>
            </w:r>
          </w:p>
        </w:tc>
        <w:tc>
          <w:tcPr>
            <w:tcW w:w="2232" w:type="dxa"/>
            <w:tcMar>
              <w:top w:w="80" w:type="dxa"/>
              <w:left w:w="90" w:type="dxa"/>
              <w:bottom w:w="80" w:type="dxa"/>
              <w:right w:w="90" w:type="dxa"/>
            </w:tcMar>
            <w:vAlign w:val="center"/>
          </w:tcPr>
          <w:p w14:paraId="3C8BAA8C">
            <w:pPr>
              <w:spacing w:before="0" w:after="0" w:line="240" w:lineRule="auto"/>
              <w:jc w:val="center"/>
            </w:pPr>
            <w:r>
              <w:rPr>
                <w:rFonts w:ascii="Times New Roman" w:hAnsi="Times New Roman" w:eastAsia="Times New Roman" w:cs="Times New Roman"/>
                <w:b w:val="0"/>
                <w:color w:val="000000"/>
                <w:sz w:val="17"/>
              </w:rPr>
              <w:t>YM8040</w:t>
            </w:r>
          </w:p>
        </w:tc>
        <w:tc>
          <w:tcPr>
            <w:tcW w:w="2952" w:type="dxa"/>
            <w:tcMar>
              <w:top w:w="80" w:type="dxa"/>
              <w:left w:w="90" w:type="dxa"/>
              <w:bottom w:w="80" w:type="dxa"/>
              <w:right w:w="90" w:type="dxa"/>
            </w:tcMar>
            <w:vAlign w:val="center"/>
          </w:tcPr>
          <w:p w14:paraId="7140A25C">
            <w:pPr>
              <w:spacing w:before="0" w:after="0" w:line="240" w:lineRule="auto"/>
              <w:jc w:val="left"/>
            </w:pPr>
            <w:r>
              <w:rPr>
                <w:rFonts w:ascii="Times New Roman" w:hAnsi="Times New Roman" w:eastAsia="Times New Roman" w:cs="Times New Roman"/>
                <w:b w:val="0"/>
                <w:color w:val="000000"/>
                <w:sz w:val="17"/>
              </w:rPr>
              <w:t>1:1000</w:t>
            </w:r>
          </w:p>
        </w:tc>
      </w:tr>
      <w:tr w14:paraId="5AE0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685BE62F">
            <w:pPr>
              <w:spacing w:before="0" w:after="0" w:line="240" w:lineRule="auto"/>
              <w:jc w:val="center"/>
            </w:pPr>
            <w:r>
              <w:rPr>
                <w:rFonts w:ascii="Times New Roman" w:hAnsi="Times New Roman" w:eastAsia="Times New Roman" w:cs="Times New Roman"/>
                <w:b w:val="0"/>
                <w:color w:val="000000"/>
                <w:sz w:val="17"/>
              </w:rPr>
              <w:t>Western blotting</w:t>
            </w:r>
          </w:p>
        </w:tc>
        <w:tc>
          <w:tcPr>
            <w:tcW w:w="2592" w:type="dxa"/>
            <w:tcMar>
              <w:top w:w="80" w:type="dxa"/>
              <w:left w:w="90" w:type="dxa"/>
              <w:bottom w:w="80" w:type="dxa"/>
              <w:right w:w="90" w:type="dxa"/>
            </w:tcMar>
            <w:vAlign w:val="center"/>
          </w:tcPr>
          <w:p w14:paraId="7325EE31">
            <w:pPr>
              <w:spacing w:before="0" w:after="0" w:line="240" w:lineRule="auto"/>
              <w:jc w:val="left"/>
            </w:pPr>
            <w:r>
              <w:rPr>
                <w:rFonts w:ascii="Times New Roman" w:hAnsi="Times New Roman" w:eastAsia="Times New Roman" w:cs="Times New Roman"/>
                <w:b w:val="0"/>
                <w:color w:val="000000"/>
                <w:sz w:val="17"/>
              </w:rPr>
              <w:t>Smad2/3</w:t>
            </w:r>
          </w:p>
        </w:tc>
        <w:tc>
          <w:tcPr>
            <w:tcW w:w="1944" w:type="dxa"/>
            <w:tcMar>
              <w:top w:w="80" w:type="dxa"/>
              <w:left w:w="90" w:type="dxa"/>
              <w:bottom w:w="80" w:type="dxa"/>
              <w:right w:w="90" w:type="dxa"/>
            </w:tcMar>
            <w:vAlign w:val="center"/>
          </w:tcPr>
          <w:p w14:paraId="39FA3D89">
            <w:pPr>
              <w:spacing w:before="0" w:after="0" w:line="240" w:lineRule="auto"/>
              <w:jc w:val="center"/>
            </w:pPr>
            <w:r>
              <w:rPr>
                <w:rFonts w:ascii="Times New Roman" w:hAnsi="Times New Roman" w:eastAsia="Times New Roman" w:cs="Times New Roman"/>
                <w:b w:val="0"/>
                <w:color w:val="000000"/>
                <w:sz w:val="17"/>
              </w:rPr>
              <w:t>Proteintech</w:t>
            </w:r>
          </w:p>
        </w:tc>
        <w:tc>
          <w:tcPr>
            <w:tcW w:w="2232" w:type="dxa"/>
            <w:tcMar>
              <w:top w:w="80" w:type="dxa"/>
              <w:left w:w="90" w:type="dxa"/>
              <w:bottom w:w="80" w:type="dxa"/>
              <w:right w:w="90" w:type="dxa"/>
            </w:tcMar>
            <w:vAlign w:val="center"/>
          </w:tcPr>
          <w:p w14:paraId="48BC2AB0">
            <w:pPr>
              <w:spacing w:before="0" w:after="0" w:line="240" w:lineRule="auto"/>
              <w:jc w:val="center"/>
            </w:pPr>
            <w:r>
              <w:rPr>
                <w:rFonts w:ascii="Times New Roman" w:hAnsi="Times New Roman" w:eastAsia="Times New Roman" w:cs="Times New Roman"/>
                <w:b w:val="0"/>
                <w:color w:val="000000"/>
                <w:sz w:val="17"/>
              </w:rPr>
              <w:t>87035-1-RR</w:t>
            </w:r>
          </w:p>
        </w:tc>
        <w:tc>
          <w:tcPr>
            <w:tcW w:w="2952" w:type="dxa"/>
            <w:tcMar>
              <w:top w:w="80" w:type="dxa"/>
              <w:left w:w="90" w:type="dxa"/>
              <w:bottom w:w="80" w:type="dxa"/>
              <w:right w:w="90" w:type="dxa"/>
            </w:tcMar>
            <w:vAlign w:val="center"/>
          </w:tcPr>
          <w:p w14:paraId="33ECF413">
            <w:pPr>
              <w:spacing w:before="0" w:after="0" w:line="240" w:lineRule="auto"/>
              <w:jc w:val="left"/>
            </w:pPr>
            <w:r>
              <w:rPr>
                <w:rFonts w:ascii="Times New Roman" w:hAnsi="Times New Roman" w:eastAsia="Times New Roman" w:cs="Times New Roman"/>
                <w:b w:val="0"/>
                <w:color w:val="000000"/>
                <w:sz w:val="17"/>
              </w:rPr>
              <w:t>1:5000</w:t>
            </w:r>
          </w:p>
        </w:tc>
      </w:tr>
      <w:tr w14:paraId="28A97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29C1232B">
            <w:pPr>
              <w:spacing w:before="0" w:after="0" w:line="240" w:lineRule="auto"/>
              <w:jc w:val="center"/>
            </w:pPr>
            <w:r>
              <w:rPr>
                <w:rFonts w:ascii="Times New Roman" w:hAnsi="Times New Roman" w:eastAsia="Times New Roman" w:cs="Times New Roman"/>
                <w:b w:val="0"/>
                <w:color w:val="000000"/>
                <w:sz w:val="17"/>
              </w:rPr>
              <w:t>Western blotting</w:t>
            </w:r>
          </w:p>
        </w:tc>
        <w:tc>
          <w:tcPr>
            <w:tcW w:w="2592" w:type="dxa"/>
            <w:tcMar>
              <w:top w:w="80" w:type="dxa"/>
              <w:left w:w="90" w:type="dxa"/>
              <w:bottom w:w="80" w:type="dxa"/>
              <w:right w:w="90" w:type="dxa"/>
            </w:tcMar>
            <w:vAlign w:val="center"/>
          </w:tcPr>
          <w:p w14:paraId="2FC56005">
            <w:pPr>
              <w:spacing w:before="0" w:after="0" w:line="240" w:lineRule="auto"/>
              <w:jc w:val="left"/>
            </w:pPr>
            <w:r>
              <w:rPr>
                <w:rFonts w:ascii="Times New Roman" w:hAnsi="Times New Roman" w:eastAsia="Times New Roman" w:cs="Times New Roman"/>
                <w:b w:val="0"/>
                <w:color w:val="000000"/>
                <w:sz w:val="17"/>
              </w:rPr>
              <w:t>TGF-β1</w:t>
            </w:r>
          </w:p>
        </w:tc>
        <w:tc>
          <w:tcPr>
            <w:tcW w:w="1944" w:type="dxa"/>
            <w:tcMar>
              <w:top w:w="80" w:type="dxa"/>
              <w:left w:w="90" w:type="dxa"/>
              <w:bottom w:w="80" w:type="dxa"/>
              <w:right w:w="90" w:type="dxa"/>
            </w:tcMar>
            <w:vAlign w:val="center"/>
          </w:tcPr>
          <w:p w14:paraId="39D8FF3A">
            <w:pPr>
              <w:spacing w:before="0" w:after="0" w:line="240" w:lineRule="auto"/>
              <w:jc w:val="center"/>
            </w:pPr>
            <w:r>
              <w:rPr>
                <w:rFonts w:ascii="Times New Roman" w:hAnsi="Times New Roman" w:eastAsia="Times New Roman" w:cs="Times New Roman"/>
                <w:b w:val="0"/>
                <w:color w:val="000000"/>
                <w:sz w:val="17"/>
              </w:rPr>
              <w:t>Proteintech</w:t>
            </w:r>
          </w:p>
        </w:tc>
        <w:tc>
          <w:tcPr>
            <w:tcW w:w="2232" w:type="dxa"/>
            <w:tcMar>
              <w:top w:w="80" w:type="dxa"/>
              <w:left w:w="90" w:type="dxa"/>
              <w:bottom w:w="80" w:type="dxa"/>
              <w:right w:w="90" w:type="dxa"/>
            </w:tcMar>
            <w:vAlign w:val="center"/>
          </w:tcPr>
          <w:p w14:paraId="496545B4">
            <w:pPr>
              <w:spacing w:before="0" w:after="0" w:line="240" w:lineRule="auto"/>
              <w:jc w:val="center"/>
            </w:pPr>
            <w:r>
              <w:rPr>
                <w:rFonts w:ascii="Times New Roman" w:hAnsi="Times New Roman" w:eastAsia="Times New Roman" w:cs="Times New Roman"/>
                <w:b w:val="0"/>
                <w:color w:val="000000"/>
                <w:sz w:val="17"/>
              </w:rPr>
              <w:t>81746-2-RR</w:t>
            </w:r>
          </w:p>
        </w:tc>
        <w:tc>
          <w:tcPr>
            <w:tcW w:w="2952" w:type="dxa"/>
            <w:tcMar>
              <w:top w:w="80" w:type="dxa"/>
              <w:left w:w="90" w:type="dxa"/>
              <w:bottom w:w="80" w:type="dxa"/>
              <w:right w:w="90" w:type="dxa"/>
            </w:tcMar>
            <w:vAlign w:val="center"/>
          </w:tcPr>
          <w:p w14:paraId="3B23C3D9">
            <w:pPr>
              <w:spacing w:before="0" w:after="0" w:line="240" w:lineRule="auto"/>
              <w:jc w:val="left"/>
            </w:pPr>
            <w:r>
              <w:rPr>
                <w:rFonts w:ascii="Times New Roman" w:hAnsi="Times New Roman" w:eastAsia="Times New Roman" w:cs="Times New Roman"/>
                <w:b w:val="0"/>
                <w:color w:val="000000"/>
                <w:sz w:val="17"/>
              </w:rPr>
              <w:t>1:1000</w:t>
            </w:r>
          </w:p>
        </w:tc>
      </w:tr>
      <w:tr w14:paraId="1C36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1F761C7E">
            <w:pPr>
              <w:spacing w:before="0" w:after="0" w:line="240" w:lineRule="auto"/>
              <w:jc w:val="center"/>
            </w:pPr>
            <w:r>
              <w:rPr>
                <w:rFonts w:ascii="Times New Roman" w:hAnsi="Times New Roman" w:eastAsia="Times New Roman" w:cs="Times New Roman"/>
                <w:b w:val="0"/>
                <w:color w:val="000000"/>
                <w:sz w:val="17"/>
              </w:rPr>
              <w:t>Western blotting</w:t>
            </w:r>
          </w:p>
        </w:tc>
        <w:tc>
          <w:tcPr>
            <w:tcW w:w="2592" w:type="dxa"/>
            <w:tcMar>
              <w:top w:w="80" w:type="dxa"/>
              <w:left w:w="90" w:type="dxa"/>
              <w:bottom w:w="80" w:type="dxa"/>
              <w:right w:w="90" w:type="dxa"/>
            </w:tcMar>
            <w:vAlign w:val="center"/>
          </w:tcPr>
          <w:p w14:paraId="558AAB8E">
            <w:pPr>
              <w:spacing w:before="0" w:after="0" w:line="240" w:lineRule="auto"/>
              <w:jc w:val="left"/>
            </w:pPr>
            <w:r>
              <w:rPr>
                <w:rFonts w:ascii="Times New Roman" w:hAnsi="Times New Roman" w:eastAsia="Times New Roman" w:cs="Times New Roman"/>
                <w:b w:val="0"/>
                <w:color w:val="000000"/>
                <w:sz w:val="17"/>
              </w:rPr>
              <w:t>ITGα7</w:t>
            </w:r>
          </w:p>
        </w:tc>
        <w:tc>
          <w:tcPr>
            <w:tcW w:w="1944" w:type="dxa"/>
            <w:tcMar>
              <w:top w:w="80" w:type="dxa"/>
              <w:left w:w="90" w:type="dxa"/>
              <w:bottom w:w="80" w:type="dxa"/>
              <w:right w:w="90" w:type="dxa"/>
            </w:tcMar>
            <w:vAlign w:val="center"/>
          </w:tcPr>
          <w:p w14:paraId="2DB22148">
            <w:pPr>
              <w:spacing w:before="0" w:after="0" w:line="240" w:lineRule="auto"/>
              <w:jc w:val="center"/>
            </w:pPr>
            <w:r>
              <w:rPr>
                <w:rFonts w:ascii="Times New Roman" w:hAnsi="Times New Roman" w:eastAsia="Times New Roman" w:cs="Times New Roman"/>
                <w:b w:val="0"/>
                <w:color w:val="000000"/>
                <w:sz w:val="17"/>
              </w:rPr>
              <w:t>Bioss</w:t>
            </w:r>
          </w:p>
        </w:tc>
        <w:tc>
          <w:tcPr>
            <w:tcW w:w="2232" w:type="dxa"/>
            <w:tcMar>
              <w:top w:w="80" w:type="dxa"/>
              <w:left w:w="90" w:type="dxa"/>
              <w:bottom w:w="80" w:type="dxa"/>
              <w:right w:w="90" w:type="dxa"/>
            </w:tcMar>
            <w:vAlign w:val="center"/>
          </w:tcPr>
          <w:p w14:paraId="62AC6160">
            <w:pPr>
              <w:spacing w:before="0" w:after="0" w:line="240" w:lineRule="auto"/>
              <w:jc w:val="center"/>
            </w:pPr>
            <w:r>
              <w:rPr>
                <w:rFonts w:ascii="Times New Roman" w:hAnsi="Times New Roman" w:eastAsia="Times New Roman" w:cs="Times New Roman"/>
                <w:b w:val="0"/>
                <w:color w:val="000000"/>
                <w:sz w:val="17"/>
              </w:rPr>
              <w:t>bs-1816R</w:t>
            </w:r>
          </w:p>
        </w:tc>
        <w:tc>
          <w:tcPr>
            <w:tcW w:w="2952" w:type="dxa"/>
            <w:tcMar>
              <w:top w:w="80" w:type="dxa"/>
              <w:left w:w="90" w:type="dxa"/>
              <w:bottom w:w="80" w:type="dxa"/>
              <w:right w:w="90" w:type="dxa"/>
            </w:tcMar>
            <w:vAlign w:val="center"/>
          </w:tcPr>
          <w:p w14:paraId="2AE5AE6D">
            <w:pPr>
              <w:spacing w:before="0" w:after="0" w:line="240" w:lineRule="auto"/>
              <w:jc w:val="left"/>
            </w:pPr>
            <w:r>
              <w:rPr>
                <w:rFonts w:ascii="Times New Roman" w:hAnsi="Times New Roman" w:eastAsia="Times New Roman" w:cs="Times New Roman"/>
                <w:b w:val="0"/>
                <w:color w:val="000000"/>
                <w:sz w:val="17"/>
              </w:rPr>
              <w:t>1:500</w:t>
            </w:r>
          </w:p>
        </w:tc>
      </w:tr>
      <w:tr w14:paraId="5505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0BF3047C">
            <w:pPr>
              <w:spacing w:before="0" w:after="0" w:line="240" w:lineRule="auto"/>
              <w:jc w:val="center"/>
            </w:pPr>
            <w:r>
              <w:rPr>
                <w:rFonts w:ascii="Times New Roman" w:hAnsi="Times New Roman" w:eastAsia="Times New Roman" w:cs="Times New Roman"/>
                <w:b w:val="0"/>
                <w:color w:val="000000"/>
                <w:sz w:val="17"/>
              </w:rPr>
              <w:t>Western blotting</w:t>
            </w:r>
          </w:p>
        </w:tc>
        <w:tc>
          <w:tcPr>
            <w:tcW w:w="2592" w:type="dxa"/>
            <w:tcMar>
              <w:top w:w="80" w:type="dxa"/>
              <w:left w:w="90" w:type="dxa"/>
              <w:bottom w:w="80" w:type="dxa"/>
              <w:right w:w="90" w:type="dxa"/>
            </w:tcMar>
            <w:vAlign w:val="center"/>
          </w:tcPr>
          <w:p w14:paraId="20FB9B7C">
            <w:pPr>
              <w:spacing w:before="0" w:after="0" w:line="240" w:lineRule="auto"/>
              <w:jc w:val="left"/>
            </w:pPr>
            <w:r>
              <w:rPr>
                <w:rFonts w:ascii="Times New Roman" w:hAnsi="Times New Roman" w:eastAsia="Times New Roman" w:cs="Times New Roman"/>
                <w:b w:val="0"/>
                <w:color w:val="000000"/>
                <w:sz w:val="17"/>
              </w:rPr>
              <w:t>GAPDH (HRP-conjugated)</w:t>
            </w:r>
          </w:p>
        </w:tc>
        <w:tc>
          <w:tcPr>
            <w:tcW w:w="1944" w:type="dxa"/>
            <w:tcMar>
              <w:top w:w="80" w:type="dxa"/>
              <w:left w:w="90" w:type="dxa"/>
              <w:bottom w:w="80" w:type="dxa"/>
              <w:right w:w="90" w:type="dxa"/>
            </w:tcMar>
            <w:vAlign w:val="center"/>
          </w:tcPr>
          <w:p w14:paraId="1556896F">
            <w:pPr>
              <w:spacing w:before="0" w:after="0" w:line="240" w:lineRule="auto"/>
              <w:jc w:val="center"/>
            </w:pPr>
            <w:r>
              <w:rPr>
                <w:rFonts w:ascii="Times New Roman" w:hAnsi="Times New Roman" w:eastAsia="Times New Roman" w:cs="Times New Roman"/>
                <w:b w:val="0"/>
                <w:color w:val="000000"/>
                <w:sz w:val="17"/>
              </w:rPr>
              <w:t>Proteintech</w:t>
            </w:r>
          </w:p>
        </w:tc>
        <w:tc>
          <w:tcPr>
            <w:tcW w:w="2232" w:type="dxa"/>
            <w:tcMar>
              <w:top w:w="80" w:type="dxa"/>
              <w:left w:w="90" w:type="dxa"/>
              <w:bottom w:w="80" w:type="dxa"/>
              <w:right w:w="90" w:type="dxa"/>
            </w:tcMar>
            <w:vAlign w:val="center"/>
          </w:tcPr>
          <w:p w14:paraId="123E55A0">
            <w:pPr>
              <w:spacing w:before="0" w:after="0" w:line="240" w:lineRule="auto"/>
              <w:jc w:val="center"/>
            </w:pPr>
            <w:r>
              <w:rPr>
                <w:rFonts w:ascii="Times New Roman" w:hAnsi="Times New Roman" w:eastAsia="Times New Roman" w:cs="Times New Roman"/>
                <w:b w:val="0"/>
                <w:color w:val="000000"/>
                <w:sz w:val="17"/>
              </w:rPr>
              <w:t>HRP-60004</w:t>
            </w:r>
          </w:p>
        </w:tc>
        <w:tc>
          <w:tcPr>
            <w:tcW w:w="2952" w:type="dxa"/>
            <w:tcMar>
              <w:top w:w="80" w:type="dxa"/>
              <w:left w:w="90" w:type="dxa"/>
              <w:bottom w:w="80" w:type="dxa"/>
              <w:right w:w="90" w:type="dxa"/>
            </w:tcMar>
            <w:vAlign w:val="center"/>
          </w:tcPr>
          <w:p w14:paraId="1D844FF7">
            <w:pPr>
              <w:spacing w:before="0" w:after="0" w:line="240" w:lineRule="auto"/>
              <w:jc w:val="left"/>
            </w:pPr>
            <w:r>
              <w:rPr>
                <w:rFonts w:ascii="Times New Roman" w:hAnsi="Times New Roman" w:eastAsia="Times New Roman" w:cs="Times New Roman"/>
                <w:b w:val="0"/>
                <w:color w:val="000000"/>
                <w:sz w:val="17"/>
              </w:rPr>
              <w:t>1:10000</w:t>
            </w:r>
          </w:p>
        </w:tc>
      </w:tr>
      <w:tr w14:paraId="10854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088" w:type="dxa"/>
            <w:tcMar>
              <w:top w:w="80" w:type="dxa"/>
              <w:left w:w="90" w:type="dxa"/>
              <w:bottom w:w="80" w:type="dxa"/>
              <w:right w:w="90" w:type="dxa"/>
            </w:tcMar>
            <w:vAlign w:val="center"/>
          </w:tcPr>
          <w:p w14:paraId="227ABB89">
            <w:pPr>
              <w:spacing w:before="0" w:after="0" w:line="240" w:lineRule="auto"/>
              <w:jc w:val="center"/>
            </w:pPr>
            <w:r>
              <w:rPr>
                <w:rFonts w:ascii="Times New Roman" w:hAnsi="Times New Roman" w:eastAsia="Times New Roman" w:cs="Times New Roman"/>
                <w:b w:val="0"/>
                <w:color w:val="000000"/>
                <w:sz w:val="17"/>
              </w:rPr>
              <w:t>Western blotting</w:t>
            </w:r>
          </w:p>
        </w:tc>
        <w:tc>
          <w:tcPr>
            <w:tcW w:w="2592" w:type="dxa"/>
            <w:tcMar>
              <w:top w:w="80" w:type="dxa"/>
              <w:left w:w="90" w:type="dxa"/>
              <w:bottom w:w="80" w:type="dxa"/>
              <w:right w:w="90" w:type="dxa"/>
            </w:tcMar>
            <w:vAlign w:val="center"/>
          </w:tcPr>
          <w:p w14:paraId="076B82DD">
            <w:pPr>
              <w:spacing w:before="0" w:after="0" w:line="240" w:lineRule="auto"/>
              <w:jc w:val="left"/>
            </w:pPr>
            <w:r>
              <w:rPr>
                <w:rFonts w:ascii="Times New Roman" w:hAnsi="Times New Roman" w:eastAsia="Times New Roman" w:cs="Times New Roman"/>
                <w:b w:val="0"/>
                <w:color w:val="000000"/>
                <w:sz w:val="17"/>
              </w:rPr>
              <w:t>Goat anti-rabbit secondary antibody</w:t>
            </w:r>
          </w:p>
        </w:tc>
        <w:tc>
          <w:tcPr>
            <w:tcW w:w="1944" w:type="dxa"/>
            <w:tcMar>
              <w:top w:w="80" w:type="dxa"/>
              <w:left w:w="90" w:type="dxa"/>
              <w:bottom w:w="80" w:type="dxa"/>
              <w:right w:w="90" w:type="dxa"/>
            </w:tcMar>
            <w:vAlign w:val="center"/>
          </w:tcPr>
          <w:p w14:paraId="0B1EC3F6">
            <w:pPr>
              <w:spacing w:before="0" w:after="0" w:line="240" w:lineRule="auto"/>
              <w:jc w:val="center"/>
            </w:pPr>
            <w:r>
              <w:rPr>
                <w:rFonts w:ascii="Times New Roman" w:hAnsi="Times New Roman" w:eastAsia="Times New Roman" w:cs="Times New Roman"/>
                <w:b w:val="0"/>
                <w:color w:val="000000"/>
                <w:sz w:val="17"/>
              </w:rPr>
              <w:t>Proteintech</w:t>
            </w:r>
          </w:p>
        </w:tc>
        <w:tc>
          <w:tcPr>
            <w:tcW w:w="2232" w:type="dxa"/>
            <w:tcMar>
              <w:top w:w="80" w:type="dxa"/>
              <w:left w:w="90" w:type="dxa"/>
              <w:bottom w:w="80" w:type="dxa"/>
              <w:right w:w="90" w:type="dxa"/>
            </w:tcMar>
            <w:vAlign w:val="center"/>
          </w:tcPr>
          <w:p w14:paraId="0D79D987">
            <w:pPr>
              <w:spacing w:before="0" w:after="0" w:line="240" w:lineRule="auto"/>
              <w:jc w:val="center"/>
            </w:pPr>
            <w:r>
              <w:rPr>
                <w:rFonts w:ascii="Times New Roman" w:hAnsi="Times New Roman" w:eastAsia="Times New Roman" w:cs="Times New Roman"/>
                <w:b w:val="0"/>
                <w:color w:val="000000"/>
                <w:sz w:val="17"/>
              </w:rPr>
              <w:t>RGAR001</w:t>
            </w:r>
          </w:p>
        </w:tc>
        <w:tc>
          <w:tcPr>
            <w:tcW w:w="2952" w:type="dxa"/>
            <w:tcMar>
              <w:top w:w="80" w:type="dxa"/>
              <w:left w:w="90" w:type="dxa"/>
              <w:bottom w:w="80" w:type="dxa"/>
              <w:right w:w="90" w:type="dxa"/>
            </w:tcMar>
            <w:vAlign w:val="center"/>
          </w:tcPr>
          <w:p w14:paraId="7A3EDD53">
            <w:pPr>
              <w:spacing w:before="0" w:after="0" w:line="240" w:lineRule="auto"/>
              <w:jc w:val="left"/>
            </w:pPr>
            <w:r>
              <w:rPr>
                <w:rFonts w:ascii="Times New Roman" w:hAnsi="Times New Roman" w:eastAsia="Times New Roman" w:cs="Times New Roman"/>
                <w:b w:val="0"/>
                <w:color w:val="000000"/>
                <w:sz w:val="17"/>
              </w:rPr>
              <w:t>1:10000</w:t>
            </w:r>
          </w:p>
        </w:tc>
      </w:tr>
    </w:tbl>
    <w:p w14:paraId="4C959F92">
      <w:pPr>
        <w:spacing w:before="80" w:after="80" w:line="240" w:lineRule="auto"/>
        <w:rPr>
          <w:rFonts w:hint="default" w:ascii="Times New Roman" w:hAnsi="Times New Roman" w:cs="Times New Roman"/>
          <w:b/>
          <w:i w:val="0"/>
          <w:color w:val="auto"/>
          <w:sz w:val="40"/>
        </w:rPr>
        <w:sectPr>
          <w:footerReference r:id="rId5" w:type="default"/>
          <w:pgSz w:w="15840" w:h="12240" w:orient="landscape"/>
          <w:pgMar w:top="1440" w:right="1440" w:bottom="1440" w:left="1440" w:header="708" w:footer="708" w:gutter="0"/>
          <w:cols w:space="720" w:num="1"/>
          <w:docGrid w:linePitch="360" w:charSpace="0"/>
        </w:sectPr>
      </w:pPr>
      <w:r>
        <w:rPr>
          <w:rFonts w:ascii="Times New Roman" w:hAnsi="Times New Roman" w:eastAsia="Times New Roman" w:cs="Times New Roman"/>
          <w:b/>
          <w:color w:val="000000"/>
          <w:sz w:val="18"/>
        </w:rPr>
        <w:t xml:space="preserve">Note: </w:t>
      </w:r>
      <w:r>
        <w:rPr>
          <w:rFonts w:ascii="Times New Roman" w:hAnsi="Times New Roman" w:eastAsia="Times New Roman" w:cs="Times New Roman"/>
          <w:b w:val="0"/>
          <w:color w:val="000000"/>
          <w:sz w:val="18"/>
        </w:rPr>
        <w:t>Flow-cytometry antibodies were incubated for 30 min on ice in the dark. Immunofluorescence and Western blot primary antibodies were incubated overnight at 4 °C and for 16 h at 4 °C, respectively. HLA-DR, human leukocyte antigen-DR; eNOS, endothelial nitric oxide synthase; α-SMA, alpha-smooth muscle actin; MMP9, matrix metalloproteinase 9; p-Smad2/3, phosphorylated Smad2/3; TGF-β1, transforming growth factor beta 1; ITGα7, integrin alpha 7; GAPDH, glyceraldehyde-3-phosphate dehydrogenase; HRP, horseradish peroxidase.</w:t>
      </w:r>
    </w:p>
    <w:p w14:paraId="3F5312FF">
      <w:pPr>
        <w:spacing w:before="0" w:after="80"/>
        <w:jc w:val="both"/>
        <w:rPr>
          <w:rFonts w:hint="default" w:ascii="Times New Roman" w:hAnsi="Times New Roman" w:cs="Times New Roman"/>
          <w:b/>
          <w:i w:val="0"/>
          <w:color w:val="auto"/>
          <w:sz w:val="28"/>
          <w:szCs w:val="28"/>
        </w:rPr>
      </w:pPr>
    </w:p>
    <w:p w14:paraId="20DA2219">
      <w:pPr>
        <w:spacing w:before="0" w:after="80"/>
        <w:jc w:val="both"/>
        <w:rPr>
          <w:rFonts w:hint="default" w:ascii="Times New Roman" w:hAnsi="Times New Roman" w:cs="Times New Roman"/>
          <w:color w:val="auto"/>
          <w:sz w:val="28"/>
          <w:szCs w:val="28"/>
        </w:rPr>
      </w:pPr>
      <w:r>
        <w:rPr>
          <w:rFonts w:hint="default" w:ascii="Times New Roman" w:hAnsi="Times New Roman" w:cs="Times New Roman"/>
          <w:b/>
          <w:i w:val="0"/>
          <w:color w:val="auto"/>
          <w:sz w:val="28"/>
          <w:szCs w:val="28"/>
        </w:rPr>
        <w:t>Supplementary Material S2</w:t>
      </w:r>
    </w:p>
    <w:p w14:paraId="24D3CF32">
      <w:pPr>
        <w:pStyle w:val="3"/>
        <w:keepNex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 xml:space="preserve">S2.1 Animal source, acclimatization, housing, and husbandry </w:t>
      </w:r>
    </w:p>
    <w:p w14:paraId="270DDC88">
      <w:pPr>
        <w:spacing w:before="0" w:after="120" w:line="300" w:lineRule="auto"/>
        <w:jc w:val="both"/>
        <w:rPr>
          <w:rFonts w:hint="default" w:ascii="Times New Roman" w:hAnsi="Times New Roman" w:cs="Times New Roman"/>
          <w:color w:val="auto"/>
        </w:rPr>
      </w:pPr>
      <w:r>
        <w:rPr>
          <w:rFonts w:hint="default" w:ascii="Times New Roman" w:hAnsi="Times New Roman" w:cs="Times New Roman"/>
          <w:b w:val="0"/>
          <w:i w:val="0"/>
          <w:color w:val="auto"/>
          <w:sz w:val="22"/>
        </w:rPr>
        <w:t>A total of 55 male Sprague–Dawley rats were obtained from the Laboratory Animal Center of Xuzhou Medical University (Xuzhou, China) and maintained in a specific pathogen-free barrier facility. Animals were acclimatized for 7 days with free access to standard chow and water. After acclimatization, five control rats continued to receive standard chow, whereas the remaining 50 rats were assigned to the high-fat-diet model-induction protocol described in Methods 2.1.</w:t>
      </w:r>
    </w:p>
    <w:p w14:paraId="5B327683">
      <w:pPr>
        <w:spacing w:before="0" w:after="120" w:line="300" w:lineRule="auto"/>
        <w:jc w:val="both"/>
        <w:rPr>
          <w:rFonts w:hint="default" w:ascii="Times New Roman" w:hAnsi="Times New Roman" w:cs="Times New Roman"/>
          <w:color w:val="auto"/>
        </w:rPr>
      </w:pPr>
      <w:r>
        <w:rPr>
          <w:rFonts w:hint="default" w:ascii="Times New Roman" w:hAnsi="Times New Roman" w:cs="Times New Roman"/>
          <w:b w:val="0"/>
          <w:i w:val="0"/>
          <w:color w:val="auto"/>
          <w:sz w:val="22"/>
        </w:rPr>
        <w:t>The animal room was maintained at 23 ± 1 °C and 30%–70% relative humidity under a 12-h light/12-h dark cycle. Five rats were housed per cage. Animals had ad libitum access to water and their assigned diets. Bedding and nesting materials were provided as environmental enrichment.</w:t>
      </w:r>
    </w:p>
    <w:p w14:paraId="14488E7B">
      <w:pPr>
        <w:pStyle w:val="3"/>
        <w:keepNex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 xml:space="preserve">S2.2 Control of potential confounding and operational blinding </w:t>
      </w:r>
    </w:p>
    <w:p w14:paraId="51D7E984">
      <w:pPr>
        <w:spacing w:before="0" w:after="120" w:line="300" w:lineRule="auto"/>
        <w:jc w:val="both"/>
        <w:rPr>
          <w:rFonts w:hint="default" w:ascii="Times New Roman" w:hAnsi="Times New Roman" w:cs="Times New Roman"/>
          <w:color w:val="auto"/>
        </w:rPr>
      </w:pPr>
      <w:r>
        <w:rPr>
          <w:rFonts w:hint="default" w:ascii="Times New Roman" w:hAnsi="Times New Roman" w:cs="Times New Roman"/>
          <w:b w:val="0"/>
          <w:i w:val="0"/>
          <w:color w:val="auto"/>
          <w:sz w:val="22"/>
        </w:rPr>
        <w:t>The 25 eligible DMED rats used in the treatment experiment were selected and allocated to the five DMED-related groups by a random-number table, without stratification, blocking, or balancing according to body weight or blood glucose. Baseline body weight and blood glucose were comparable among groups.</w:t>
      </w:r>
    </w:p>
    <w:p w14:paraId="375F6E35">
      <w:pPr>
        <w:spacing w:before="0" w:after="120" w:line="300" w:lineRule="auto"/>
        <w:jc w:val="both"/>
        <w:rPr>
          <w:rFonts w:hint="default" w:ascii="Times New Roman" w:hAnsi="Times New Roman" w:cs="Times New Roman"/>
          <w:color w:val="auto"/>
        </w:rPr>
      </w:pPr>
      <w:r>
        <w:rPr>
          <w:rFonts w:hint="default" w:ascii="Times New Roman" w:hAnsi="Times New Roman" w:cs="Times New Roman"/>
          <w:b w:val="0"/>
          <w:i w:val="0"/>
          <w:color w:val="auto"/>
          <w:sz w:val="22"/>
        </w:rPr>
        <w:t>The order of treatment administration, ICP/MAP measurement, and tissue collection was randomized. Cage positions were randomly assigned. Except for the MSCs→PRP group, whose experimental timing necessarily differed because of its prespecified sequential regimen, the other groups were studied during the same time periods under the same environmental and equipment conditions. Samples from different groups were processed concurrently within the same batches for Western blotting, histology, and immunofluorescence to minimize batch effects.</w:t>
      </w:r>
    </w:p>
    <w:p w14:paraId="293A61CB">
      <w:pPr>
        <w:spacing w:before="0" w:after="120" w:line="300" w:lineRule="auto"/>
        <w:jc w:val="both"/>
        <w:rPr>
          <w:rFonts w:hint="default" w:ascii="Times New Roman" w:hAnsi="Times New Roman" w:cs="Times New Roman"/>
          <w:color w:val="auto"/>
        </w:rPr>
      </w:pPr>
      <w:r>
        <w:rPr>
          <w:rFonts w:hint="default" w:ascii="Times New Roman" w:hAnsi="Times New Roman" w:cs="Times New Roman"/>
          <w:b w:val="0"/>
          <w:i w:val="0"/>
          <w:color w:val="auto"/>
          <w:sz w:val="22"/>
        </w:rPr>
        <w:t>Personnel responsible for treatment administration, ICP/MAP measurement, histological and immunofluorescence image selection and quantification, Western blot densitometry, proteomic analysis, and statistical analysis were blinded to group allocation. Animals and collected samples were labeled with random identification codes so that group identity was not directly apparent during these procedures.</w:t>
      </w:r>
    </w:p>
    <w:p w14:paraId="42A88CD4">
      <w:pPr>
        <w:pStyle w:val="3"/>
        <w:keepNex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 xml:space="preserve">S2.3 Anesthesia and measures to minimize pain and distress </w:t>
      </w:r>
    </w:p>
    <w:p w14:paraId="1AE25446">
      <w:pPr>
        <w:spacing w:before="0" w:after="120" w:line="300" w:lineRule="auto"/>
        <w:jc w:val="both"/>
        <w:rPr>
          <w:rFonts w:hint="default" w:ascii="Times New Roman" w:hAnsi="Times New Roman" w:cs="Times New Roman"/>
          <w:color w:val="auto"/>
        </w:rPr>
      </w:pPr>
      <w:r>
        <w:rPr>
          <w:rFonts w:hint="default" w:ascii="Times New Roman" w:hAnsi="Times New Roman" w:cs="Times New Roman"/>
          <w:b w:val="0"/>
          <w:i w:val="0"/>
          <w:color w:val="auto"/>
          <w:sz w:val="22"/>
        </w:rPr>
        <w:t>Procedures including intracavernous injection, ICP/MAP assessment and electrical stimulation, STZ administration, APO injection, and blood collection were performed under inhalational anesthesia with 2% isoflurane (RWD Life Science Co., Ltd., Shenzhen, China). Anesthesia was maintained through a face mask using oxygen as the carrier gas at 400 mL/min. During APO screening, anesthesia was used only briefly for the injection procedure; it was then discontinued, and rats were allowed to recover fully before the 10-min resting period and subsequent 60-min observation of erectile responses.</w:t>
      </w:r>
    </w:p>
    <w:p w14:paraId="2F58F016">
      <w:pPr>
        <w:spacing w:before="0" w:after="120" w:line="300" w:lineRule="auto"/>
        <w:jc w:val="both"/>
        <w:rPr>
          <w:rFonts w:hint="default" w:ascii="Times New Roman" w:hAnsi="Times New Roman" w:cs="Times New Roman"/>
          <w:color w:val="auto"/>
        </w:rPr>
      </w:pPr>
      <w:r>
        <w:rPr>
          <w:rFonts w:hint="default" w:ascii="Times New Roman" w:hAnsi="Times New Roman" w:cs="Times New Roman"/>
          <w:b w:val="0"/>
          <w:i w:val="0"/>
          <w:color w:val="auto"/>
          <w:sz w:val="22"/>
        </w:rPr>
        <w:t>Measures used to minimize discomfort included maintenance of body temperature, local disinfection, postoperative observation, and avoidance of unnecessary repeated punctures. Additional analgesics were not routinely administered. At the terminal time point, rats were placed in an induction chamber and euthanized by continuous exposure to 5% isoflurane (RWD Life Science Co., Ltd.) until death before tissue collection.</w:t>
      </w:r>
    </w:p>
    <w:p w14:paraId="19629355">
      <w:pPr>
        <w:pStyle w:val="3"/>
        <w:keepNex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 xml:space="preserve">S2.4 Animal monitoring, humane endpoints, and adverse events </w:t>
      </w:r>
    </w:p>
    <w:p w14:paraId="5484655E">
      <w:pPr>
        <w:spacing w:before="0" w:after="120" w:line="300" w:lineRule="auto"/>
        <w:jc w:val="both"/>
        <w:rPr>
          <w:rFonts w:hint="default" w:ascii="Times New Roman" w:hAnsi="Times New Roman" w:cs="Times New Roman"/>
          <w:color w:val="auto"/>
        </w:rPr>
      </w:pPr>
      <w:r>
        <w:rPr>
          <w:rFonts w:hint="default" w:ascii="Times New Roman" w:hAnsi="Times New Roman" w:cs="Times New Roman"/>
          <w:b w:val="0"/>
          <w:i w:val="0"/>
          <w:color w:val="auto"/>
          <w:sz w:val="22"/>
        </w:rPr>
        <w:t>Animals were observed at least once daily, and body weight and blood glucose were measured weekly. Prespecified humane endpoints were persistent refusal of food or water, marked weight loss, substantial reduction in activity, severe infection, or a moribund condition.</w:t>
      </w:r>
    </w:p>
    <w:p w14:paraId="0F7C0D42">
      <w:pPr>
        <w:spacing w:before="0" w:after="120" w:line="300" w:lineRule="auto"/>
        <w:jc w:val="both"/>
        <w:rPr>
          <w:rFonts w:hint="default" w:ascii="Times New Roman" w:hAnsi="Times New Roman" w:cs="Times New Roman"/>
          <w:color w:val="auto"/>
        </w:rPr>
      </w:pPr>
      <w:r>
        <w:rPr>
          <w:rFonts w:hint="default" w:ascii="Times New Roman" w:hAnsi="Times New Roman" w:cs="Times New Roman"/>
          <w:b w:val="0"/>
          <w:i w:val="0"/>
          <w:color w:val="auto"/>
          <w:sz w:val="22"/>
        </w:rPr>
        <w:t>Six rats died within 7 days after STZ injection. These animals were handled according to routine institutional procedures and were not included in any subsequent analysis. No other adverse events or unanticipated welfare concerns occurred. After formal group allocation, no animals required early euthanasia and no animals died.</w:t>
      </w:r>
    </w:p>
    <w:p w14:paraId="0707C459">
      <w:pPr>
        <w:pStyle w:val="3"/>
        <w:keepNext/>
        <w:rPr>
          <w:rFonts w:hint="default" w:ascii="Times New Roman" w:hAnsi="Times New Roman" w:cs="Times New Roman"/>
          <w:color w:val="auto"/>
          <w:sz w:val="24"/>
          <w:szCs w:val="22"/>
        </w:rPr>
      </w:pPr>
      <w:r>
        <w:rPr>
          <w:rFonts w:hint="default" w:ascii="Times New Roman" w:hAnsi="Times New Roman" w:cs="Times New Roman"/>
          <w:color w:val="auto"/>
          <w:sz w:val="24"/>
          <w:szCs w:val="22"/>
        </w:rPr>
        <w:t xml:space="preserve">S2.5 Sample-size and statistical reporting, protocol registration, and funder role </w:t>
      </w:r>
    </w:p>
    <w:p w14:paraId="160B2F16">
      <w:pPr>
        <w:spacing w:before="0" w:after="120" w:line="300" w:lineRule="auto"/>
        <w:jc w:val="both"/>
        <w:rPr>
          <w:rFonts w:hint="default" w:ascii="Times New Roman" w:hAnsi="Times New Roman" w:cs="Times New Roman"/>
          <w:color w:val="auto"/>
        </w:rPr>
      </w:pPr>
      <w:r>
        <w:rPr>
          <w:rFonts w:hint="default" w:ascii="Times New Roman" w:hAnsi="Times New Roman" w:cs="Times New Roman"/>
          <w:b w:val="0"/>
          <w:i w:val="0"/>
          <w:color w:val="auto"/>
          <w:sz w:val="22"/>
        </w:rPr>
        <w:t>No formal a priori sample-size or power calculation was performed. The group size of five animals was determined by the number of animals that successfully met the predefined DMED criteria and were available for allocation. Effect sizes and 95% confidence intervals were not calculated or reported. The study protocol was not publicly preregistered.</w:t>
      </w:r>
    </w:p>
    <w:p w14:paraId="554F7A4D">
      <w:pPr>
        <w:spacing w:before="0" w:after="120" w:line="300" w:lineRule="auto"/>
        <w:jc w:val="both"/>
        <w:rPr>
          <w:rFonts w:hint="default" w:ascii="Times New Roman" w:hAnsi="Times New Roman" w:cs="Times New Roman"/>
          <w:b w:val="0"/>
          <w:i w:val="0"/>
          <w:color w:val="auto"/>
          <w:sz w:val="22"/>
        </w:rPr>
      </w:pPr>
      <w:r>
        <w:rPr>
          <w:rFonts w:hint="default" w:ascii="Times New Roman" w:hAnsi="Times New Roman" w:cs="Times New Roman"/>
          <w:b w:val="0"/>
          <w:i w:val="0"/>
          <w:color w:val="auto"/>
          <w:sz w:val="22"/>
        </w:rPr>
        <w:t>The funding organizations had no role in study design, experimental procedures, data analysis, manuscript preparation, or the decision to submit the manuscript.</w:t>
      </w:r>
    </w:p>
    <w:p w14:paraId="0269EB0E">
      <w:pPr>
        <w:spacing w:before="0" w:after="120" w:line="300" w:lineRule="auto"/>
        <w:jc w:val="both"/>
        <w:rPr>
          <w:rFonts w:hint="default" w:ascii="Times New Roman" w:hAnsi="Times New Roman" w:cs="Times New Roman"/>
          <w:b w:val="0"/>
          <w:i w:val="0"/>
          <w:color w:val="auto"/>
          <w:sz w:val="22"/>
        </w:rPr>
      </w:pPr>
    </w:p>
    <w:p w14:paraId="6EF3CF65">
      <w:pPr>
        <w:spacing w:before="0" w:after="120" w:line="300" w:lineRule="auto"/>
        <w:jc w:val="both"/>
        <w:rPr>
          <w:rFonts w:hint="default" w:ascii="Times New Roman" w:hAnsi="Times New Roman" w:cs="Times New Roman"/>
          <w:b w:val="0"/>
          <w:i w:val="0"/>
          <w:color w:val="auto"/>
          <w:sz w:val="22"/>
        </w:rPr>
      </w:pPr>
    </w:p>
    <w:p w14:paraId="2255C1F0">
      <w:pPr>
        <w:spacing w:before="0" w:after="120" w:line="300" w:lineRule="auto"/>
        <w:jc w:val="both"/>
        <w:rPr>
          <w:rFonts w:hint="default" w:ascii="Times New Roman" w:hAnsi="Times New Roman" w:cs="Times New Roman"/>
          <w:b w:val="0"/>
          <w:i w:val="0"/>
          <w:color w:val="auto"/>
          <w:sz w:val="22"/>
        </w:rPr>
      </w:pPr>
    </w:p>
    <w:p w14:paraId="4D693005">
      <w:pPr>
        <w:spacing w:before="0" w:after="120" w:line="300" w:lineRule="auto"/>
        <w:jc w:val="both"/>
        <w:rPr>
          <w:rFonts w:hint="default" w:ascii="Times New Roman" w:hAnsi="Times New Roman" w:cs="Times New Roman"/>
          <w:b w:val="0"/>
          <w:i w:val="0"/>
          <w:color w:val="auto"/>
          <w:sz w:val="22"/>
        </w:rPr>
      </w:pPr>
    </w:p>
    <w:p w14:paraId="22D9AE36">
      <w:pPr>
        <w:spacing w:before="0" w:after="120" w:line="300" w:lineRule="auto"/>
        <w:jc w:val="both"/>
        <w:rPr>
          <w:rFonts w:hint="default" w:ascii="Times New Roman" w:hAnsi="Times New Roman" w:cs="Times New Roman"/>
          <w:b w:val="0"/>
          <w:i w:val="0"/>
          <w:color w:val="auto"/>
          <w:sz w:val="22"/>
        </w:rPr>
      </w:pPr>
    </w:p>
    <w:p w14:paraId="19BB1B77">
      <w:pPr>
        <w:spacing w:before="0" w:after="120" w:line="300" w:lineRule="auto"/>
        <w:jc w:val="both"/>
        <w:rPr>
          <w:rFonts w:hint="default" w:ascii="Times New Roman" w:hAnsi="Times New Roman" w:cs="Times New Roman"/>
          <w:b w:val="0"/>
          <w:i w:val="0"/>
          <w:color w:val="auto"/>
          <w:sz w:val="22"/>
        </w:rPr>
      </w:pPr>
    </w:p>
    <w:p w14:paraId="56507EAF">
      <w:pPr>
        <w:spacing w:before="0" w:after="120" w:line="300" w:lineRule="auto"/>
        <w:jc w:val="both"/>
        <w:rPr>
          <w:rFonts w:hint="default" w:ascii="Times New Roman" w:hAnsi="Times New Roman" w:cs="Times New Roman"/>
          <w:b w:val="0"/>
          <w:i w:val="0"/>
          <w:color w:val="auto"/>
          <w:sz w:val="22"/>
        </w:rPr>
      </w:pPr>
    </w:p>
    <w:p w14:paraId="7C810ED6">
      <w:pPr>
        <w:spacing w:before="0" w:after="120" w:line="300" w:lineRule="auto"/>
        <w:jc w:val="both"/>
        <w:rPr>
          <w:rFonts w:hint="default" w:ascii="Times New Roman" w:hAnsi="Times New Roman" w:cs="Times New Roman"/>
          <w:b w:val="0"/>
          <w:i w:val="0"/>
          <w:color w:val="auto"/>
          <w:sz w:val="22"/>
        </w:rPr>
      </w:pPr>
    </w:p>
    <w:p w14:paraId="772CF7F3">
      <w:pPr>
        <w:spacing w:before="0" w:after="120" w:line="300" w:lineRule="auto"/>
        <w:jc w:val="both"/>
        <w:rPr>
          <w:rFonts w:hint="default" w:ascii="Times New Roman" w:hAnsi="Times New Roman" w:cs="Times New Roman"/>
          <w:b w:val="0"/>
          <w:i w:val="0"/>
          <w:color w:val="auto"/>
          <w:sz w:val="22"/>
        </w:rPr>
      </w:pPr>
    </w:p>
    <w:p w14:paraId="48F075E9">
      <w:pPr>
        <w:spacing w:before="0" w:after="120" w:line="300" w:lineRule="auto"/>
        <w:jc w:val="both"/>
        <w:rPr>
          <w:rFonts w:hint="default" w:ascii="Times New Roman" w:hAnsi="Times New Roman" w:cs="Times New Roman"/>
          <w:b w:val="0"/>
          <w:i w:val="0"/>
          <w:color w:val="auto"/>
          <w:sz w:val="22"/>
        </w:rPr>
      </w:pPr>
    </w:p>
    <w:p w14:paraId="4F15E0D5">
      <w:pPr>
        <w:spacing w:before="0" w:after="120" w:line="300" w:lineRule="auto"/>
        <w:jc w:val="both"/>
        <w:rPr>
          <w:rFonts w:hint="default" w:ascii="Times New Roman" w:hAnsi="Times New Roman" w:cs="Times New Roman"/>
          <w:b w:val="0"/>
          <w:i w:val="0"/>
          <w:color w:val="auto"/>
          <w:sz w:val="22"/>
        </w:rPr>
      </w:pPr>
    </w:p>
    <w:p w14:paraId="14809A04">
      <w:pPr>
        <w:spacing w:before="0" w:after="80"/>
        <w:jc w:val="both"/>
        <w:rPr>
          <w:rFonts w:hint="eastAsia" w:ascii="Times New Roman" w:hAnsi="Times New Roman" w:eastAsia="宋体" w:cs="Times New Roman"/>
          <w:b w:val="0"/>
          <w:i w:val="0"/>
          <w:color w:val="auto"/>
          <w:sz w:val="22"/>
          <w:lang w:eastAsia="zh-CN"/>
        </w:rPr>
      </w:pPr>
      <w:r>
        <w:rPr>
          <w:rFonts w:hint="default" w:ascii="Times New Roman" w:hAnsi="Times New Roman" w:cs="Times New Roman"/>
          <w:b/>
          <w:i w:val="0"/>
          <w:color w:val="auto"/>
          <w:sz w:val="28"/>
          <w:szCs w:val="28"/>
        </w:rPr>
        <w:t xml:space="preserve">Supplementary </w:t>
      </w:r>
      <w:r>
        <w:rPr>
          <w:rFonts w:hint="eastAsia" w:ascii="Times New Roman" w:hAnsi="Times New Roman" w:eastAsia="宋体" w:cs="Times New Roman"/>
          <w:b/>
          <w:i w:val="0"/>
          <w:color w:val="auto"/>
          <w:sz w:val="28"/>
          <w:szCs w:val="28"/>
          <w:lang w:val="en-US" w:eastAsia="zh-CN"/>
        </w:rPr>
        <w:t>Figure</w:t>
      </w:r>
      <w:r>
        <w:rPr>
          <w:rFonts w:hint="default" w:ascii="Times New Roman" w:hAnsi="Times New Roman" w:cs="Times New Roman"/>
          <w:b/>
          <w:i w:val="0"/>
          <w:color w:val="auto"/>
          <w:sz w:val="28"/>
          <w:szCs w:val="28"/>
        </w:rPr>
        <w:t xml:space="preserve"> S</w:t>
      </w:r>
      <w:r>
        <w:rPr>
          <w:rFonts w:hint="eastAsia" w:ascii="Times New Roman" w:hAnsi="Times New Roman" w:eastAsia="宋体" w:cs="Times New Roman"/>
          <w:b/>
          <w:i w:val="0"/>
          <w:color w:val="auto"/>
          <w:sz w:val="28"/>
          <w:szCs w:val="28"/>
          <w:lang w:val="en-US" w:eastAsia="zh-CN"/>
        </w:rPr>
        <w:t>3</w:t>
      </w:r>
    </w:p>
    <w:p w14:paraId="6C76F0EF">
      <w:pPr>
        <w:spacing w:before="0" w:after="120" w:line="300" w:lineRule="auto"/>
        <w:jc w:val="center"/>
        <w:rPr>
          <w:rFonts w:hint="default" w:ascii="Times New Roman" w:hAnsi="Times New Roman" w:cs="Times New Roman"/>
          <w:b w:val="0"/>
          <w:i w:val="0"/>
          <w:color w:val="auto"/>
          <w:sz w:val="22"/>
        </w:rPr>
      </w:pPr>
      <w:r>
        <w:rPr>
          <w:rFonts w:hint="eastAsia" w:ascii="Times New Roman" w:hAnsi="Times New Roman" w:eastAsia="宋体" w:cs="Times New Roman"/>
          <w:b w:val="0"/>
          <w:i w:val="0"/>
          <w:color w:val="auto"/>
          <w:sz w:val="22"/>
          <w:lang w:eastAsia="zh-CN"/>
        </w:rPr>
        <w:drawing>
          <wp:inline distT="0" distB="0" distL="114300" distR="114300">
            <wp:extent cx="4854575" cy="7871460"/>
            <wp:effectExtent l="0" t="0" r="6985" b="7620"/>
            <wp:docPr id="1" name="图片 1"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1"/>
                    <pic:cNvPicPr>
                      <a:picLocks noChangeAspect="1"/>
                    </pic:cNvPicPr>
                  </pic:nvPicPr>
                  <pic:blipFill>
                    <a:blip r:embed="rId7"/>
                    <a:srcRect l="5952" t="734" r="7620" b="198"/>
                    <a:stretch>
                      <a:fillRect/>
                    </a:stretch>
                  </pic:blipFill>
                  <pic:spPr>
                    <a:xfrm>
                      <a:off x="0" y="0"/>
                      <a:ext cx="4854575" cy="7871460"/>
                    </a:xfrm>
                    <a:prstGeom prst="rect">
                      <a:avLst/>
                    </a:prstGeom>
                  </pic:spPr>
                </pic:pic>
              </a:graphicData>
            </a:graphic>
          </wp:inline>
        </w:drawing>
      </w:r>
      <w:bookmarkStart w:id="0" w:name="_GoBack"/>
      <w:bookmarkEnd w:id="0"/>
    </w:p>
    <w:p w14:paraId="7B2117D1">
      <w:pPr>
        <w:spacing w:before="0" w:after="120" w:line="300" w:lineRule="auto"/>
        <w:jc w:val="both"/>
        <w:rPr>
          <w:rFonts w:hint="default" w:ascii="Times New Roman" w:hAnsi="Times New Roman" w:cs="Times New Roman"/>
          <w:b w:val="0"/>
          <w:i w:val="0"/>
          <w:color w:val="auto"/>
          <w:sz w:val="22"/>
        </w:rPr>
      </w:pPr>
    </w:p>
    <w:sectPr>
      <w:pgSz w:w="12240" w:h="15840"/>
      <w:pgMar w:top="1440" w:right="1440" w:bottom="1440" w:left="144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42269">
    <w:pPr>
      <w:pStyle w:val="24"/>
      <w:jc w:val="right"/>
    </w:pPr>
    <w:r>
      <w:rPr>
        <w:rFonts w:ascii="Calibri" w:hAnsi="Calibri"/>
        <w:b w:val="0"/>
        <w:i w:val="0"/>
        <w:color w:val="5A5A5A"/>
        <w:sz w:val="18"/>
      </w:rPr>
      <w:fldChar w:fldCharType="begin"/>
    </w:r>
    <w:r>
      <w:rPr>
        <w:rFonts w:ascii="Calibri" w:hAnsi="Calibri"/>
        <w:b w:val="0"/>
        <w:i w:val="0"/>
        <w:color w:val="5A5A5A"/>
        <w:sz w:val="18"/>
      </w:rPr>
      <w:instrText xml:space="preserve"> PAGE </w:instrText>
    </w:r>
    <w:r>
      <w:rPr>
        <w:rFonts w:ascii="Calibri" w:hAnsi="Calibri"/>
        <w:b w:val="0"/>
        <w:i w:val="0"/>
        <w:color w:val="5A5A5A"/>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displayBackgroundShape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66466EB"/>
    <w:rsid w:val="15576A51"/>
    <w:rsid w:val="3E1218B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qFormat="1" w:uiPriority="99" w:semiHidden="0" w:name="List 3"/>
    <w:lsdException w:uiPriority="99" w:name="List 4"/>
    <w:lsdException w:uiPriority="99" w:name="List 5"/>
    <w:lsdException w:qFormat="1"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qFormat="1"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qFormat="1" w:unhideWhenUsed="0" w:uiPriority="71" w:semiHidden="0" w:name="Colorful Shading Accent 5"/>
    <w:lsdException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120" w:line="300" w:lineRule="auto"/>
    </w:pPr>
    <w:rPr>
      <w:rFonts w:ascii="Calibri" w:hAnsi="Calibr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360" w:after="200"/>
      <w:outlineLvl w:val="0"/>
    </w:pPr>
    <w:rPr>
      <w:rFonts w:asciiTheme="majorHAnsi" w:hAnsiTheme="majorHAnsi" w:eastAsiaTheme="majorEastAsia" w:cstheme="majorBidi"/>
      <w:b/>
      <w:bCs/>
      <w:color w:val="2E74B5"/>
      <w:sz w:val="32"/>
      <w:szCs w:val="28"/>
    </w:rPr>
  </w:style>
  <w:style w:type="paragraph" w:styleId="4">
    <w:name w:val="heading 2"/>
    <w:basedOn w:val="1"/>
    <w:next w:val="1"/>
    <w:link w:val="139"/>
    <w:unhideWhenUsed/>
    <w:qFormat/>
    <w:uiPriority w:val="9"/>
    <w:pPr>
      <w:keepNext/>
      <w:keepLines/>
      <w:spacing w:before="280" w:after="140"/>
      <w:outlineLvl w:val="1"/>
    </w:pPr>
    <w:rPr>
      <w:rFonts w:asciiTheme="majorHAnsi" w:hAnsiTheme="majorHAnsi" w:eastAsiaTheme="majorEastAsia" w:cstheme="majorBidi"/>
      <w:b/>
      <w:bCs/>
      <w:color w:val="2E74B5"/>
      <w:sz w:val="26"/>
      <w:szCs w:val="26"/>
    </w:rPr>
  </w:style>
  <w:style w:type="paragraph" w:styleId="5">
    <w:name w:val="heading 3"/>
    <w:basedOn w:val="1"/>
    <w:next w:val="1"/>
    <w:link w:val="140"/>
    <w:unhideWhenUsed/>
    <w:qFormat/>
    <w:uiPriority w:val="9"/>
    <w:pPr>
      <w:keepNext/>
      <w:keepLines/>
      <w:spacing w:before="200" w:after="100"/>
      <w:outlineLvl w:val="2"/>
    </w:pPr>
    <w:rPr>
      <w:rFonts w:asciiTheme="majorHAnsi" w:hAnsiTheme="majorHAnsi" w:eastAsiaTheme="majorEastAsia" w:cstheme="majorBidi"/>
      <w:b/>
      <w:bCs/>
      <w:color w:val="1F4D78"/>
      <w:sz w:val="24"/>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tiff"/><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623</Words>
  <Characters>3847</Characters>
  <Lines>0</Lines>
  <Paragraphs>0</Paragraphs>
  <TotalTime>2</TotalTime>
  <ScaleCrop>false</ScaleCrop>
  <LinksUpToDate>false</LinksUpToDate>
  <CharactersWithSpaces>4458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Jiahao Sun et al.</dc:creator>
  <dc:description>generated by python-docx</dc:description>
  <cp:lastModifiedBy>主角不见了</cp:lastModifiedBy>
  <dcterms:modified xsi:type="dcterms:W3CDTF">2026-08-01T05:46:36Z</dcterms:modified>
  <dc:subject>Additional animal-method reporting</dc:subject>
  <dc:title>Supplementary Material S2 - ARRIVE 2.0 reporting details</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eyJoZGlkIjoiYTYzNDVlYTg5OTNhZGUzZjAxYmI5OWQ4ODEyYTY3ZTYiLCJ1c2VySWQiOiI0MDU4MDc3MDIifQ==</vt:lpwstr>
  </property>
  <property fmtid="{D5CDD505-2E9C-101B-9397-08002B2CF9AE}" pid="3" name="KSOProductBuildVer">
    <vt:lpwstr>2052-12.1.0.28043</vt:lpwstr>
  </property>
  <property fmtid="{D5CDD505-2E9C-101B-9397-08002B2CF9AE}" pid="4" name="ICV">
    <vt:lpwstr>65941A3F7A004FAF82AC4751D524E434_12</vt:lpwstr>
  </property>
</Properties>
</file>