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09CE7" w14:textId="088F50E6" w:rsidR="007E727D" w:rsidRDefault="00000000">
      <w:pPr>
        <w:pStyle w:val="Heading1"/>
        <w:spacing w:beforeLines="50" w:before="156" w:afterLines="50" w:after="156" w:line="360" w:lineRule="auto"/>
        <w:rPr>
          <w:rFonts w:ascii="Times New Roman" w:hAnsi="Times New Roman" w:cs="Times New Roman"/>
          <w:sz w:val="24"/>
        </w:rPr>
      </w:pPr>
      <w:r>
        <w:rPr>
          <w:rFonts w:ascii="Times New Roman" w:hAnsi="Times New Roman" w:cs="Times New Roman"/>
          <w:sz w:val="24"/>
        </w:rPr>
        <w:t xml:space="preserve">1. Supplementary </w:t>
      </w:r>
      <w:r>
        <w:rPr>
          <w:rFonts w:ascii="Times New Roman" w:hAnsi="Times New Roman" w:cs="Times New Roman" w:hint="eastAsia"/>
          <w:sz w:val="24"/>
        </w:rPr>
        <w:t>m</w:t>
      </w:r>
      <w:r>
        <w:rPr>
          <w:rFonts w:ascii="Times New Roman" w:hAnsi="Times New Roman" w:cs="Times New Roman"/>
          <w:sz w:val="24"/>
        </w:rPr>
        <w:t>ethods</w:t>
      </w:r>
    </w:p>
    <w:p w14:paraId="64B00ACE" w14:textId="77777777" w:rsidR="007E727D" w:rsidRDefault="00000000">
      <w:pPr>
        <w:pStyle w:val="Heading2"/>
        <w:spacing w:line="480" w:lineRule="auto"/>
        <w:rPr>
          <w:b w:val="0"/>
          <w:bCs/>
          <w:i/>
          <w:iCs/>
        </w:rPr>
      </w:pPr>
      <w:r>
        <w:rPr>
          <w:b w:val="0"/>
          <w:bCs/>
          <w:i/>
          <w:iCs/>
        </w:rPr>
        <w:t xml:space="preserve">1.1 Overview of the study area </w:t>
      </w:r>
    </w:p>
    <w:p w14:paraId="509B6637" w14:textId="77777777" w:rsidR="007E727D" w:rsidRDefault="00000000">
      <w:pPr>
        <w:spacing w:line="480" w:lineRule="auto"/>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 xml:space="preserve">The sampling site for this study is located in the Iškoras permafrost peatland within the Finnmarksvidda mountains of northern Norway, as shown in Fig. S1. The region is characterized by a subarctic or polar climate, with a mean annual temperature of -1.2°C during the period from 1991 to 2020, and a strong rise in temperature over the past decades, promoting rapid permafrost thaw </w:t>
      </w:r>
      <w:r>
        <w:rPr>
          <w:rFonts w:ascii="Times New Roman" w:hAnsi="Times New Roman" w:cs="Times New Roman"/>
          <w:spacing w:val="8"/>
          <w:kern w:val="0"/>
          <w:sz w:val="22"/>
          <w:szCs w:val="22"/>
          <w:lang w:bidi="ar"/>
        </w:rPr>
        <w:fldChar w:fldCharType="begin"/>
      </w:r>
      <w:r>
        <w:rPr>
          <w:rFonts w:ascii="Times New Roman" w:hAnsi="Times New Roman" w:cs="Times New Roman"/>
          <w:spacing w:val="8"/>
          <w:sz w:val="22"/>
          <w:szCs w:val="22"/>
          <w:lang w:bidi="ar"/>
        </w:rPr>
        <w:instrText xml:space="preserve"> ADDIN ZOTERO_ITEM CSL_CITATION {"citationID":"9PVXygji","properties":{"formattedCitation":"(Kj\\uc0\\u230{}r et al., 2024)","plainCitation":"(Kjær et al., 2024)","noteIndex":0},"citationItems":[{"id":418,"uris":["http://zotero.org/users/13786640/items/CZUGMDH8"],"itemData":{"id":418,"type":"article-journal","citation-key":"kjaerCarbonDegradationMobilisation2024a","container-title":"Biogeosciences","issue":"21","language":"en","page":"4723–4737","publisher":"Copernicus Publications Göttingen, Germany","source":"Google Scholar","title":"Carbon degradation and mobilisation potentials of thawing permafrost peatlands in northern Norway inferred from laboratory incubations","volume":"21","author":[{"family":"Kjær","given":"Sigrid Trier"},{"family":"Westermann","given":"Sebastian"},{"family":"Nedkvitne","given":"Nora"},{"family":"Dörsch","given":"Peter"}],"issued":{"date-parts":[["2024"]]}}}],"schema":"https://github.com/citation-style-language/schema/raw/master/csl-citation.json"} </w:instrText>
      </w:r>
      <w:r>
        <w:rPr>
          <w:rFonts w:ascii="Times New Roman" w:hAnsi="Times New Roman" w:cs="Times New Roman"/>
          <w:spacing w:val="8"/>
          <w:kern w:val="0"/>
          <w:sz w:val="22"/>
          <w:szCs w:val="22"/>
          <w:lang w:bidi="ar"/>
        </w:rPr>
        <w:fldChar w:fldCharType="separate"/>
      </w:r>
      <w:r>
        <w:rPr>
          <w:rFonts w:ascii="Times New Roman" w:hAnsi="Times New Roman" w:cs="Times New Roman"/>
          <w:kern w:val="0"/>
          <w:sz w:val="22"/>
        </w:rPr>
        <w:t>(Kjær et al., 2024)</w:t>
      </w:r>
      <w:r>
        <w:rPr>
          <w:rFonts w:ascii="Times New Roman" w:hAnsi="Times New Roman" w:cs="Times New Roman"/>
          <w:spacing w:val="8"/>
          <w:kern w:val="0"/>
          <w:sz w:val="22"/>
          <w:szCs w:val="22"/>
          <w:lang w:bidi="ar"/>
        </w:rPr>
        <w:fldChar w:fldCharType="end"/>
      </w:r>
      <w:r>
        <w:rPr>
          <w:rFonts w:ascii="Times New Roman" w:hAnsi="Times New Roman" w:cs="Times New Roman"/>
          <w:spacing w:val="8"/>
          <w:kern w:val="0"/>
          <w:sz w:val="22"/>
          <w:szCs w:val="22"/>
          <w:lang w:bidi="ar"/>
        </w:rPr>
        <w:t xml:space="preserve">. The average summer temperature is approximately 10°C, and the mean annual precipitation is 417 mm, based on measurements from meteorological station SN97251, situated about 15 km north of Iškoras </w:t>
      </w:r>
      <w:r>
        <w:rPr>
          <w:rFonts w:ascii="Times New Roman" w:hAnsi="Times New Roman" w:cs="Times New Roman"/>
          <w:spacing w:val="8"/>
          <w:kern w:val="0"/>
          <w:sz w:val="22"/>
          <w:szCs w:val="22"/>
          <w:lang w:bidi="ar"/>
        </w:rPr>
        <w:fldChar w:fldCharType="begin"/>
      </w:r>
      <w:r>
        <w:rPr>
          <w:rFonts w:ascii="Times New Roman" w:hAnsi="Times New Roman" w:cs="Times New Roman"/>
          <w:spacing w:val="8"/>
          <w:sz w:val="22"/>
          <w:szCs w:val="22"/>
          <w:lang w:bidi="ar"/>
        </w:rPr>
        <w:instrText xml:space="preserve"> ADDIN ZOTERO_ITEM CSL_CITATION {"citationID":"jkfCe2Wk","properties":{"formattedCitation":"(Kjellman et al., 2018)","plainCitation":"(Kjellman et al., 2018)","noteIndex":0},"citationItems":[{"id":1141,"uris":["http://zotero.org/users/13786640/items/WM7KDFUX"],"itemData":{"id":1141,"type":"article-journal","abstract":"Subarctic permafrost peatlands are important soil organic carbon pools, and improved knowledge about peat properties and peatland sensitivity to past climate change is essential when predicting future response to a warmer climate and associated feedback mechanisms. In this study, Holocene peatland development and permafrost dynamics of four subarctic peat plateaus in Finnmark, northern Norway have been investigated through detailed analyses of plant macrofossils and geochemical properties. Peatland inception occurred around 9800 cal. yr BP and 9200 cal. yr BP at the two continental sites Suossjavri and Iskoras. Younger basal peat ages were found at the two coastal locations Lakselv and Karlebotn, at least partly caused by the time lag between deglaciation and emergence of land by isostatic uplift. Here, peatland development started around 6150 cal. yr BP and 5150 cal. yr BP, respectively. All four peatlands developed as wet fens throughout most of the Holocene. Permafrost aggradation, causing frost heave and a shift in the vegetation assemblage from wet fen to dry bog species, probably did not occur until during the last millennium, ca. 950 cal. yr BP in Karlebotn and ca. 800 cal. yr BP in Iskoras, and before ca. 150 cal. yr BP in Lakselv and ca. 100 cal. yr BP in Suossjavri. In Karlebotn, there are indications of a possible earlier permafrost phase around 2200 cal. yr BP due to climatic cooling at the late Subboreal to early Subatlantic transition. The mean long-term Holocene carbon accumulation rate at all four sites was 12.3 ± 4.1 gC m\n              −2\n              yr\n              −1\n              (±SD) and the mean soil organic carbon storage was 97 ± 46 kgC m\n              −2\n              .","citation-key":"kjellmanHoloceneDevelopmentSubarctic2018a","container-title":"The Holocene","ISSN":"0959-6836, 1477-0911","issue":"12","journalAbbreviation":"The Holocene","language":"en","page":"1855-1869","source":"DOI.org (Crossref)","title":"Holocene development of subarctic permafrost peatlands in Finnmark, northern Norway","volume":"28","author":[{"family":"Kjellman","given":"Sofia E"},{"family":"Axelsson","given":"Pia E"},{"family":"Etzelmüller","given":"Bernd"},{"family":"Westermann","given":"Sebastian"},{"family":"Sannel","given":"A Britta K"}],"issued":{"date-parts":[["2018"]]}}}],"schema":"https://github.com/citation-style-language/schema/raw/master/csl-citation.json"} </w:instrText>
      </w:r>
      <w:r>
        <w:rPr>
          <w:rFonts w:ascii="Times New Roman" w:hAnsi="Times New Roman" w:cs="Times New Roman"/>
          <w:spacing w:val="8"/>
          <w:kern w:val="0"/>
          <w:sz w:val="22"/>
          <w:szCs w:val="22"/>
          <w:lang w:bidi="ar"/>
        </w:rPr>
        <w:fldChar w:fldCharType="separate"/>
      </w:r>
      <w:r>
        <w:rPr>
          <w:rFonts w:ascii="Times New Roman" w:hAnsi="Times New Roman" w:cs="Times New Roman"/>
          <w:sz w:val="22"/>
        </w:rPr>
        <w:t>(Kjellman et al., 2018)</w:t>
      </w:r>
      <w:r>
        <w:rPr>
          <w:rFonts w:ascii="Times New Roman" w:hAnsi="Times New Roman" w:cs="Times New Roman"/>
          <w:spacing w:val="8"/>
          <w:kern w:val="0"/>
          <w:sz w:val="22"/>
          <w:szCs w:val="22"/>
          <w:lang w:bidi="ar"/>
        </w:rPr>
        <w:fldChar w:fldCharType="end"/>
      </w:r>
      <w:r>
        <w:rPr>
          <w:rFonts w:ascii="Times New Roman" w:hAnsi="Times New Roman" w:cs="Times New Roman"/>
          <w:spacing w:val="8"/>
          <w:kern w:val="0"/>
          <w:sz w:val="22"/>
          <w:szCs w:val="22"/>
          <w:lang w:bidi="ar"/>
        </w:rPr>
        <w:t>. The development of the Iškoras peatland commenced around 9200 calibrated years before present (cal yr BP), while permafrost formation in the area dates to the Little Ice Age. Radiocarbon dating of a single core indicates that permafrost formation occurred approximately 800 cal yr BP. The dominant soil type in this peatland is organic soil with low peat bulk density (0.08–0.28 g</w:t>
      </w:r>
      <w:r>
        <w:rPr>
          <w:rFonts w:ascii="Times New Roman" w:hAnsi="Times New Roman" w:cs="Times New Roman" w:hint="eastAsia"/>
          <w:spacing w:val="8"/>
          <w:kern w:val="0"/>
          <w:sz w:val="22"/>
          <w:szCs w:val="22"/>
          <w:lang w:bidi="ar"/>
        </w:rPr>
        <w:t xml:space="preserve"> </w:t>
      </w:r>
      <w:r>
        <w:rPr>
          <w:rFonts w:ascii="Times New Roman" w:hAnsi="Times New Roman" w:cs="Times New Roman"/>
          <w:spacing w:val="8"/>
          <w:kern w:val="0"/>
          <w:sz w:val="22"/>
          <w:szCs w:val="22"/>
          <w:lang w:bidi="ar"/>
        </w:rPr>
        <w:t>cm</w:t>
      </w:r>
      <w:r>
        <w:rPr>
          <w:rFonts w:ascii="Times New Roman" w:hAnsi="Times New Roman" w:cs="Times New Roman"/>
          <w:spacing w:val="8"/>
          <w:kern w:val="0"/>
          <w:sz w:val="22"/>
          <w:szCs w:val="22"/>
          <w:vertAlign w:val="superscript"/>
          <w:lang w:bidi="ar"/>
        </w:rPr>
        <w:t>-</w:t>
      </w:r>
      <w:r>
        <w:rPr>
          <w:rFonts w:ascii="Times New Roman" w:hAnsi="Times New Roman" w:cs="Times New Roman"/>
          <w:spacing w:val="8"/>
          <w:kern w:val="0"/>
          <w:sz w:val="22"/>
          <w:szCs w:val="22"/>
          <w:lang w:bidi="ar"/>
        </w:rPr>
        <w:t xml:space="preserve">³), which is significantly influenced by active layer dynamics and excess ice content </w:t>
      </w:r>
      <w:r>
        <w:rPr>
          <w:rFonts w:ascii="Times New Roman" w:hAnsi="Times New Roman" w:cs="Times New Roman"/>
          <w:spacing w:val="8"/>
          <w:kern w:val="0"/>
          <w:sz w:val="22"/>
          <w:szCs w:val="22"/>
          <w:lang w:bidi="ar"/>
        </w:rPr>
        <w:fldChar w:fldCharType="begin"/>
      </w:r>
      <w:r>
        <w:rPr>
          <w:rFonts w:ascii="Times New Roman" w:hAnsi="Times New Roman" w:cs="Times New Roman"/>
          <w:spacing w:val="8"/>
          <w:sz w:val="22"/>
          <w:szCs w:val="22"/>
          <w:lang w:bidi="ar"/>
        </w:rPr>
        <w:instrText xml:space="preserve"> ADDIN ZOTERO_ITEM CSL_CITATION {"citationID":"Abpi3frv","properties":{"formattedCitation":"(Kj\\uc0\\u230{}r et al., 2024)","plainCitation":"(Kjær et al., 2024)","noteIndex":0},"citationItems":[{"id":418,"uris":["http://zotero.org/users/13786640/items/CZUGMDH8"],"itemData":{"id":418,"type":"article-journal","citation-key":"kjaerCarbonDegradationMobilisation2024a","container-title":"Biogeosciences","issue":"21","language":"en","page":"4723–4737","publisher":"Copernicus Publications Göttingen, Germany","source":"Google Scholar","title":"Carbon degradation and mobilisation potentials of thawing permafrost peatlands in northern Norway inferred from laboratory incubations","volume":"21","author":[{"family":"Kjær","given":"Sigrid Trier"},{"family":"Westermann","given":"Sebastian"},{"family":"Nedkvitne","given":"Nora"},{"family":"Dörsch","given":"Peter"}],"issued":{"date-parts":[["2024"]]}}}],"schema":"https://github.com/citation-style-language/schema/raw/master/csl-citation.json"} </w:instrText>
      </w:r>
      <w:r>
        <w:rPr>
          <w:rFonts w:ascii="Times New Roman" w:hAnsi="Times New Roman" w:cs="Times New Roman"/>
          <w:spacing w:val="8"/>
          <w:kern w:val="0"/>
          <w:sz w:val="22"/>
          <w:szCs w:val="22"/>
          <w:lang w:bidi="ar"/>
        </w:rPr>
        <w:fldChar w:fldCharType="separate"/>
      </w:r>
      <w:r>
        <w:rPr>
          <w:rFonts w:ascii="Times New Roman" w:hAnsi="Times New Roman" w:cs="Times New Roman"/>
          <w:kern w:val="0"/>
          <w:sz w:val="22"/>
        </w:rPr>
        <w:t>(Kjær et al., 2024)</w:t>
      </w:r>
      <w:r>
        <w:rPr>
          <w:rFonts w:ascii="Times New Roman" w:hAnsi="Times New Roman" w:cs="Times New Roman"/>
          <w:spacing w:val="8"/>
          <w:kern w:val="0"/>
          <w:sz w:val="22"/>
          <w:szCs w:val="22"/>
          <w:lang w:bidi="ar"/>
        </w:rPr>
        <w:fldChar w:fldCharType="end"/>
      </w:r>
      <w:r>
        <w:rPr>
          <w:rFonts w:ascii="Times New Roman" w:hAnsi="Times New Roman" w:cs="Times New Roman"/>
          <w:spacing w:val="8"/>
          <w:kern w:val="0"/>
          <w:sz w:val="22"/>
          <w:szCs w:val="22"/>
          <w:lang w:bidi="ar"/>
        </w:rPr>
        <w:t xml:space="preserve">. The peatland in Iškoras reaches a thickness of up to 155 cm, with a maximum active layer thickness of 90 cm. The surface is primarily covered by lichens and evergreen dwarf shrubs, such as </w:t>
      </w:r>
      <w:r>
        <w:rPr>
          <w:rFonts w:ascii="Times New Roman" w:hAnsi="Times New Roman" w:cs="Times New Roman"/>
          <w:i/>
          <w:iCs/>
          <w:spacing w:val="8"/>
          <w:kern w:val="0"/>
          <w:sz w:val="22"/>
          <w:szCs w:val="22"/>
          <w:lang w:bidi="ar"/>
        </w:rPr>
        <w:t>Empetrum nigrum</w:t>
      </w:r>
      <w:r>
        <w:rPr>
          <w:rFonts w:ascii="Times New Roman" w:hAnsi="Times New Roman" w:cs="Times New Roman"/>
          <w:spacing w:val="8"/>
          <w:kern w:val="0"/>
          <w:sz w:val="22"/>
          <w:szCs w:val="22"/>
          <w:lang w:bidi="ar"/>
        </w:rPr>
        <w:t xml:space="preserve">, </w:t>
      </w:r>
      <w:r>
        <w:rPr>
          <w:rFonts w:ascii="Times New Roman" w:hAnsi="Times New Roman" w:cs="Times New Roman"/>
          <w:i/>
          <w:iCs/>
          <w:spacing w:val="8"/>
          <w:kern w:val="0"/>
          <w:sz w:val="22"/>
          <w:szCs w:val="22"/>
          <w:lang w:bidi="ar"/>
        </w:rPr>
        <w:t>Andromeda polifolia</w:t>
      </w:r>
      <w:r>
        <w:rPr>
          <w:rFonts w:ascii="Times New Roman" w:hAnsi="Times New Roman" w:cs="Times New Roman"/>
          <w:spacing w:val="8"/>
          <w:kern w:val="0"/>
          <w:sz w:val="22"/>
          <w:szCs w:val="22"/>
          <w:lang w:bidi="ar"/>
        </w:rPr>
        <w:t xml:space="preserve">, </w:t>
      </w:r>
      <w:r>
        <w:rPr>
          <w:rFonts w:ascii="Times New Roman" w:hAnsi="Times New Roman" w:cs="Times New Roman"/>
          <w:i/>
          <w:iCs/>
          <w:spacing w:val="8"/>
          <w:kern w:val="0"/>
          <w:sz w:val="22"/>
          <w:szCs w:val="22"/>
          <w:lang w:bidi="ar"/>
        </w:rPr>
        <w:t>Rubus chamaemorus</w:t>
      </w:r>
      <w:r>
        <w:rPr>
          <w:rFonts w:ascii="Times New Roman" w:hAnsi="Times New Roman" w:cs="Times New Roman"/>
          <w:spacing w:val="8"/>
          <w:kern w:val="0"/>
          <w:sz w:val="22"/>
          <w:szCs w:val="22"/>
          <w:lang w:bidi="ar"/>
        </w:rPr>
        <w:t xml:space="preserve">, and </w:t>
      </w:r>
      <w:r>
        <w:rPr>
          <w:rFonts w:ascii="Times New Roman" w:hAnsi="Times New Roman" w:cs="Times New Roman"/>
          <w:i/>
          <w:iCs/>
          <w:spacing w:val="8"/>
          <w:kern w:val="0"/>
          <w:sz w:val="22"/>
          <w:szCs w:val="22"/>
          <w:lang w:bidi="ar"/>
        </w:rPr>
        <w:t>Vaccinium uliginosum</w:t>
      </w:r>
      <w:r>
        <w:rPr>
          <w:rFonts w:ascii="Times New Roman" w:hAnsi="Times New Roman" w:cs="Times New Roman"/>
          <w:spacing w:val="8"/>
          <w:kern w:val="0"/>
          <w:sz w:val="22"/>
          <w:szCs w:val="22"/>
          <w:lang w:bidi="ar"/>
        </w:rPr>
        <w:t xml:space="preserve">, while shallow pond areas are dominated by </w:t>
      </w:r>
      <w:r>
        <w:rPr>
          <w:rFonts w:ascii="Times New Roman" w:hAnsi="Times New Roman" w:cs="Times New Roman"/>
          <w:i/>
          <w:iCs/>
          <w:spacing w:val="8"/>
          <w:kern w:val="0"/>
          <w:sz w:val="22"/>
          <w:szCs w:val="22"/>
          <w:lang w:bidi="ar"/>
        </w:rPr>
        <w:t xml:space="preserve">Sphagnum mosses </w:t>
      </w:r>
      <w:r>
        <w:rPr>
          <w:rFonts w:ascii="Times New Roman" w:hAnsi="Times New Roman" w:cs="Times New Roman"/>
          <w:spacing w:val="8"/>
          <w:kern w:val="0"/>
          <w:sz w:val="22"/>
          <w:szCs w:val="22"/>
          <w:lang w:bidi="ar"/>
        </w:rPr>
        <w:fldChar w:fldCharType="begin"/>
      </w:r>
      <w:r>
        <w:rPr>
          <w:rFonts w:ascii="Times New Roman" w:hAnsi="Times New Roman" w:cs="Times New Roman"/>
          <w:spacing w:val="8"/>
          <w:kern w:val="0"/>
          <w:sz w:val="22"/>
          <w:szCs w:val="22"/>
          <w:lang w:bidi="ar"/>
        </w:rPr>
        <w:instrText xml:space="preserve"> ADDIN ZOTERO_ITEM CSL_CITATION {"citationID":"2nKHqTs7","properties":{"formattedCitation":"(Pirk et al., 2024)","plainCitation":"(Pirk et al., 2024)","noteIndex":0},"citationItems":[{"id":1136,"uris":["http://zotero.org/users/13786640/items/6RX6SHX2"],"itemData":{"id":1136,"type":"article-journal","abstract":"Abstract\n            \n              Extensive regions in the permafrost zone are projected to become climatically unsuitable to sustain permafrost peatlands over the next century, suggesting transformations in these landscapes that can leave large amounts of permafrost carbon vulnerable to post‐thaw decomposition. We present 3 years of eddy covariance measurements of CH\n              4\n              and CO\n              2\n              fluxes from the degrading permafrost peatland Iškoras in Northern Norway, which we disaggregate into separate fluxes of palsa, pond, and fen areas using information provided by the dynamic flux footprint in a novel ensemble‐based Bayesian deep neural network framework. The 3‐year mean CO\n              2\n              ‐equivalent flux is estimated to be 106 gCO\n              2\n               m\n              −2\n               yr\n              −1\n              for palsas, 1,780 gCO\n              2\n               m\n              −2\n               yr\n              −1\n              for ponds, and −31 gCO\n              2\n               m\n              −2\n               yr\n              −1\n              for fens, indicating that possible palsa degradation to thermokarst ponds would strengthen the local greenhouse gas forcing by a factor of about 17, while transformation into fens would slightly reduce the current local greenhouse gas forcing.\n            \n          , \n            Plain Language Summary\n            \n              Arctic and sub‐arctic regions on the southern border of the permafrost zone often feature peatlands with a patchy surface of peat mounds, thaw ponds, and surrounding fens. As the permafrost underneath peat mounds thaws, these areas transform and can change their emission or uptake of greenhouse gases like CO\n              2\n              and methane. Assessing this gas exchange on the patchy surface is difficult because our measurement techniques cannot directly observe the variability in space and time. We collected 3 years of gas exchange measurements at a Norwegian permafrost peatland and developed a new method using a collection of uncertainty‐aware neural networks to predict the greenhouse gas exchange of different surface types. Our work suggests that large amounts of methane are emitted by ponds and fens, while the elevated peat mounds have almost no methane emissions. For CO\n              2\n              , we see that ponds are strong emitters, while fens take up substantial amounts as their vegetation absorbs this gas. We are still unsure when the peat mounds will collapse and if they turn into ponds or fens, but we can say that pond formation would give a 17 fold increase in greenhouse gas emissions, while fen formation would slightly reduce today's emissions of permafrost peatlands.\n            \n          , \n            Key Points\n            \n              \n                \n                  Eddy covariance fluxes are disaggregated for different surfaces using Bayesian neural networks to derive uncertainty‐aware carbon balances\n                \n                \n                  While palsa areas have a near‐zero annual methane balance, the fens and ponds that form upon palsa degradation emit large amounts of methane\n                \n                \n                  \n                    Fens compensate for methane emissions with strong annual CO\n                    2\n                    sinks, while ponds appear as strong, yet uncertain, CO\n                    2\n                    emission hotspots","citation-key":"pirkDisaggregatingCarbonExchange2024a","container-title":"Geophysical Research Letters","ISSN":"0094-8276, 1944-8007","issue":"10","journalAbbreviation":"Geophys. Res. Lett.","language":"en","page":"e2024GL109283","source":"DOI.org (Crossref)","title":"Disaggregating the carbon exchange of degrading permafrost peatlands using bayesian deep learning","volume":"51","author":[{"family":"Pirk","given":"Norbert"},{"family":"Aalstad","given":"Kristoffer"},{"family":"Mannerfelt","given":"Erik Schytt"},{"family":"Clayer","given":"François"},{"family":"De Wit","given":"Heleen"},{"family":"Christiansen","given":"Casper T."},{"family":"Althuizen","given":"Inge"},{"family":"Lee","given":"Hanna"},{"family":"Westermann","given":"Sebastian"}],"issued":{"date-parts":[["2024"]]}}}],"schema":"https://github.com/citation-style-language/schema/raw/master/csl-citation.json"} </w:instrText>
      </w:r>
      <w:r>
        <w:rPr>
          <w:rFonts w:ascii="Times New Roman" w:hAnsi="Times New Roman" w:cs="Times New Roman"/>
          <w:spacing w:val="8"/>
          <w:kern w:val="0"/>
          <w:sz w:val="22"/>
          <w:szCs w:val="22"/>
          <w:lang w:bidi="ar"/>
        </w:rPr>
        <w:fldChar w:fldCharType="separate"/>
      </w:r>
      <w:r>
        <w:rPr>
          <w:rFonts w:ascii="Times New Roman" w:hAnsi="Times New Roman" w:cs="Times New Roman"/>
          <w:spacing w:val="8"/>
          <w:kern w:val="0"/>
          <w:sz w:val="22"/>
          <w:szCs w:val="22"/>
          <w:lang w:bidi="ar"/>
        </w:rPr>
        <w:t>(Pirk et al., 2024)</w:t>
      </w:r>
      <w:r>
        <w:rPr>
          <w:rFonts w:ascii="Times New Roman" w:hAnsi="Times New Roman" w:cs="Times New Roman"/>
          <w:spacing w:val="8"/>
          <w:kern w:val="0"/>
          <w:sz w:val="22"/>
          <w:szCs w:val="22"/>
          <w:lang w:bidi="ar"/>
        </w:rPr>
        <w:fldChar w:fldCharType="end"/>
      </w:r>
      <w:r>
        <w:rPr>
          <w:rFonts w:ascii="Times New Roman" w:hAnsi="Times New Roman" w:cs="Times New Roman"/>
          <w:spacing w:val="8"/>
          <w:kern w:val="0"/>
          <w:sz w:val="22"/>
          <w:szCs w:val="22"/>
          <w:lang w:bidi="ar"/>
        </w:rPr>
        <w:t>.</w:t>
      </w:r>
    </w:p>
    <w:p w14:paraId="74AD1C9A" w14:textId="77777777" w:rsidR="007E727D" w:rsidRDefault="00000000">
      <w:pPr>
        <w:pStyle w:val="Heading2"/>
        <w:spacing w:line="480" w:lineRule="auto"/>
        <w:rPr>
          <w:b w:val="0"/>
          <w:bCs/>
          <w:i/>
          <w:iCs/>
        </w:rPr>
      </w:pPr>
      <w:r>
        <w:rPr>
          <w:b w:val="0"/>
          <w:bCs/>
          <w:i/>
          <w:iCs/>
        </w:rPr>
        <w:lastRenderedPageBreak/>
        <w:t>1.2 Sample collection</w:t>
      </w:r>
    </w:p>
    <w:p w14:paraId="302F2ADF" w14:textId="77777777" w:rsidR="007E727D" w:rsidRDefault="00000000">
      <w:pPr>
        <w:spacing w:line="480" w:lineRule="auto"/>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In September 2022, surface sediment samples (0–20 cm depth, n=4, parallel cores) were systematically collected from a shallow pond situated in the central region of the Iškoras permafrost peatland (69.20°N, 25.17°E; elevation: 360 m). Each sample was subdivided on site into three subsamples: two subsamples were allocated for incubation experiments and sediment property analyses, while the third was reserved for subsequent molecular microbial analysis. After transportation to the laboratory under cold conditions, the subsamples were stored at 4°C and -80°C, respectively, for subsequent analyses.</w:t>
      </w:r>
    </w:p>
    <w:p w14:paraId="1C8C6848" w14:textId="77777777" w:rsidR="007E727D" w:rsidRDefault="00000000">
      <w:pPr>
        <w:pStyle w:val="Heading2"/>
        <w:spacing w:line="480" w:lineRule="auto"/>
        <w:rPr>
          <w:b w:val="0"/>
          <w:bCs/>
          <w:i/>
          <w:iCs/>
        </w:rPr>
      </w:pPr>
      <w:r>
        <w:rPr>
          <w:b w:val="0"/>
          <w:bCs/>
          <w:i/>
          <w:iCs/>
        </w:rPr>
        <w:t>1.3 Determination of environmental factors</w:t>
      </w:r>
    </w:p>
    <w:p w14:paraId="51895FA2" w14:textId="77777777" w:rsidR="007E727D" w:rsidRDefault="00000000">
      <w:pPr>
        <w:spacing w:line="480" w:lineRule="auto"/>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 xml:space="preserve">Sediment moisture content (MC) was determined using the oven-drying method: approximately 5 g of fresh sediment was weighed and recorded in a container, then dried in an oven at 60 °C for 48 hours, the samples were repeatedly dried and weighed until a constant weight was achieved. For further analyses, sediment samples were vacuum freeze-dried, homogenized, and sieved through a 100-mesh sieve. Two aliquots of the processed samples were placed in sample boats, and total carbon (TC) and inorganic carbon (IC) were determined using a total organic carbon analyzer (TOC-VCPH, Shimadzu Corporation, Japan); total organic carbon (TOC) was calculated as TOC = TC - IC. Total nitrogen (TN) content in the sediment was measured using a TNM-1 total nitrogen measurement unit connected to the TOC analyzer </w:t>
      </w:r>
      <w:r>
        <w:rPr>
          <w:rFonts w:ascii="Times New Roman" w:hAnsi="Times New Roman" w:cs="Times New Roman"/>
          <w:spacing w:val="8"/>
          <w:kern w:val="0"/>
          <w:sz w:val="22"/>
          <w:szCs w:val="22"/>
          <w:lang w:bidi="ar"/>
        </w:rPr>
        <w:fldChar w:fldCharType="begin"/>
      </w:r>
      <w:r>
        <w:rPr>
          <w:rFonts w:ascii="Times New Roman" w:hAnsi="Times New Roman" w:cs="Times New Roman"/>
          <w:spacing w:val="8"/>
          <w:sz w:val="22"/>
          <w:szCs w:val="22"/>
          <w:lang w:bidi="ar"/>
        </w:rPr>
        <w:instrText xml:space="preserve"> ADDIN ZOTERO_ITEM CSL_CITATION {"citationID":"RZiKtUxI","properties":{"formattedCitation":"(Wei et al., 2023)","plainCitation":"(Wei et al., 2023)","noteIndex":0},"citationItems":[{"id":1134,"uris":["http://zotero.org/users/13786640/items/D9H7KF88"],"itemData":{"id":1134,"type":"article-journal","abstract":"Abstract\n            Due to climate warming, ice sheets around the world are losing mass, contributing to changes across terrestrial landscapes on decadal time spans. However, landscape repercussions on climate are poorly constrained mostly due to limited knowledge on microbial responses to deglaciation. Here, we reveal the genomic succession from chemolithotrophy to photo- and heterotrophy and increases in methane supersaturation in freshwater lakes upon glacial retreat. Arctic lakes at Svalbard also revealed strong microbial signatures form nutrient fertilization by birds. Although methanotrophs were present and increased along lake chronosequences, methane consumption rates were low even in supersaturated systems. Nitrous oxide oversaturation and genomic information suggest active nitrogen cycling across the entire deglaciated landscape, and in the high Arctic, increasing bird populations serve as major modulators at many sites. Our findings show diverse microbial succession patterns, and trajectories in carbon and nitrogen cycle processes representing a positive feedback loop of deglaciation on climate warming.","citation-key":"weiTrajectoriesFreshwaterMicrobial2023","container-title":"Nature Communications","ISSN":"2041-1723","issue":"1","journalAbbreviation":"Nat. Commun.","language":"en","note":"number: 1\nTLDR: The genomic succession from chemolithotrophy to photo- and heterOTrophy and increases in methane supersaturation in freshwater lakes upon glacial retreat are revealed and Nitrous oxide oversaturation and genomic information suggest active nitrogen cycling across the entire deglaciated landscape.","page":"3234","source":"DOI.org (Crossref)","title":"Trajectories of freshwater microbial genomics and greenhouse gas saturation upon glacial retreat","volume":"14","author":[{"family":"Wei","given":"Jing"},{"family":"Fontaine","given":"Laurent"},{"family":"Valiente","given":"Nicolas"},{"family":"Dörsch","given":"Peter"},{"family":"Hessen","given":"Dag O."},{"family":"Eiler","given":"Alexander"}],"issued":{"date-parts":[["2023"]]}}}],"schema":"https://github.com/citation-style-language/schema/raw/master/csl-citation.json"} </w:instrText>
      </w:r>
      <w:r>
        <w:rPr>
          <w:rFonts w:ascii="Times New Roman" w:hAnsi="Times New Roman" w:cs="Times New Roman"/>
          <w:spacing w:val="8"/>
          <w:kern w:val="0"/>
          <w:sz w:val="22"/>
          <w:szCs w:val="22"/>
          <w:lang w:bidi="ar"/>
        </w:rPr>
        <w:fldChar w:fldCharType="separate"/>
      </w:r>
      <w:r>
        <w:rPr>
          <w:rFonts w:ascii="Times New Roman" w:hAnsi="Times New Roman" w:cs="Times New Roman"/>
          <w:sz w:val="22"/>
        </w:rPr>
        <w:t>(Wei et al., 2023)</w:t>
      </w:r>
      <w:r>
        <w:rPr>
          <w:rFonts w:ascii="Times New Roman" w:hAnsi="Times New Roman" w:cs="Times New Roman"/>
          <w:spacing w:val="8"/>
          <w:kern w:val="0"/>
          <w:sz w:val="22"/>
          <w:szCs w:val="22"/>
          <w:lang w:bidi="ar"/>
        </w:rPr>
        <w:fldChar w:fldCharType="end"/>
      </w:r>
      <w:r>
        <w:rPr>
          <w:rFonts w:ascii="Times New Roman" w:hAnsi="Times New Roman" w:cs="Times New Roman"/>
          <w:spacing w:val="8"/>
          <w:kern w:val="0"/>
          <w:sz w:val="22"/>
          <w:szCs w:val="22"/>
          <w:lang w:bidi="ar"/>
        </w:rPr>
        <w:t xml:space="preserve">. To determine pH and oxidation-reduction potential (ORP), approximately 5 g of fresh </w:t>
      </w:r>
      <w:r>
        <w:rPr>
          <w:rFonts w:ascii="Times New Roman" w:hAnsi="Times New Roman" w:cs="Times New Roman"/>
          <w:spacing w:val="8"/>
          <w:kern w:val="0"/>
          <w:sz w:val="22"/>
          <w:szCs w:val="22"/>
          <w:lang w:bidi="ar"/>
        </w:rPr>
        <w:lastRenderedPageBreak/>
        <w:t xml:space="preserve">sediment was mixed with 25 ml of ultrapure water (soil-to-water ratio 1:5). The mixture was subjected to shaking at 250 rpm for 30 minutes at 25°C, followed by a 30-minute settling period. The supernatant was then analyzed for pH and ORP using a SensION+ PH3 pH and ORP combination sensor (HACH LANGE, USA). Dissolved organic carbon (DOC) was determined using the same pretreatment method, the supernatant was filtered through a 0.45 µm membrane, and the filtrate was analyzed using the TOC analyzer </w:t>
      </w:r>
      <w:r>
        <w:rPr>
          <w:rFonts w:ascii="Times New Roman" w:hAnsi="Times New Roman" w:cs="Times New Roman"/>
          <w:spacing w:val="8"/>
          <w:kern w:val="0"/>
          <w:sz w:val="22"/>
          <w:szCs w:val="22"/>
          <w:lang w:bidi="ar"/>
        </w:rPr>
        <w:fldChar w:fldCharType="begin"/>
      </w:r>
      <w:r>
        <w:rPr>
          <w:rFonts w:ascii="Times New Roman" w:hAnsi="Times New Roman" w:cs="Times New Roman"/>
          <w:spacing w:val="8"/>
          <w:sz w:val="22"/>
          <w:szCs w:val="22"/>
          <w:lang w:bidi="ar"/>
        </w:rPr>
        <w:instrText xml:space="preserve"> ADDIN ZOTERO_ITEM CSL_CITATION {"citationID":"hEXUYDZn","properties":{"formattedCitation":"(Kj\\uc0\\u230{}r et al., 2024)","plainCitation":"(Kjær et al., 2024)","noteIndex":0},"citationItems":[{"id":418,"uris":["http://zotero.org/users/13786640/items/CZUGMDH8"],"itemData":{"id":418,"type":"article-journal","citation-key":"kjaerCarbonDegradationMobilisation2024a","container-title":"Biogeosciences","issue":"21","language":"en","page":"4723–4737","publisher":"Copernicus Publications Göttingen, Germany","source":"Google Scholar","title":"Carbon degradation and mobilisation potentials of thawing permafrost peatlands in northern Norway inferred from laboratory incubations","volume":"21","author":[{"family":"Kjær","given":"Sigrid Trier"},{"family":"Westermann","given":"Sebastian"},{"family":"Nedkvitne","given":"Nora"},{"family":"Dörsch","given":"Peter"}],"issued":{"date-parts":[["2024"]]}}}],"schema":"https://github.com/citation-style-language/schema/raw/master/csl-citation.json"} </w:instrText>
      </w:r>
      <w:r>
        <w:rPr>
          <w:rFonts w:ascii="Times New Roman" w:hAnsi="Times New Roman" w:cs="Times New Roman"/>
          <w:spacing w:val="8"/>
          <w:kern w:val="0"/>
          <w:sz w:val="22"/>
          <w:szCs w:val="22"/>
          <w:lang w:bidi="ar"/>
        </w:rPr>
        <w:fldChar w:fldCharType="separate"/>
      </w:r>
      <w:r>
        <w:rPr>
          <w:rFonts w:ascii="Times New Roman" w:hAnsi="Times New Roman" w:cs="Times New Roman"/>
          <w:kern w:val="0"/>
          <w:sz w:val="22"/>
        </w:rPr>
        <w:t>(Kjær et al., 2024)</w:t>
      </w:r>
      <w:r>
        <w:rPr>
          <w:rFonts w:ascii="Times New Roman" w:hAnsi="Times New Roman" w:cs="Times New Roman"/>
          <w:spacing w:val="8"/>
          <w:kern w:val="0"/>
          <w:sz w:val="22"/>
          <w:szCs w:val="22"/>
          <w:lang w:bidi="ar"/>
        </w:rPr>
        <w:fldChar w:fldCharType="end"/>
      </w:r>
      <w:r>
        <w:rPr>
          <w:rFonts w:ascii="Times New Roman" w:hAnsi="Times New Roman" w:cs="Times New Roman"/>
          <w:spacing w:val="8"/>
          <w:kern w:val="0"/>
          <w:sz w:val="22"/>
          <w:szCs w:val="22"/>
          <w:lang w:bidi="ar"/>
        </w:rPr>
        <w:t>.</w:t>
      </w:r>
    </w:p>
    <w:p w14:paraId="1E269CA6" w14:textId="77777777" w:rsidR="007E727D" w:rsidRDefault="00000000">
      <w:pPr>
        <w:spacing w:line="480" w:lineRule="auto"/>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The physicochemical properties of the sediment determined by the above methods were as follows: MC, 92.71 ± 3.24%; TN and TOC contents, 20.63 ± 1.52 mg/g and 393.05 ± 34.83 mg/g, respectively; pH, 4.68 ± 0.22; ORP, 130.50 ± 13.50 mV; and DOC, 81.23 ± 30.63 mg</w:t>
      </w:r>
      <w:r>
        <w:rPr>
          <w:rFonts w:ascii="Times New Roman" w:hAnsi="Times New Roman" w:cs="Times New Roman" w:hint="eastAsia"/>
          <w:spacing w:val="8"/>
          <w:kern w:val="0"/>
          <w:sz w:val="22"/>
          <w:szCs w:val="22"/>
          <w:lang w:bidi="ar"/>
        </w:rPr>
        <w:t xml:space="preserve"> </w:t>
      </w:r>
      <w:r>
        <w:rPr>
          <w:rFonts w:ascii="Times New Roman" w:hAnsi="Times New Roman" w:cs="Times New Roman"/>
          <w:spacing w:val="8"/>
          <w:kern w:val="0"/>
          <w:sz w:val="22"/>
          <w:szCs w:val="22"/>
          <w:lang w:bidi="ar"/>
        </w:rPr>
        <w:t>L</w:t>
      </w:r>
      <w:r>
        <w:rPr>
          <w:rFonts w:ascii="Times New Roman" w:hAnsi="Times New Roman" w:cs="Times New Roman" w:hint="eastAsia"/>
          <w:sz w:val="18"/>
          <w:szCs w:val="18"/>
          <w:vertAlign w:val="superscript"/>
        </w:rPr>
        <w:t>-1</w:t>
      </w:r>
      <w:r>
        <w:rPr>
          <w:rFonts w:ascii="Times New Roman" w:hAnsi="Times New Roman" w:cs="Times New Roman"/>
          <w:spacing w:val="8"/>
          <w:kern w:val="0"/>
          <w:sz w:val="22"/>
          <w:szCs w:val="22"/>
          <w:lang w:bidi="ar"/>
        </w:rPr>
        <w:t>.</w:t>
      </w:r>
    </w:p>
    <w:p w14:paraId="4A545B21" w14:textId="77777777" w:rsidR="007E727D" w:rsidRDefault="00000000">
      <w:pPr>
        <w:pStyle w:val="Heading2"/>
        <w:spacing w:line="480" w:lineRule="auto"/>
        <w:rPr>
          <w:b w:val="0"/>
          <w:bCs/>
          <w:i/>
          <w:iCs/>
        </w:rPr>
      </w:pPr>
      <w:r>
        <w:rPr>
          <w:b w:val="0"/>
          <w:bCs/>
          <w:i/>
          <w:iCs/>
        </w:rPr>
        <w:t>1.4 Culture experiment</w:t>
      </w:r>
    </w:p>
    <w:p w14:paraId="2138DE20" w14:textId="21A22B01" w:rsidR="007E727D" w:rsidRDefault="00000000">
      <w:pPr>
        <w:spacing w:line="480" w:lineRule="auto"/>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We placed fresh sediment (19.9±0.05 g) in 120 ml sterile serum bottles and sealed them with a rubber stopper in a helium-filled anaerobic chamber. Using an automatic manifold to flush headspace with helium 6.0 (He), alternately evacuating and filling the headspace three times, we ensured that the experimental systems were anoxic. The PFOA used in this study (molecular weight of 414.07, molecular formula C</w:t>
      </w:r>
      <w:r>
        <w:rPr>
          <w:rFonts w:ascii="Times New Roman" w:hAnsi="Times New Roman" w:cs="Times New Roman"/>
          <w:spacing w:val="8"/>
          <w:kern w:val="0"/>
          <w:sz w:val="22"/>
          <w:szCs w:val="22"/>
          <w:vertAlign w:val="subscript"/>
          <w:lang w:bidi="ar"/>
        </w:rPr>
        <w:t>8</w:t>
      </w:r>
      <w:r>
        <w:rPr>
          <w:rFonts w:ascii="Times New Roman" w:hAnsi="Times New Roman" w:cs="Times New Roman"/>
          <w:spacing w:val="8"/>
          <w:kern w:val="0"/>
          <w:sz w:val="22"/>
          <w:szCs w:val="22"/>
          <w:lang w:bidi="ar"/>
        </w:rPr>
        <w:t>HF</w:t>
      </w:r>
      <w:r>
        <w:rPr>
          <w:rFonts w:ascii="Times New Roman" w:hAnsi="Times New Roman" w:cs="Times New Roman"/>
          <w:spacing w:val="8"/>
          <w:kern w:val="0"/>
          <w:sz w:val="22"/>
          <w:szCs w:val="22"/>
          <w:vertAlign w:val="subscript"/>
          <w:lang w:bidi="ar"/>
        </w:rPr>
        <w:t>15</w:t>
      </w:r>
      <w:r>
        <w:rPr>
          <w:rFonts w:ascii="Times New Roman" w:hAnsi="Times New Roman" w:cs="Times New Roman"/>
          <w:spacing w:val="8"/>
          <w:kern w:val="0"/>
          <w:sz w:val="22"/>
          <w:szCs w:val="22"/>
          <w:lang w:bidi="ar"/>
        </w:rPr>
        <w:t>O</w:t>
      </w:r>
      <w:r>
        <w:rPr>
          <w:rFonts w:ascii="Times New Roman" w:hAnsi="Times New Roman" w:cs="Times New Roman"/>
          <w:spacing w:val="8"/>
          <w:kern w:val="0"/>
          <w:sz w:val="22"/>
          <w:szCs w:val="22"/>
          <w:vertAlign w:val="subscript"/>
          <w:lang w:bidi="ar"/>
        </w:rPr>
        <w:t>2</w:t>
      </w:r>
      <w:r>
        <w:rPr>
          <w:rFonts w:ascii="Times New Roman" w:hAnsi="Times New Roman" w:cs="Times New Roman"/>
          <w:spacing w:val="8"/>
          <w:kern w:val="0"/>
          <w:sz w:val="22"/>
          <w:szCs w:val="22"/>
          <w:lang w:bidi="ar"/>
        </w:rPr>
        <w:t>, CAS number 335-67-1) was purchased from Sigma-Aldrich, Norway. A PFOA stock solution (1000 μ</w:t>
      </w:r>
      <w:r>
        <w:rPr>
          <w:rFonts w:ascii="Times New Roman" w:hAnsi="Times New Roman" w:cs="Times New Roman" w:hint="eastAsia"/>
          <w:spacing w:val="8"/>
          <w:kern w:val="0"/>
          <w:sz w:val="22"/>
          <w:szCs w:val="22"/>
          <w:lang w:bidi="ar"/>
        </w:rPr>
        <w:t>/</w:t>
      </w:r>
      <w:r>
        <w:rPr>
          <w:rFonts w:ascii="Times New Roman" w:hAnsi="Times New Roman" w:cs="Times New Roman"/>
          <w:spacing w:val="8"/>
          <w:kern w:val="0"/>
          <w:sz w:val="22"/>
          <w:szCs w:val="22"/>
          <w:lang w:bidi="ar"/>
        </w:rPr>
        <w:t>m</w:t>
      </w:r>
      <w:r>
        <w:rPr>
          <w:rFonts w:ascii="Times New Roman" w:hAnsi="Times New Roman" w:cs="Times New Roman" w:hint="eastAsia"/>
          <w:spacing w:val="8"/>
          <w:kern w:val="0"/>
          <w:sz w:val="22"/>
          <w:szCs w:val="22"/>
          <w:lang w:bidi="ar"/>
        </w:rPr>
        <w:t>L</w:t>
      </w:r>
      <w:r>
        <w:rPr>
          <w:rFonts w:ascii="Times New Roman" w:hAnsi="Times New Roman" w:cs="Times New Roman"/>
          <w:spacing w:val="8"/>
          <w:kern w:val="0"/>
          <w:sz w:val="22"/>
          <w:szCs w:val="22"/>
          <w:lang w:bidi="ar"/>
        </w:rPr>
        <w:t>) was prepared by dissolving 0.5 g of PFOA powder in 500 m</w:t>
      </w:r>
      <w:r>
        <w:rPr>
          <w:rFonts w:ascii="Times New Roman" w:hAnsi="Times New Roman" w:cs="Times New Roman" w:hint="eastAsia"/>
          <w:spacing w:val="8"/>
          <w:kern w:val="0"/>
          <w:sz w:val="22"/>
          <w:szCs w:val="22"/>
          <w:lang w:bidi="ar"/>
        </w:rPr>
        <w:t>L</w:t>
      </w:r>
      <w:r>
        <w:rPr>
          <w:rFonts w:ascii="Times New Roman" w:hAnsi="Times New Roman" w:cs="Times New Roman"/>
          <w:spacing w:val="8"/>
          <w:kern w:val="0"/>
          <w:sz w:val="22"/>
          <w:szCs w:val="22"/>
          <w:lang w:bidi="ar"/>
        </w:rPr>
        <w:t xml:space="preserve"> of Milli-Q water. Working solutions with lower concentrations (20, 10, 0.8, and 0.4 μg</w:t>
      </w:r>
      <w:r>
        <w:rPr>
          <w:rFonts w:ascii="Times New Roman" w:hAnsi="Times New Roman" w:cs="Times New Roman" w:hint="eastAsia"/>
          <w:spacing w:val="8"/>
          <w:kern w:val="0"/>
          <w:sz w:val="22"/>
          <w:szCs w:val="22"/>
          <w:lang w:bidi="ar"/>
        </w:rPr>
        <w:t>/</w:t>
      </w:r>
      <w:r>
        <w:rPr>
          <w:rFonts w:ascii="Times New Roman" w:hAnsi="Times New Roman" w:cs="Times New Roman"/>
          <w:spacing w:val="8"/>
          <w:kern w:val="0"/>
          <w:sz w:val="22"/>
          <w:szCs w:val="22"/>
          <w:lang w:bidi="ar"/>
        </w:rPr>
        <w:t>m</w:t>
      </w:r>
      <w:r>
        <w:rPr>
          <w:rFonts w:ascii="Times New Roman" w:hAnsi="Times New Roman" w:cs="Times New Roman" w:hint="eastAsia"/>
          <w:spacing w:val="8"/>
          <w:kern w:val="0"/>
          <w:sz w:val="22"/>
          <w:szCs w:val="22"/>
          <w:lang w:bidi="ar"/>
        </w:rPr>
        <w:t>L</w:t>
      </w:r>
      <w:r>
        <w:rPr>
          <w:rFonts w:ascii="Times New Roman" w:hAnsi="Times New Roman" w:cs="Times New Roman"/>
          <w:spacing w:val="8"/>
          <w:kern w:val="0"/>
          <w:sz w:val="22"/>
          <w:szCs w:val="22"/>
          <w:lang w:bidi="ar"/>
        </w:rPr>
        <w:t>) were subsequently prepared by serially diluting the stock solution.</w:t>
      </w:r>
      <w:r>
        <w:rPr>
          <w:rFonts w:ascii="Times New Roman" w:hAnsi="Times New Roman" w:cs="Times New Roman" w:hint="eastAsia"/>
          <w:spacing w:val="8"/>
          <w:kern w:val="0"/>
          <w:sz w:val="22"/>
          <w:szCs w:val="22"/>
          <w:lang w:bidi="ar"/>
        </w:rPr>
        <w:t xml:space="preserve"> </w:t>
      </w:r>
      <w:r>
        <w:rPr>
          <w:rFonts w:ascii="Times New Roman" w:hAnsi="Times New Roman" w:cs="Times New Roman"/>
          <w:spacing w:val="8"/>
          <w:kern w:val="0"/>
          <w:sz w:val="22"/>
          <w:szCs w:val="22"/>
          <w:lang w:bidi="ar"/>
        </w:rPr>
        <w:t xml:space="preserve">To minimize impact on sediment characteristics, we added 0.1 ml of </w:t>
      </w:r>
      <w:r>
        <w:rPr>
          <w:rFonts w:ascii="Times New Roman" w:hAnsi="Times New Roman" w:cs="Times New Roman" w:hint="eastAsia"/>
          <w:spacing w:val="8"/>
          <w:kern w:val="0"/>
          <w:sz w:val="22"/>
          <w:szCs w:val="22"/>
          <w:lang w:bidi="ar"/>
        </w:rPr>
        <w:t xml:space="preserve">these </w:t>
      </w:r>
      <w:r>
        <w:rPr>
          <w:rFonts w:ascii="Times New Roman" w:hAnsi="Times New Roman" w:cs="Times New Roman"/>
          <w:spacing w:val="8"/>
          <w:kern w:val="0"/>
          <w:sz w:val="22"/>
          <w:szCs w:val="22"/>
          <w:lang w:bidi="ar"/>
        </w:rPr>
        <w:t xml:space="preserve">pre-prepared PFOA solutions of </w:t>
      </w:r>
      <w:r>
        <w:rPr>
          <w:rFonts w:ascii="Times New Roman" w:hAnsi="Times New Roman" w:cs="Times New Roman"/>
          <w:spacing w:val="8"/>
          <w:kern w:val="0"/>
          <w:sz w:val="22"/>
          <w:szCs w:val="22"/>
          <w:lang w:bidi="ar"/>
        </w:rPr>
        <w:lastRenderedPageBreak/>
        <w:t xml:space="preserve">different concentrations to each experimental system to achieve final PFOA concentrations of 0, 2, 4, 50, 100, and 5000 ng/g sediment (See table S1). This range was chosen to cover concentrations from typical remote areas (permafrost sediments) in the low ng/g range to polluted (10-100 ng/g) and concentrations typically found in heavy contaminated sites (sites near PFAS manufacturing plants, of extensive firefighting foam use and landfills or wastewater treatment receiving industrial effluent; see Table S1 for further detail). </w:t>
      </w:r>
    </w:p>
    <w:p w14:paraId="1DAE4300" w14:textId="77777777" w:rsidR="007E727D" w:rsidRDefault="00000000">
      <w:pPr>
        <w:spacing w:line="480" w:lineRule="auto"/>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 xml:space="preserve">A total of 24 microcosms was established (four replicates for each of the six PFOA concentrations) and incubated in the dark at 10°C in a temperature-controlled water bath equipped with automated gas analysis </w:t>
      </w:r>
      <w:r>
        <w:rPr>
          <w:rFonts w:ascii="Times New Roman" w:hAnsi="Times New Roman" w:cs="Times New Roman"/>
          <w:spacing w:val="8"/>
          <w:kern w:val="0"/>
          <w:sz w:val="22"/>
          <w:szCs w:val="22"/>
          <w:lang w:bidi="ar"/>
        </w:rPr>
        <w:fldChar w:fldCharType="begin"/>
      </w:r>
      <w:r>
        <w:rPr>
          <w:rFonts w:ascii="Times New Roman" w:hAnsi="Times New Roman" w:cs="Times New Roman"/>
          <w:spacing w:val="8"/>
          <w:sz w:val="22"/>
          <w:szCs w:val="22"/>
          <w:lang w:bidi="ar"/>
        </w:rPr>
        <w:instrText xml:space="preserve"> ADDIN ZOTERO_ITEM CSL_CITATION {"citationID":"fwZKQgyF","properties":{"formattedCitation":"(Kj\\uc0\\u230{}r et al., 2024; Molstad et al., 2007)","plainCitation":"(Kjær et al., 2024; Molstad et al., 2007)","noteIndex":0},"citationItems":[{"id":418,"uris":["http://zotero.org/users/13786640/items/CZUGMDH8"],"itemData":{"id":418,"type":"article-journal","citation-key":"kjaerCarbonDegradationMobilisation2024a","container-title":"Biogeosciences","issue":"21","language":"en","page":"4723–4737","publisher":"Copernicus Publications Göttingen, Germany","source":"Google Scholar","title":"Carbon degradation and mobilisation potentials of thawing permafrost peatlands in northern Norway inferred from laboratory incubations","volume":"21","author":[{"family":"Kjær","given":"Sigrid Trier"},{"family":"Westermann","given":"Sebastian"},{"family":"Nedkvitne","given":"Nora"},{"family":"Dörsch","given":"Peter"}],"issued":{"date-parts":[["2024"]]}},"label":"page"},{"id":1213,"uris":["http://zotero.org/users/13786640/items/4246FAMW"],"itemData":{"id":1213,"type":"article-journal","citation-key":"molstadRobotizedIncubationSystem2007","container-title":"Journal of microbiological methods","issue":"3","journalAbbreviation":"J. Microbiol. Meth.","language":"en","page":"202–211","publisher":"Elsevier","source":"Google Scholar","title":"Robotized incubation system for monitoring gases (O&lt;sub&gt;2&lt;/sub&gt;, NO, N&lt;sub&gt;2&lt;/sub&gt;O N&lt;sub&gt;2&lt;/sub&gt;) in denitrifying cultures","volume":"71","author":[{"family":"Molstad","given":"Lars"},{"family":"Dörsch","given":"Peter"},{"family":"Bakken","given":"Lars R."}],"issued":{"date-parts":[["2007"]]}},"label":"page"}],"schema":"https://github.com/citation-style-language/schema/raw/master/csl-citation.json"} </w:instrText>
      </w:r>
      <w:r>
        <w:rPr>
          <w:rFonts w:ascii="Times New Roman" w:hAnsi="Times New Roman" w:cs="Times New Roman"/>
          <w:spacing w:val="8"/>
          <w:kern w:val="0"/>
          <w:sz w:val="22"/>
          <w:szCs w:val="22"/>
          <w:lang w:bidi="ar"/>
        </w:rPr>
        <w:fldChar w:fldCharType="separate"/>
      </w:r>
      <w:r>
        <w:rPr>
          <w:rFonts w:ascii="Times New Roman" w:hAnsi="Times New Roman" w:cs="Times New Roman"/>
          <w:kern w:val="0"/>
          <w:sz w:val="22"/>
        </w:rPr>
        <w:t>(Kjær et al., 2024; Molstad et al., 2007)</w:t>
      </w:r>
      <w:r>
        <w:rPr>
          <w:rFonts w:ascii="Times New Roman" w:hAnsi="Times New Roman" w:cs="Times New Roman"/>
          <w:spacing w:val="8"/>
          <w:kern w:val="0"/>
          <w:sz w:val="22"/>
          <w:szCs w:val="22"/>
          <w:lang w:bidi="ar"/>
        </w:rPr>
        <w:fldChar w:fldCharType="end"/>
      </w:r>
      <w:r>
        <w:rPr>
          <w:rFonts w:ascii="Times New Roman" w:hAnsi="Times New Roman" w:cs="Times New Roman"/>
          <w:spacing w:val="8"/>
          <w:kern w:val="0"/>
          <w:sz w:val="22"/>
          <w:szCs w:val="22"/>
          <w:lang w:bidi="ar"/>
        </w:rPr>
        <w:t xml:space="preserve">. The incubator included a water bath placed under the robotic arm of an autosampler (GC-Pal, CTC). </w:t>
      </w:r>
    </w:p>
    <w:p w14:paraId="414D1484" w14:textId="77777777" w:rsidR="007E727D" w:rsidRDefault="00000000">
      <w:pPr>
        <w:pStyle w:val="Heading2"/>
        <w:spacing w:line="480" w:lineRule="auto"/>
        <w:rPr>
          <w:bCs/>
          <w:i/>
          <w:iCs/>
          <w:spacing w:val="8"/>
          <w:kern w:val="0"/>
          <w:lang w:bidi="ar"/>
        </w:rPr>
      </w:pPr>
      <w:r>
        <w:rPr>
          <w:b w:val="0"/>
          <w:bCs/>
          <w:i/>
          <w:iCs/>
          <w:lang w:bidi="ar"/>
        </w:rPr>
        <w:t xml:space="preserve">1.5 </w:t>
      </w:r>
      <w:r>
        <w:rPr>
          <w:b w:val="0"/>
          <w:bCs/>
          <w:i/>
          <w:iCs/>
          <w:spacing w:val="8"/>
          <w:kern w:val="0"/>
          <w:lang w:bidi="ar"/>
        </w:rPr>
        <w:t>Gas measurements and production characteristics</w:t>
      </w:r>
    </w:p>
    <w:p w14:paraId="4518EAAA" w14:textId="1E096046" w:rsidR="007E727D" w:rsidRDefault="00000000">
      <w:pPr>
        <w:spacing w:line="480" w:lineRule="auto"/>
        <w:rPr>
          <w:rFonts w:ascii="Times New Roman" w:hAnsi="Times New Roman" w:cs="Times New Roman"/>
          <w:spacing w:val="8"/>
          <w:sz w:val="22"/>
          <w:szCs w:val="22"/>
          <w:lang w:bidi="ar"/>
        </w:rPr>
      </w:pPr>
      <w:r>
        <w:rPr>
          <w:rFonts w:ascii="Times New Roman" w:hAnsi="Times New Roman" w:cs="Times New Roman"/>
          <w:spacing w:val="8"/>
          <w:kern w:val="0"/>
          <w:sz w:val="22"/>
          <w:szCs w:val="22"/>
          <w:lang w:bidi="ar"/>
        </w:rPr>
        <w:t>Gas measurements were performed by the autosampler that repeatedly pierced the bottle septa with hypodermic needles. A peristaltic pump (Gilson 222XL) transferred approximately 1 mL of headspace gas to a multipurpose, multi-detector gas chromatograph (GC; Agilent 7890A) fitted with an automated injection system. After injection, the pump was reversed to return the residual sample to the bottle, maintaining a pressure of approximately 1 atm in the bottles. The GC system included two columns—a PoraPLOT Q column for CH</w:t>
      </w:r>
      <w:r w:rsidRPr="00D33EEA">
        <w:rPr>
          <w:rFonts w:ascii="Times New Roman" w:hAnsi="Times New Roman" w:cs="Times New Roman"/>
          <w:spacing w:val="8"/>
          <w:kern w:val="0"/>
          <w:sz w:val="22"/>
          <w:szCs w:val="22"/>
          <w:vertAlign w:val="subscript"/>
          <w:lang w:bidi="ar"/>
        </w:rPr>
        <w:t>4</w:t>
      </w:r>
      <w:r>
        <w:rPr>
          <w:rFonts w:ascii="Times New Roman" w:hAnsi="Times New Roman" w:cs="Times New Roman"/>
          <w:spacing w:val="8"/>
          <w:kern w:val="0"/>
          <w:sz w:val="22"/>
          <w:szCs w:val="22"/>
          <w:lang w:bidi="ar"/>
        </w:rPr>
        <w:t xml:space="preserve"> separation and a Molesieve column for O</w:t>
      </w:r>
      <w:r w:rsidRPr="00D33EEA">
        <w:rPr>
          <w:rFonts w:ascii="Times New Roman" w:hAnsi="Times New Roman" w:cs="Times New Roman"/>
          <w:spacing w:val="8"/>
          <w:kern w:val="0"/>
          <w:sz w:val="22"/>
          <w:szCs w:val="22"/>
          <w:vertAlign w:val="subscript"/>
          <w:lang w:bidi="ar"/>
        </w:rPr>
        <w:t>2</w:t>
      </w:r>
      <w:r>
        <w:rPr>
          <w:rFonts w:ascii="Times New Roman" w:hAnsi="Times New Roman" w:cs="Times New Roman"/>
          <w:spacing w:val="8"/>
          <w:kern w:val="0"/>
          <w:sz w:val="22"/>
          <w:szCs w:val="22"/>
          <w:lang w:bidi="ar"/>
        </w:rPr>
        <w:t>/Ar/N</w:t>
      </w:r>
      <w:r w:rsidRPr="00D33EEA">
        <w:rPr>
          <w:rFonts w:ascii="Times New Roman" w:hAnsi="Times New Roman" w:cs="Times New Roman"/>
          <w:spacing w:val="8"/>
          <w:kern w:val="0"/>
          <w:sz w:val="22"/>
          <w:szCs w:val="22"/>
          <w:vertAlign w:val="subscript"/>
          <w:lang w:bidi="ar"/>
        </w:rPr>
        <w:t>2</w:t>
      </w:r>
      <w:r>
        <w:rPr>
          <w:rFonts w:ascii="Times New Roman" w:hAnsi="Times New Roman" w:cs="Times New Roman"/>
          <w:spacing w:val="8"/>
          <w:kern w:val="0"/>
          <w:sz w:val="22"/>
          <w:szCs w:val="22"/>
          <w:lang w:bidi="ar"/>
        </w:rPr>
        <w:t xml:space="preserve"> separation—as well as three detectors (TCD, FID, and ECD). Bottles containing standard gas mixtures of known concentration (AGA, Norway) were </w:t>
      </w:r>
      <w:r>
        <w:rPr>
          <w:rFonts w:ascii="Times New Roman" w:hAnsi="Times New Roman" w:cs="Times New Roman"/>
          <w:spacing w:val="8"/>
          <w:kern w:val="0"/>
          <w:sz w:val="22"/>
          <w:szCs w:val="22"/>
          <w:lang w:bidi="ar"/>
        </w:rPr>
        <w:lastRenderedPageBreak/>
        <w:t>included in each measurement sequence for calibration and to assess dilution caused by He back-purging. Bottles filled with He were used to evaluate potential O</w:t>
      </w:r>
      <w:r w:rsidRPr="00D33EEA">
        <w:rPr>
          <w:rFonts w:ascii="Times New Roman" w:hAnsi="Times New Roman" w:cs="Times New Roman"/>
          <w:spacing w:val="8"/>
          <w:kern w:val="0"/>
          <w:sz w:val="22"/>
          <w:szCs w:val="22"/>
          <w:vertAlign w:val="subscript"/>
          <w:lang w:bidi="ar"/>
        </w:rPr>
        <w:t>2</w:t>
      </w:r>
      <w:r>
        <w:rPr>
          <w:rFonts w:ascii="Times New Roman" w:hAnsi="Times New Roman" w:cs="Times New Roman"/>
          <w:spacing w:val="8"/>
          <w:kern w:val="0"/>
          <w:sz w:val="22"/>
          <w:szCs w:val="22"/>
          <w:lang w:bidi="ar"/>
        </w:rPr>
        <w:t xml:space="preserve"> leakage into the measurement system. Peak areas were converted to parts per million by volume (ppmv), and further to nmol per gram soil added for CO</w:t>
      </w:r>
      <w:r>
        <w:rPr>
          <w:rFonts w:ascii="Times New Roman" w:hAnsi="Times New Roman" w:cs="Times New Roman"/>
          <w:spacing w:val="8"/>
          <w:kern w:val="0"/>
          <w:sz w:val="22"/>
          <w:szCs w:val="22"/>
          <w:vertAlign w:val="subscript"/>
          <w:lang w:bidi="ar"/>
        </w:rPr>
        <w:t>2</w:t>
      </w:r>
      <w:r>
        <w:rPr>
          <w:rFonts w:ascii="Times New Roman" w:hAnsi="Times New Roman" w:cs="Times New Roman"/>
          <w:spacing w:val="8"/>
          <w:kern w:val="0"/>
          <w:sz w:val="22"/>
          <w:szCs w:val="22"/>
          <w:lang w:bidi="ar"/>
        </w:rPr>
        <w:t xml:space="preserve"> and CH</w:t>
      </w:r>
      <w:r w:rsidRPr="00D33EEA">
        <w:rPr>
          <w:rFonts w:ascii="Times New Roman" w:hAnsi="Times New Roman" w:cs="Times New Roman"/>
          <w:spacing w:val="8"/>
          <w:kern w:val="0"/>
          <w:sz w:val="22"/>
          <w:szCs w:val="22"/>
          <w:vertAlign w:val="subscript"/>
          <w:lang w:bidi="ar"/>
        </w:rPr>
        <w:t>4</w:t>
      </w:r>
      <w:r>
        <w:rPr>
          <w:rFonts w:ascii="Times New Roman" w:hAnsi="Times New Roman" w:cs="Times New Roman"/>
          <w:spacing w:val="8"/>
          <w:kern w:val="0"/>
          <w:sz w:val="22"/>
          <w:szCs w:val="22"/>
          <w:lang w:bidi="ar"/>
        </w:rPr>
        <w:t xml:space="preserve"> by accounting for gas solubility in peat water </w:t>
      </w:r>
      <w:r>
        <w:rPr>
          <w:rFonts w:ascii="Times New Roman" w:hAnsi="Times New Roman" w:cs="Times New Roman"/>
          <w:spacing w:val="8"/>
          <w:kern w:val="0"/>
          <w:sz w:val="22"/>
          <w:szCs w:val="22"/>
          <w:lang w:bidi="ar"/>
        </w:rPr>
        <w:fldChar w:fldCharType="begin"/>
      </w:r>
      <w:r>
        <w:rPr>
          <w:rFonts w:ascii="Times New Roman" w:hAnsi="Times New Roman" w:cs="Times New Roman"/>
          <w:spacing w:val="8"/>
          <w:sz w:val="22"/>
          <w:szCs w:val="22"/>
          <w:lang w:bidi="ar"/>
        </w:rPr>
        <w:instrText xml:space="preserve"> ADDIN ZOTERO_ITEM CSL_CITATION {"citationID":"GsI0Mujv","properties":{"formattedCitation":"(Wilhelm et al., 1977)","plainCitation":"(Wilhelm et al., 1977)","noteIndex":0},"citationItems":[{"id":1133,"uris":["http://zotero.org/users/13786640/items/LHEBW72C"],"itemData":{"id":1133,"type":"article-journal","citation-key":"wilhelmLowpressureSolubilityGases1977","container-title":"Chemical Reviews","ISSN":"0009-2665, 1520-6890","issue":"2","journalAbbreviation":"Chem. Rev.","language":"en","page":"219-262","source":"DOI.org (Crossref)","title":"Low-pressure solubility of gases in liquid water","volume":"77","author":[{"family":"Wilhelm","given":"Emmerich."},{"family":"Battino","given":"Rubin."},{"family":"Wilcock","given":"Robert J."}],"issued":{"date-parts":[["1977"]]}}}],"schema":"https://github.com/citation-style-language/schema/raw/master/csl-citation.json"} </w:instrText>
      </w:r>
      <w:r>
        <w:rPr>
          <w:rFonts w:ascii="Times New Roman" w:hAnsi="Times New Roman" w:cs="Times New Roman"/>
          <w:spacing w:val="8"/>
          <w:kern w:val="0"/>
          <w:sz w:val="22"/>
          <w:szCs w:val="22"/>
          <w:lang w:bidi="ar"/>
        </w:rPr>
        <w:fldChar w:fldCharType="separate"/>
      </w:r>
      <w:r>
        <w:rPr>
          <w:rFonts w:ascii="Times New Roman" w:hAnsi="Times New Roman" w:cs="Times New Roman"/>
          <w:sz w:val="22"/>
        </w:rPr>
        <w:t>(Wilhelm et al., 1977)</w:t>
      </w:r>
      <w:r>
        <w:rPr>
          <w:rFonts w:ascii="Times New Roman" w:hAnsi="Times New Roman" w:cs="Times New Roman"/>
          <w:spacing w:val="8"/>
          <w:kern w:val="0"/>
          <w:sz w:val="22"/>
          <w:szCs w:val="22"/>
          <w:lang w:bidi="ar"/>
        </w:rPr>
        <w:fldChar w:fldCharType="end"/>
      </w:r>
      <w:r>
        <w:rPr>
          <w:rFonts w:ascii="Times New Roman" w:hAnsi="Times New Roman" w:cs="Times New Roman"/>
          <w:spacing w:val="8"/>
          <w:kern w:val="0"/>
          <w:sz w:val="22"/>
          <w:szCs w:val="22"/>
          <w:lang w:bidi="ar"/>
        </w:rPr>
        <w:t xml:space="preserve"> and sample dilution during He back-purging and O</w:t>
      </w:r>
      <w:r w:rsidRPr="00D33EEA">
        <w:rPr>
          <w:rFonts w:ascii="Times New Roman" w:hAnsi="Times New Roman" w:cs="Times New Roman"/>
          <w:spacing w:val="8"/>
          <w:kern w:val="0"/>
          <w:sz w:val="22"/>
          <w:szCs w:val="22"/>
          <w:vertAlign w:val="subscript"/>
          <w:lang w:bidi="ar"/>
        </w:rPr>
        <w:t>2</w:t>
      </w:r>
      <w:r>
        <w:rPr>
          <w:rFonts w:ascii="Times New Roman" w:hAnsi="Times New Roman" w:cs="Times New Roman"/>
          <w:spacing w:val="8"/>
          <w:kern w:val="0"/>
          <w:sz w:val="22"/>
          <w:szCs w:val="22"/>
          <w:lang w:bidi="ar"/>
        </w:rPr>
        <w:t xml:space="preserve"> leakage. CO</w:t>
      </w:r>
      <w:r>
        <w:rPr>
          <w:rFonts w:ascii="Times New Roman" w:hAnsi="Times New Roman" w:cs="Times New Roman"/>
          <w:spacing w:val="8"/>
          <w:kern w:val="0"/>
          <w:sz w:val="22"/>
          <w:szCs w:val="22"/>
          <w:vertAlign w:val="subscript"/>
          <w:lang w:bidi="ar"/>
        </w:rPr>
        <w:t>2</w:t>
      </w:r>
      <w:r>
        <w:rPr>
          <w:rFonts w:ascii="Times New Roman" w:hAnsi="Times New Roman" w:cs="Times New Roman"/>
          <w:spacing w:val="8"/>
          <w:kern w:val="0"/>
          <w:sz w:val="22"/>
          <w:szCs w:val="22"/>
          <w:lang w:bidi="ar"/>
        </w:rPr>
        <w:t xml:space="preserve"> and CH</w:t>
      </w:r>
      <w:r>
        <w:rPr>
          <w:rFonts w:ascii="Times New Roman" w:hAnsi="Times New Roman" w:cs="Times New Roman"/>
          <w:spacing w:val="8"/>
          <w:kern w:val="0"/>
          <w:sz w:val="22"/>
          <w:szCs w:val="22"/>
          <w:vertAlign w:val="subscript"/>
          <w:lang w:bidi="ar"/>
        </w:rPr>
        <w:t>4</w:t>
      </w:r>
      <w:r>
        <w:rPr>
          <w:rFonts w:ascii="Times New Roman" w:hAnsi="Times New Roman" w:cs="Times New Roman"/>
          <w:spacing w:val="8"/>
          <w:kern w:val="0"/>
          <w:sz w:val="22"/>
          <w:szCs w:val="22"/>
          <w:lang w:bidi="ar"/>
        </w:rPr>
        <w:t xml:space="preserve"> concentration dynamics were characterized using the framework as described previously in Carlsen et al. </w:t>
      </w:r>
      <w:r>
        <w:rPr>
          <w:rFonts w:ascii="Times New Roman" w:hAnsi="Times New Roman" w:cs="Times New Roman"/>
          <w:spacing w:val="8"/>
          <w:kern w:val="0"/>
          <w:sz w:val="22"/>
          <w:szCs w:val="22"/>
          <w:lang w:bidi="ar"/>
        </w:rPr>
        <w:fldChar w:fldCharType="begin"/>
      </w:r>
      <w:r>
        <w:rPr>
          <w:rFonts w:ascii="Times New Roman" w:hAnsi="Times New Roman" w:cs="Times New Roman"/>
          <w:spacing w:val="8"/>
          <w:sz w:val="22"/>
          <w:szCs w:val="22"/>
          <w:lang w:bidi="ar"/>
        </w:rPr>
        <w:instrText xml:space="preserve"> ADDIN ZOTERO_ITEM CSL_CITATION {"citationID":"MCrv6v5K","properties":{"formattedCitation":"(Carlsen et al., 2025)","plainCitation":"(Carlsen et al., 2025)","noteIndex":0},"citationItems":[{"id":1121,"uris":["http://zotero.org/users/13786640/items/JEIVPUKW"],"itemData":{"id":1121,"type":"article-journal","citation-key":"carlsenRedoxDeterminesGreenhouse2025","container-title":"ISME communications","issue":"1","page":"ycaf009","publisher":"Oxford University Press","source":"Google Scholar","title":"Redox determines greenhouse gas production kinetics and metabolic traits in water-saturated thawing permafrost peat","volume":"5","author":[{"family":"Carlsen","given":"Eira Catharine Lødrup"},{"family":"Wei","given":"Jing"},{"family":"Lejzerowicz","given":"Franck"},{"family":"Trier Kjær","given":"Sigrid"},{"family":"Westermann","given":"Sebastian"},{"family":"Hessen","given":"Dag O."},{"family":"Dörsch","given":"Peter"},{"family":"Eiler","given":"Alexander"}],"issued":{"date-parts":[["2025"]]}}}],"schema":"https://github.com/citation-style-language/schema/raw/master/csl-citation.json"} </w:instrText>
      </w:r>
      <w:r>
        <w:rPr>
          <w:rFonts w:ascii="Times New Roman" w:hAnsi="Times New Roman" w:cs="Times New Roman"/>
          <w:spacing w:val="8"/>
          <w:kern w:val="0"/>
          <w:sz w:val="22"/>
          <w:szCs w:val="22"/>
          <w:lang w:bidi="ar"/>
        </w:rPr>
        <w:fldChar w:fldCharType="separate"/>
      </w:r>
      <w:r>
        <w:rPr>
          <w:rFonts w:ascii="Times New Roman" w:hAnsi="Times New Roman" w:cs="Times New Roman"/>
          <w:sz w:val="22"/>
        </w:rPr>
        <w:t>(Carlsen et al., 2025)</w:t>
      </w:r>
      <w:r>
        <w:rPr>
          <w:rFonts w:ascii="Times New Roman" w:hAnsi="Times New Roman" w:cs="Times New Roman"/>
          <w:spacing w:val="8"/>
          <w:kern w:val="0"/>
          <w:sz w:val="22"/>
          <w:szCs w:val="22"/>
          <w:lang w:bidi="ar"/>
        </w:rPr>
        <w:fldChar w:fldCharType="end"/>
      </w:r>
      <w:r>
        <w:rPr>
          <w:rFonts w:ascii="Times New Roman" w:hAnsi="Times New Roman" w:cs="Times New Roman"/>
          <w:spacing w:val="8"/>
          <w:kern w:val="0"/>
          <w:sz w:val="22"/>
          <w:szCs w:val="22"/>
          <w:lang w:bidi="ar"/>
        </w:rPr>
        <w:t>. Here we added two additional descriptors: the end concentration of CO</w:t>
      </w:r>
      <w:r>
        <w:rPr>
          <w:rFonts w:ascii="Times New Roman" w:hAnsi="Times New Roman" w:cs="Times New Roman"/>
          <w:spacing w:val="8"/>
          <w:kern w:val="0"/>
          <w:sz w:val="22"/>
          <w:szCs w:val="22"/>
          <w:vertAlign w:val="subscript"/>
          <w:lang w:bidi="ar"/>
        </w:rPr>
        <w:t>2</w:t>
      </w:r>
      <w:r>
        <w:rPr>
          <w:rFonts w:ascii="Times New Roman" w:hAnsi="Times New Roman" w:cs="Times New Roman"/>
          <w:spacing w:val="8"/>
          <w:kern w:val="0"/>
          <w:sz w:val="22"/>
          <w:szCs w:val="22"/>
          <w:lang w:bidi="ar"/>
        </w:rPr>
        <w:t xml:space="preserve"> and CH</w:t>
      </w:r>
      <w:r>
        <w:rPr>
          <w:rFonts w:ascii="Times New Roman" w:hAnsi="Times New Roman" w:cs="Times New Roman"/>
          <w:spacing w:val="8"/>
          <w:kern w:val="0"/>
          <w:sz w:val="22"/>
          <w:szCs w:val="22"/>
          <w:vertAlign w:val="subscript"/>
          <w:lang w:bidi="ar"/>
        </w:rPr>
        <w:t>4</w:t>
      </w:r>
      <w:r>
        <w:rPr>
          <w:rFonts w:ascii="Times New Roman" w:hAnsi="Times New Roman" w:cs="Times New Roman"/>
          <w:spacing w:val="8"/>
          <w:kern w:val="0"/>
          <w:sz w:val="22"/>
          <w:szCs w:val="22"/>
          <w:lang w:bidi="ar"/>
        </w:rPr>
        <w:t>, and take-off time (</w:t>
      </w:r>
      <w:r>
        <w:rPr>
          <w:rFonts w:ascii="Times New Roman" w:hAnsi="Times New Roman" w:cs="Times New Roman"/>
          <w:spacing w:val="8"/>
          <w:sz w:val="22"/>
          <w:szCs w:val="22"/>
          <w:lang w:bidi="ar"/>
        </w:rPr>
        <w:t>time to reach 5% of max. rate</w:t>
      </w:r>
      <w:r>
        <w:rPr>
          <w:rFonts w:ascii="Times New Roman" w:hAnsi="Times New Roman" w:cs="Times New Roman"/>
          <w:spacing w:val="8"/>
          <w:kern w:val="0"/>
          <w:sz w:val="22"/>
          <w:szCs w:val="22"/>
          <w:lang w:bidi="ar"/>
        </w:rPr>
        <w:t xml:space="preserve">). For further methodological details, see Kjær et al. </w:t>
      </w:r>
      <w:r>
        <w:rPr>
          <w:rFonts w:ascii="Times New Roman" w:hAnsi="Times New Roman" w:cs="Times New Roman"/>
          <w:spacing w:val="8"/>
          <w:kern w:val="0"/>
          <w:sz w:val="22"/>
          <w:szCs w:val="22"/>
          <w:lang w:bidi="ar"/>
        </w:rPr>
        <w:fldChar w:fldCharType="begin"/>
      </w:r>
      <w:r>
        <w:rPr>
          <w:rFonts w:ascii="Times New Roman" w:hAnsi="Times New Roman" w:cs="Times New Roman"/>
          <w:spacing w:val="8"/>
          <w:sz w:val="22"/>
          <w:szCs w:val="22"/>
          <w:lang w:bidi="ar"/>
        </w:rPr>
        <w:instrText xml:space="preserve"> ADDIN ZOTERO_ITEM CSL_CITATION {"citationID":"9dyTupRq","properties":{"formattedCitation":"(2024)","plainCitation":"(2024)","noteIndex":0},"citationItems":[{"id":418,"uris":["http://zotero.org/users/13786640/items/CZUGMDH8"],"itemData":{"id":418,"type":"article-journal","citation-key":"kjaerCarbonDegradationMobilisation2024a","container-title":"Biogeosciences","issue":"21","language":"en","page":"4723–4737","publisher":"Copernicus Publications Göttingen, Germany","source":"Google Scholar","title":"Carbon degradation and mobilisation potentials of thawing permafrost peatlands in northern Norway inferred from laboratory incubations","volume":"21","author":[{"family":"Kjær","given":"Sigrid Trier"},{"family":"Westermann","given":"Sebastian"},{"family":"Nedkvitne","given":"Nora"},{"family":"Dörsch","given":"Peter"}],"issued":{"date-parts":[["2024"]]}},"suppress-author":true}],"schema":"https://github.com/citation-style-language/schema/raw/master/csl-citation.json"} </w:instrText>
      </w:r>
      <w:r>
        <w:rPr>
          <w:rFonts w:ascii="Times New Roman" w:hAnsi="Times New Roman" w:cs="Times New Roman"/>
          <w:spacing w:val="8"/>
          <w:kern w:val="0"/>
          <w:sz w:val="22"/>
          <w:szCs w:val="22"/>
          <w:lang w:bidi="ar"/>
        </w:rPr>
        <w:fldChar w:fldCharType="separate"/>
      </w:r>
      <w:r>
        <w:rPr>
          <w:rFonts w:ascii="Times New Roman" w:hAnsi="Times New Roman" w:cs="Times New Roman"/>
          <w:sz w:val="22"/>
        </w:rPr>
        <w:t>(2024)</w:t>
      </w:r>
      <w:r>
        <w:rPr>
          <w:rFonts w:ascii="Times New Roman" w:hAnsi="Times New Roman" w:cs="Times New Roman"/>
          <w:spacing w:val="8"/>
          <w:kern w:val="0"/>
          <w:sz w:val="22"/>
          <w:szCs w:val="22"/>
          <w:lang w:bidi="ar"/>
        </w:rPr>
        <w:fldChar w:fldCharType="end"/>
      </w:r>
      <w:r>
        <w:rPr>
          <w:rFonts w:ascii="Times New Roman" w:hAnsi="Times New Roman" w:cs="Times New Roman"/>
          <w:spacing w:val="8"/>
          <w:kern w:val="0"/>
          <w:sz w:val="22"/>
          <w:szCs w:val="22"/>
          <w:lang w:bidi="ar"/>
        </w:rPr>
        <w:t xml:space="preserve"> and Molstad et al. </w:t>
      </w:r>
      <w:r>
        <w:rPr>
          <w:rFonts w:ascii="Times New Roman" w:hAnsi="Times New Roman" w:cs="Times New Roman"/>
          <w:spacing w:val="8"/>
          <w:kern w:val="0"/>
          <w:sz w:val="22"/>
          <w:szCs w:val="22"/>
          <w:lang w:bidi="ar"/>
        </w:rPr>
        <w:fldChar w:fldCharType="begin"/>
      </w:r>
      <w:r>
        <w:rPr>
          <w:rFonts w:ascii="Times New Roman" w:hAnsi="Times New Roman" w:cs="Times New Roman"/>
          <w:spacing w:val="8"/>
          <w:sz w:val="22"/>
          <w:szCs w:val="22"/>
          <w:lang w:bidi="ar"/>
        </w:rPr>
        <w:instrText xml:space="preserve"> ADDIN ZOTERO_ITEM CSL_CITATION {"citationID":"9VTs8FJ4","properties":{"formattedCitation":"(2007)","plainCitation":"(2007)","noteIndex":0},"citationItems":[{"id":1213,"uris":["http://zotero.org/users/13786640/items/4246FAMW"],"itemData":{"id":1213,"type":"article-journal","citation-key":"molstadRobotizedIncubationSystem2007","container-title":"Journal of microbiological methods","issue":"3","journalAbbreviation":"J. Microbiol. Meth.","language":"en","page":"202–211","publisher":"Elsevier","source":"Google Scholar","title":"Robotized incubation system for monitoring gases (O&lt;sub&gt;2&lt;/sub&gt;, NO, N&lt;sub&gt;2&lt;/sub&gt;O N&lt;sub&gt;2&lt;/sub&gt;) in denitrifying cultures","volume":"71","author":[{"family":"Molstad","given":"Lars"},{"family":"Dörsch","given":"Peter"},{"family":"Bakken","given":"Lars R."}],"issued":{"date-parts":[["2007"]]}},"suppress-author":true}],"schema":"https://github.com/citation-style-language/schema/raw/master/csl-citation.json"} </w:instrText>
      </w:r>
      <w:r>
        <w:rPr>
          <w:rFonts w:ascii="Times New Roman" w:hAnsi="Times New Roman" w:cs="Times New Roman"/>
          <w:spacing w:val="8"/>
          <w:kern w:val="0"/>
          <w:sz w:val="22"/>
          <w:szCs w:val="22"/>
          <w:lang w:bidi="ar"/>
        </w:rPr>
        <w:fldChar w:fldCharType="separate"/>
      </w:r>
      <w:r>
        <w:rPr>
          <w:rFonts w:ascii="Times New Roman" w:hAnsi="Times New Roman" w:cs="Times New Roman"/>
          <w:sz w:val="22"/>
        </w:rPr>
        <w:t>(2007)</w:t>
      </w:r>
      <w:r>
        <w:rPr>
          <w:rFonts w:ascii="Times New Roman" w:hAnsi="Times New Roman" w:cs="Times New Roman"/>
          <w:spacing w:val="8"/>
          <w:kern w:val="0"/>
          <w:sz w:val="22"/>
          <w:szCs w:val="22"/>
          <w:lang w:bidi="ar"/>
        </w:rPr>
        <w:fldChar w:fldCharType="end"/>
      </w:r>
      <w:r>
        <w:rPr>
          <w:rFonts w:ascii="Times New Roman" w:hAnsi="Times New Roman" w:cs="Times New Roman"/>
          <w:spacing w:val="8"/>
          <w:kern w:val="0"/>
          <w:sz w:val="22"/>
          <w:szCs w:val="22"/>
          <w:lang w:bidi="ar"/>
        </w:rPr>
        <w:t>.</w:t>
      </w:r>
    </w:p>
    <w:p w14:paraId="67EF4602" w14:textId="77777777" w:rsidR="007E727D" w:rsidRDefault="00000000">
      <w:pPr>
        <w:widowControl/>
        <w:spacing w:line="480" w:lineRule="auto"/>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The total incubation period was approximately 180 hours. Headspace gas concentrations were monitored every 6 hours to achieve a high-resolution assessment of CO</w:t>
      </w:r>
      <w:r>
        <w:rPr>
          <w:rFonts w:ascii="Times New Roman" w:hAnsi="Times New Roman" w:cs="Times New Roman"/>
          <w:spacing w:val="8"/>
          <w:kern w:val="0"/>
          <w:sz w:val="22"/>
          <w:szCs w:val="22"/>
          <w:vertAlign w:val="subscript"/>
          <w:lang w:bidi="ar"/>
        </w:rPr>
        <w:t>2</w:t>
      </w:r>
      <w:r>
        <w:rPr>
          <w:rFonts w:ascii="Times New Roman" w:hAnsi="Times New Roman" w:cs="Times New Roman"/>
          <w:spacing w:val="8"/>
          <w:kern w:val="0"/>
          <w:sz w:val="22"/>
          <w:szCs w:val="22"/>
          <w:lang w:bidi="ar"/>
        </w:rPr>
        <w:t xml:space="preserve"> and CH</w:t>
      </w:r>
      <w:r>
        <w:rPr>
          <w:rFonts w:ascii="Times New Roman" w:hAnsi="Times New Roman" w:cs="Times New Roman"/>
          <w:spacing w:val="8"/>
          <w:kern w:val="0"/>
          <w:sz w:val="22"/>
          <w:szCs w:val="22"/>
          <w:vertAlign w:val="subscript"/>
          <w:lang w:bidi="ar"/>
        </w:rPr>
        <w:t>4</w:t>
      </w:r>
      <w:r>
        <w:rPr>
          <w:rFonts w:ascii="Times New Roman" w:hAnsi="Times New Roman" w:cs="Times New Roman"/>
          <w:spacing w:val="8"/>
          <w:kern w:val="0"/>
          <w:sz w:val="22"/>
          <w:szCs w:val="22"/>
          <w:lang w:bidi="ar"/>
        </w:rPr>
        <w:t xml:space="preserve"> dynamics from the sediment samples exposed to different PFOA concentrations. Details of the CO</w:t>
      </w:r>
      <w:r>
        <w:rPr>
          <w:rFonts w:ascii="Times New Roman" w:hAnsi="Times New Roman" w:cs="Times New Roman"/>
          <w:spacing w:val="8"/>
          <w:kern w:val="0"/>
          <w:sz w:val="22"/>
          <w:szCs w:val="22"/>
          <w:vertAlign w:val="subscript"/>
          <w:lang w:bidi="ar"/>
        </w:rPr>
        <w:t>2</w:t>
      </w:r>
      <w:r>
        <w:rPr>
          <w:rFonts w:ascii="Times New Roman" w:hAnsi="Times New Roman" w:cs="Times New Roman"/>
          <w:spacing w:val="8"/>
          <w:kern w:val="0"/>
          <w:sz w:val="22"/>
          <w:szCs w:val="22"/>
          <w:lang w:bidi="ar"/>
        </w:rPr>
        <w:t xml:space="preserve"> and CH</w:t>
      </w:r>
      <w:r>
        <w:rPr>
          <w:rFonts w:ascii="Times New Roman" w:hAnsi="Times New Roman" w:cs="Times New Roman"/>
          <w:spacing w:val="8"/>
          <w:kern w:val="0"/>
          <w:sz w:val="22"/>
          <w:szCs w:val="22"/>
          <w:vertAlign w:val="subscript"/>
          <w:lang w:bidi="ar"/>
        </w:rPr>
        <w:t>4</w:t>
      </w:r>
      <w:r>
        <w:rPr>
          <w:rFonts w:ascii="Times New Roman" w:hAnsi="Times New Roman" w:cs="Times New Roman"/>
          <w:spacing w:val="8"/>
          <w:kern w:val="0"/>
          <w:sz w:val="22"/>
          <w:szCs w:val="22"/>
          <w:lang w:bidi="ar"/>
        </w:rPr>
        <w:t xml:space="preserve"> calculations are provided in the supplementary material. Following incubation, sediment samples were freeze-dried and stored at -80 °C for subsequent molecular microbiological analyses.</w:t>
      </w:r>
    </w:p>
    <w:p w14:paraId="615DBB27" w14:textId="77777777" w:rsidR="007E727D" w:rsidRDefault="00000000">
      <w:pPr>
        <w:pStyle w:val="Heading2"/>
        <w:spacing w:line="480" w:lineRule="auto"/>
        <w:rPr>
          <w:b w:val="0"/>
          <w:bCs/>
          <w:i/>
          <w:iCs/>
        </w:rPr>
      </w:pPr>
      <w:r>
        <w:rPr>
          <w:b w:val="0"/>
          <w:bCs/>
          <w:i/>
          <w:iCs/>
        </w:rPr>
        <w:t>1.6 Library preparation and sequencing</w:t>
      </w:r>
    </w:p>
    <w:p w14:paraId="63E1ADBE" w14:textId="77777777" w:rsidR="007E727D" w:rsidRDefault="00000000">
      <w:pPr>
        <w:widowControl/>
        <w:spacing w:line="480" w:lineRule="auto"/>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 xml:space="preserve">DNA was extracted from 0.05 g of vacuum freeze-dried sediment using the PowerSoil DNA Isolation Kit (MO BIO Laboratories, USA) following the manufacturer’s instructions. The quantity and purity of the extracted DNA were measured using a NanoDrop NC2000 spectrophotometer (Thermo Scientific, USA), and DNA integrity </w:t>
      </w:r>
      <w:r>
        <w:rPr>
          <w:rFonts w:ascii="Times New Roman" w:hAnsi="Times New Roman" w:cs="Times New Roman"/>
          <w:spacing w:val="8"/>
          <w:kern w:val="0"/>
          <w:sz w:val="22"/>
          <w:szCs w:val="22"/>
          <w:lang w:bidi="ar"/>
        </w:rPr>
        <w:lastRenderedPageBreak/>
        <w:t>was assessed by 1% (w/v) agarose gel electrophoresis. All DNA samples were stored at −20°C until further analysis.</w:t>
      </w:r>
    </w:p>
    <w:p w14:paraId="63D34569" w14:textId="77777777" w:rsidR="007E727D" w:rsidRDefault="00000000">
      <w:pPr>
        <w:pStyle w:val="NormalWeb"/>
        <w:widowControl/>
        <w:spacing w:beforeAutospacing="0" w:afterAutospacing="0" w:line="480" w:lineRule="auto"/>
        <w:jc w:val="both"/>
        <w:rPr>
          <w:rFonts w:ascii="Times New Roman" w:hAnsi="Times New Roman"/>
          <w:spacing w:val="8"/>
          <w:sz w:val="22"/>
          <w:szCs w:val="22"/>
          <w:lang w:bidi="ar"/>
        </w:rPr>
      </w:pPr>
      <w:r>
        <w:rPr>
          <w:rFonts w:ascii="Times New Roman" w:hAnsi="Times New Roman"/>
          <w:spacing w:val="8"/>
          <w:sz w:val="22"/>
          <w:szCs w:val="22"/>
          <w:lang w:bidi="ar"/>
        </w:rPr>
        <w:t xml:space="preserve">A two-step PCR protocol was carried out for amplification of the bacterial 16S rRNA gene (V4–V5 region), as well as the functional genes </w:t>
      </w:r>
      <w:r>
        <w:rPr>
          <w:rFonts w:ascii="Times New Roman" w:hAnsi="Times New Roman"/>
          <w:i/>
          <w:iCs/>
          <w:spacing w:val="8"/>
          <w:sz w:val="22"/>
          <w:szCs w:val="22"/>
          <w:lang w:bidi="ar"/>
        </w:rPr>
        <w:t>mcrA</w:t>
      </w:r>
      <w:r>
        <w:rPr>
          <w:rFonts w:ascii="Times New Roman" w:hAnsi="Times New Roman"/>
          <w:spacing w:val="8"/>
          <w:sz w:val="22"/>
          <w:szCs w:val="22"/>
          <w:lang w:bidi="ar"/>
        </w:rPr>
        <w:t xml:space="preserve"> (methanogens) and </w:t>
      </w:r>
      <w:r>
        <w:rPr>
          <w:rFonts w:ascii="Times New Roman" w:hAnsi="Times New Roman"/>
          <w:i/>
          <w:iCs/>
          <w:spacing w:val="8"/>
          <w:sz w:val="22"/>
          <w:szCs w:val="22"/>
          <w:lang w:bidi="ar"/>
        </w:rPr>
        <w:t>pmoA</w:t>
      </w:r>
      <w:r>
        <w:rPr>
          <w:rFonts w:ascii="Times New Roman" w:hAnsi="Times New Roman"/>
          <w:spacing w:val="8"/>
          <w:sz w:val="22"/>
          <w:szCs w:val="22"/>
          <w:lang w:bidi="ar"/>
        </w:rPr>
        <w:t xml:space="preserve"> (methanotrophs). In the first PCR, gene-specific primers with Illumina adapter overhangs were used to amplify the target fragments. The second PCR step incorporated sample-specific indices and full-length Illumina adapters. D</w:t>
      </w:r>
      <w:r>
        <w:rPr>
          <w:rFonts w:ascii="Times New Roman" w:eastAsia="SimSun" w:hAnsi="Times New Roman"/>
          <w:spacing w:val="8"/>
          <w:sz w:val="22"/>
          <w:szCs w:val="22"/>
          <w:lang w:bidi="ar"/>
        </w:rPr>
        <w:t xml:space="preserve">etails of primer sequences are provided in Table </w:t>
      </w:r>
      <w:r>
        <w:rPr>
          <w:rFonts w:ascii="Times New Roman" w:hAnsi="Times New Roman"/>
          <w:spacing w:val="8"/>
          <w:sz w:val="22"/>
          <w:szCs w:val="22"/>
          <w:lang w:bidi="ar"/>
        </w:rPr>
        <w:t>S2</w:t>
      </w:r>
      <w:r>
        <w:rPr>
          <w:rFonts w:ascii="Times New Roman" w:eastAsia="SimSun" w:hAnsi="Times New Roman"/>
          <w:spacing w:val="8"/>
          <w:sz w:val="22"/>
          <w:szCs w:val="22"/>
          <w:lang w:bidi="ar"/>
        </w:rPr>
        <w:t>.</w:t>
      </w:r>
      <w:r>
        <w:rPr>
          <w:rFonts w:ascii="Times New Roman" w:hAnsi="Times New Roman"/>
          <w:spacing w:val="8"/>
          <w:sz w:val="22"/>
          <w:szCs w:val="22"/>
          <w:lang w:bidi="ar"/>
        </w:rPr>
        <w:t xml:space="preserve"> PCR products from both steps were </w:t>
      </w:r>
      <w:r>
        <w:rPr>
          <w:rFonts w:ascii="Times New Roman" w:eastAsia="SimSun" w:hAnsi="Times New Roman"/>
          <w:spacing w:val="8"/>
          <w:sz w:val="22"/>
          <w:szCs w:val="22"/>
          <w:lang w:bidi="ar"/>
        </w:rPr>
        <w:t>verified</w:t>
      </w:r>
      <w:r>
        <w:rPr>
          <w:rFonts w:ascii="Times New Roman" w:hAnsi="Times New Roman"/>
          <w:spacing w:val="8"/>
          <w:sz w:val="22"/>
          <w:szCs w:val="22"/>
          <w:lang w:bidi="ar"/>
        </w:rPr>
        <w:t xml:space="preserve"> by 1% (w/v) agarose gel electrophoresis and purified using Agencourt AMPure XP magnetic beads (Beckman Coulter, USA). Final PCR products were quantified using PicoGreen, pooled in equimolar concentrations to construct the sequencing library, </w:t>
      </w:r>
      <w:r>
        <w:rPr>
          <w:rFonts w:ascii="Times New Roman" w:eastAsia="SimSun" w:hAnsi="Times New Roman"/>
          <w:spacing w:val="8"/>
          <w:sz w:val="22"/>
          <w:szCs w:val="22"/>
          <w:lang w:bidi="ar"/>
        </w:rPr>
        <w:t>further purified by agarose gel extraction</w:t>
      </w:r>
      <w:r>
        <w:rPr>
          <w:rFonts w:ascii="Times New Roman" w:hAnsi="Times New Roman"/>
          <w:spacing w:val="8"/>
          <w:sz w:val="22"/>
          <w:szCs w:val="22"/>
          <w:lang w:bidi="ar"/>
        </w:rPr>
        <w:t xml:space="preserve">, and </w:t>
      </w:r>
      <w:r>
        <w:rPr>
          <w:rFonts w:ascii="Times New Roman" w:eastAsia="SimSun" w:hAnsi="Times New Roman"/>
          <w:spacing w:val="8"/>
          <w:sz w:val="22"/>
          <w:szCs w:val="22"/>
          <w:lang w:bidi="ar"/>
        </w:rPr>
        <w:t>quantified prior to sequencing</w:t>
      </w:r>
      <w:r>
        <w:rPr>
          <w:rFonts w:ascii="Times New Roman" w:hAnsi="Times New Roman"/>
          <w:spacing w:val="8"/>
          <w:sz w:val="22"/>
          <w:szCs w:val="22"/>
          <w:lang w:bidi="ar"/>
        </w:rPr>
        <w:t>. High-throughput sequencing was performed on the Illumina MiSeq platform (2×300 bp, Norwegian Sequencing Center).</w:t>
      </w:r>
    </w:p>
    <w:p w14:paraId="3B1AC2DC" w14:textId="77777777" w:rsidR="007E727D" w:rsidRDefault="00000000">
      <w:pPr>
        <w:spacing w:line="480" w:lineRule="auto"/>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Raw paired-end reads were merged using FLASH v1.2.11. Quality filtering was conducted with Trimmomatic v0.33, and primer sequences were trimmed using cutadapt v1.9.1. Denoising, merging, and chimera removal were conducted using the DADA2 pipeline within QIIME2 v2020.6 to generate amplicon sequence variants (ASVs). Taxonomic assignment for 16S rRNA gene ASVs was performed using a naïve Bayes classifier trained on the SILVA 138 reference database. Functional gene ASVs (</w:t>
      </w:r>
      <w:r>
        <w:rPr>
          <w:rFonts w:ascii="Times New Roman" w:hAnsi="Times New Roman" w:cs="Times New Roman"/>
          <w:i/>
          <w:iCs/>
          <w:spacing w:val="8"/>
          <w:kern w:val="0"/>
          <w:sz w:val="22"/>
          <w:szCs w:val="22"/>
          <w:lang w:bidi="ar"/>
        </w:rPr>
        <w:t>mcrA</w:t>
      </w:r>
      <w:r>
        <w:rPr>
          <w:rFonts w:ascii="Times New Roman" w:hAnsi="Times New Roman" w:cs="Times New Roman"/>
          <w:spacing w:val="8"/>
          <w:kern w:val="0"/>
          <w:sz w:val="22"/>
          <w:szCs w:val="22"/>
          <w:lang w:bidi="ar"/>
        </w:rPr>
        <w:t xml:space="preserve"> and </w:t>
      </w:r>
      <w:r>
        <w:rPr>
          <w:rFonts w:ascii="Times New Roman" w:hAnsi="Times New Roman" w:cs="Times New Roman"/>
          <w:i/>
          <w:iCs/>
          <w:spacing w:val="8"/>
          <w:kern w:val="0"/>
          <w:sz w:val="22"/>
          <w:szCs w:val="22"/>
          <w:lang w:bidi="ar"/>
        </w:rPr>
        <w:t>pmoA</w:t>
      </w:r>
      <w:r>
        <w:rPr>
          <w:rFonts w:ascii="Times New Roman" w:hAnsi="Times New Roman" w:cs="Times New Roman"/>
          <w:spacing w:val="8"/>
          <w:kern w:val="0"/>
          <w:sz w:val="22"/>
          <w:szCs w:val="22"/>
          <w:lang w:bidi="ar"/>
        </w:rPr>
        <w:t>) were annotated using the FunGene database.</w:t>
      </w:r>
    </w:p>
    <w:p w14:paraId="0CB2331D" w14:textId="77777777" w:rsidR="007E727D" w:rsidRDefault="00000000">
      <w:pPr>
        <w:pStyle w:val="Heading2"/>
        <w:spacing w:line="480" w:lineRule="auto"/>
        <w:rPr>
          <w:b w:val="0"/>
          <w:bCs/>
          <w:i/>
          <w:iCs/>
        </w:rPr>
      </w:pPr>
      <w:r>
        <w:rPr>
          <w:b w:val="0"/>
          <w:bCs/>
          <w:i/>
          <w:iCs/>
        </w:rPr>
        <w:lastRenderedPageBreak/>
        <w:t>1.7 Bacterial (prokaryotic) numbers</w:t>
      </w:r>
    </w:p>
    <w:p w14:paraId="2B5F9410" w14:textId="77777777" w:rsidR="007E727D" w:rsidRDefault="00000000">
      <w:pPr>
        <w:pStyle w:val="NormalWeb"/>
        <w:widowControl/>
        <w:shd w:val="clear" w:color="auto" w:fill="FFFFFF"/>
        <w:spacing w:beforeAutospacing="0" w:afterAutospacing="0" w:line="480" w:lineRule="auto"/>
        <w:jc w:val="both"/>
        <w:rPr>
          <w:rFonts w:ascii="Times New Roman" w:eastAsia="SimSun" w:hAnsi="Times New Roman"/>
          <w:color w:val="222222"/>
          <w:sz w:val="22"/>
          <w:szCs w:val="22"/>
          <w:shd w:val="clear" w:color="auto" w:fill="FFFFFF"/>
        </w:rPr>
      </w:pPr>
      <w:r>
        <w:rPr>
          <w:rFonts w:ascii="Times New Roman" w:eastAsia="SimSun" w:hAnsi="Times New Roman"/>
          <w:color w:val="222222"/>
          <w:sz w:val="22"/>
          <w:szCs w:val="22"/>
          <w:shd w:val="clear" w:color="auto" w:fill="FFFFFF"/>
          <w:lang w:bidi="ar"/>
        </w:rPr>
        <w:t>Samples for bacterial counts were fixed with glutaraldehyde at a final concentration of 2% and stored at 4 °C prior to analyses. Cell</w:t>
      </w:r>
      <w:r>
        <w:rPr>
          <w:rFonts w:ascii="Times New Roman" w:eastAsia="SimSun" w:hAnsi="Times New Roman"/>
          <w:color w:val="222222"/>
          <w:sz w:val="22"/>
          <w:szCs w:val="22"/>
          <w:shd w:val="clear" w:color="auto" w:fill="FFFFFF"/>
        </w:rPr>
        <w:t>s were stained with the fluorescent nucleic acid stain SYBR green I (Molecular probes, Invitrogen, Waltham, Massachusetts, USA) for at least 30 min (1x final concentration) and counted with an Attune® NxT Acoustic Focusing Cytometer (Thermo Fisher) equipped with an Invitrogen Attune® NxT Autosampler and a 488 nm laser using green fluorescence for triggered particle scoring.</w:t>
      </w:r>
    </w:p>
    <w:p w14:paraId="0CBFE9F4" w14:textId="77777777" w:rsidR="007E727D" w:rsidRDefault="007E727D">
      <w:pPr>
        <w:pStyle w:val="NormalWeb"/>
        <w:widowControl/>
        <w:shd w:val="clear" w:color="auto" w:fill="FFFFFF"/>
        <w:spacing w:beforeAutospacing="0" w:afterAutospacing="0" w:line="480" w:lineRule="auto"/>
        <w:jc w:val="both"/>
        <w:rPr>
          <w:rFonts w:ascii="Times New Roman" w:eastAsia="SimSun" w:hAnsi="Times New Roman"/>
          <w:color w:val="222222"/>
          <w:sz w:val="22"/>
          <w:szCs w:val="22"/>
          <w:shd w:val="clear" w:color="auto" w:fill="FFFFFF"/>
        </w:rPr>
      </w:pPr>
    </w:p>
    <w:p w14:paraId="397EFBB3" w14:textId="77777777" w:rsidR="007E727D" w:rsidRDefault="00000000">
      <w:pPr>
        <w:widowControl/>
        <w:spacing w:line="360" w:lineRule="auto"/>
        <w:rPr>
          <w:rFonts w:ascii="Times New Roman" w:hAnsi="Times New Roman" w:cs="Times New Roman"/>
          <w:b/>
          <w:bCs/>
          <w:spacing w:val="8"/>
          <w:kern w:val="0"/>
          <w:sz w:val="20"/>
          <w:szCs w:val="20"/>
          <w:lang w:val="nb-NO" w:bidi="ar"/>
        </w:rPr>
      </w:pPr>
      <w:r>
        <w:rPr>
          <w:rFonts w:ascii="Times New Roman" w:hAnsi="Times New Roman" w:cs="Times New Roman"/>
          <w:b/>
          <w:bCs/>
          <w:spacing w:val="8"/>
          <w:kern w:val="0"/>
          <w:sz w:val="20"/>
          <w:szCs w:val="20"/>
          <w:lang w:val="nb-NO" w:bidi="ar"/>
        </w:rPr>
        <w:t>Reference</w:t>
      </w:r>
      <w:r>
        <w:rPr>
          <w:rFonts w:ascii="Times New Roman" w:hAnsi="Times New Roman" w:cs="Times New Roman" w:hint="eastAsia"/>
          <w:b/>
          <w:bCs/>
          <w:spacing w:val="8"/>
          <w:kern w:val="0"/>
          <w:sz w:val="20"/>
          <w:szCs w:val="20"/>
          <w:lang w:val="nb-NO" w:bidi="ar"/>
        </w:rPr>
        <w:t>s</w:t>
      </w:r>
    </w:p>
    <w:p w14:paraId="578AD57F" w14:textId="77777777" w:rsidR="007E727D" w:rsidRDefault="00000000">
      <w:pPr>
        <w:pStyle w:val="1"/>
        <w:ind w:left="360" w:hangingChars="200" w:hanging="360"/>
        <w:rPr>
          <w:rFonts w:ascii="Times New Roman" w:hAnsi="Times New Roman" w:cs="Times New Roman"/>
          <w:sz w:val="18"/>
        </w:rPr>
      </w:pPr>
      <w:r>
        <w:rPr>
          <w:rFonts w:ascii="Times New Roman" w:hAnsi="Times New Roman" w:cs="Times New Roman" w:hint="eastAsia"/>
          <w:sz w:val="18"/>
        </w:rPr>
        <w:t>Carlsen ECL, Wei J, Lejzerowicz F, Trier Kjær S, Westermann S, Hessen DO, et al. Redox determines greenhouse gas production kinetics and metabolic traits in water-saturated thawing permafrost peat. ISME Communications 2025;5:ycaf009.</w:t>
      </w:r>
    </w:p>
    <w:p w14:paraId="042D5051" w14:textId="77777777" w:rsidR="007E727D" w:rsidRDefault="00000000">
      <w:pPr>
        <w:pStyle w:val="1"/>
        <w:ind w:left="360" w:hangingChars="200" w:hanging="360"/>
        <w:rPr>
          <w:rFonts w:ascii="Times New Roman" w:hAnsi="Times New Roman" w:cs="Times New Roman"/>
          <w:sz w:val="18"/>
        </w:rPr>
      </w:pPr>
      <w:r>
        <w:rPr>
          <w:rFonts w:ascii="Times New Roman" w:hAnsi="Times New Roman" w:cs="Times New Roman" w:hint="eastAsia"/>
          <w:sz w:val="18"/>
        </w:rPr>
        <w:t>Kjær ST, Westermann S, Nedkvitne N, Dörsch P. Carbon degradation and mobilisation potentials of thawing permafrost peatlands in northern Norway inferred from laboratory incubations. Biogeosciences 2024;21:4723</w:t>
      </w:r>
      <w:r>
        <w:rPr>
          <w:rFonts w:ascii="Times New Roman" w:hAnsi="Times New Roman" w:cs="Times New Roman" w:hint="eastAsia"/>
          <w:sz w:val="18"/>
        </w:rPr>
        <w:t>–</w:t>
      </w:r>
      <w:r>
        <w:rPr>
          <w:rFonts w:ascii="Times New Roman" w:hAnsi="Times New Roman" w:cs="Times New Roman" w:hint="eastAsia"/>
          <w:sz w:val="18"/>
        </w:rPr>
        <w:t>37.</w:t>
      </w:r>
    </w:p>
    <w:p w14:paraId="596EEB79" w14:textId="77777777" w:rsidR="007E727D" w:rsidRDefault="00000000">
      <w:pPr>
        <w:pStyle w:val="1"/>
        <w:ind w:left="360" w:hangingChars="200" w:hanging="360"/>
        <w:rPr>
          <w:rFonts w:ascii="Times New Roman" w:hAnsi="Times New Roman" w:cs="Times New Roman"/>
          <w:sz w:val="18"/>
        </w:rPr>
      </w:pPr>
      <w:r>
        <w:rPr>
          <w:rFonts w:ascii="Times New Roman" w:hAnsi="Times New Roman" w:cs="Times New Roman" w:hint="eastAsia"/>
          <w:sz w:val="18"/>
        </w:rPr>
        <w:t>Kjellman SE, Axelsson PE, Etzelm</w:t>
      </w:r>
      <w:r>
        <w:rPr>
          <w:rFonts w:ascii="Times New Roman" w:hAnsi="Times New Roman" w:cs="Times New Roman" w:hint="eastAsia"/>
          <w:sz w:val="18"/>
        </w:rPr>
        <w:t>ü</w:t>
      </w:r>
      <w:r>
        <w:rPr>
          <w:rFonts w:ascii="Times New Roman" w:hAnsi="Times New Roman" w:cs="Times New Roman" w:hint="eastAsia"/>
          <w:sz w:val="18"/>
        </w:rPr>
        <w:t>ller B, Westermann S, Sannel ABK. Holocene development of subarctic permafrost peatlands in Finnmark, northern Norway. The Holocene 2018;28:1855</w:t>
      </w:r>
      <w:r>
        <w:rPr>
          <w:rFonts w:ascii="Times New Roman" w:hAnsi="Times New Roman" w:cs="Times New Roman" w:hint="eastAsia"/>
          <w:sz w:val="18"/>
        </w:rPr>
        <w:t>–</w:t>
      </w:r>
      <w:r>
        <w:rPr>
          <w:rFonts w:ascii="Times New Roman" w:hAnsi="Times New Roman" w:cs="Times New Roman" w:hint="eastAsia"/>
          <w:sz w:val="18"/>
        </w:rPr>
        <w:t>69.</w:t>
      </w:r>
    </w:p>
    <w:p w14:paraId="0F4C55B4" w14:textId="77777777" w:rsidR="007E727D" w:rsidRDefault="00000000">
      <w:pPr>
        <w:pStyle w:val="1"/>
        <w:ind w:left="360" w:hangingChars="200" w:hanging="360"/>
        <w:rPr>
          <w:rFonts w:ascii="Times New Roman" w:hAnsi="Times New Roman" w:cs="Times New Roman"/>
          <w:sz w:val="18"/>
        </w:rPr>
      </w:pPr>
      <w:r>
        <w:rPr>
          <w:rFonts w:ascii="Times New Roman" w:hAnsi="Times New Roman" w:cs="Times New Roman" w:hint="eastAsia"/>
          <w:sz w:val="18"/>
        </w:rPr>
        <w:t>Molstad L, Dörsch P, Bakken LR. Robotized incubation system for monitoring gases (O2, NO, N2O N2) in denitrifying cultures. J Microbiol Meth 2007;71:202</w:t>
      </w:r>
      <w:r>
        <w:rPr>
          <w:rFonts w:ascii="Times New Roman" w:hAnsi="Times New Roman" w:cs="Times New Roman" w:hint="eastAsia"/>
          <w:sz w:val="18"/>
        </w:rPr>
        <w:t>–</w:t>
      </w:r>
      <w:r>
        <w:rPr>
          <w:rFonts w:ascii="Times New Roman" w:hAnsi="Times New Roman" w:cs="Times New Roman" w:hint="eastAsia"/>
          <w:sz w:val="18"/>
        </w:rPr>
        <w:t>11.</w:t>
      </w:r>
    </w:p>
    <w:p w14:paraId="7E809E92" w14:textId="77777777" w:rsidR="007E727D" w:rsidRDefault="00000000">
      <w:pPr>
        <w:pStyle w:val="1"/>
        <w:ind w:left="360" w:hangingChars="200" w:hanging="360"/>
        <w:rPr>
          <w:rFonts w:ascii="Times New Roman" w:hAnsi="Times New Roman" w:cs="Times New Roman"/>
          <w:sz w:val="18"/>
        </w:rPr>
      </w:pPr>
      <w:r>
        <w:rPr>
          <w:rFonts w:ascii="Times New Roman" w:hAnsi="Times New Roman" w:cs="Times New Roman" w:hint="eastAsia"/>
          <w:sz w:val="18"/>
        </w:rPr>
        <w:t>Pirk N, Aalstad K, Mannerfelt ES, Clayer F, De Wit H, Christiansen CT, et al. Disaggregating the carbon exchange of degrading permafrost peatlands using bayesian deep learning. Geophys Res Lett 2024;51:e2024GL109283.</w:t>
      </w:r>
    </w:p>
    <w:p w14:paraId="2750527C" w14:textId="77777777" w:rsidR="007E727D" w:rsidRDefault="00000000">
      <w:pPr>
        <w:pStyle w:val="1"/>
        <w:ind w:left="360" w:hangingChars="200" w:hanging="360"/>
        <w:rPr>
          <w:rFonts w:ascii="Times New Roman" w:hAnsi="Times New Roman" w:cs="Times New Roman"/>
          <w:sz w:val="18"/>
        </w:rPr>
      </w:pPr>
      <w:r>
        <w:rPr>
          <w:rFonts w:ascii="Times New Roman" w:hAnsi="Times New Roman" w:cs="Times New Roman" w:hint="eastAsia"/>
          <w:sz w:val="18"/>
        </w:rPr>
        <w:t>Wei J, Fontaine L, Valiente N, Dörsch P, Hessen DO, Eiler A. Trajectories of freshwater microbial genomics and greenhouse gas saturation upon glacial retreat. Nat Commun 2023;14:3234.</w:t>
      </w:r>
    </w:p>
    <w:p w14:paraId="4F7913DF" w14:textId="77777777" w:rsidR="007E727D" w:rsidRDefault="00000000">
      <w:pPr>
        <w:pStyle w:val="1"/>
        <w:ind w:left="360" w:hangingChars="200" w:hanging="360"/>
        <w:rPr>
          <w:rFonts w:ascii="Times New Roman" w:hAnsi="Times New Roman" w:cs="Times New Roman"/>
          <w:sz w:val="18"/>
        </w:rPr>
      </w:pPr>
      <w:r>
        <w:rPr>
          <w:rFonts w:ascii="Times New Roman" w:hAnsi="Times New Roman" w:cs="Times New Roman" w:hint="eastAsia"/>
          <w:sz w:val="18"/>
        </w:rPr>
        <w:t>Wilhelm Emmerich, Battino Rubin, Wilcock RJ. Low-pressure solubility of gases in liquid water. Chem Rev 1977;77:219</w:t>
      </w:r>
      <w:r>
        <w:rPr>
          <w:rFonts w:ascii="Times New Roman" w:hAnsi="Times New Roman" w:cs="Times New Roman" w:hint="eastAsia"/>
          <w:sz w:val="18"/>
        </w:rPr>
        <w:t>–</w:t>
      </w:r>
      <w:r>
        <w:rPr>
          <w:rFonts w:ascii="Times New Roman" w:hAnsi="Times New Roman" w:cs="Times New Roman" w:hint="eastAsia"/>
          <w:sz w:val="18"/>
        </w:rPr>
        <w:t>62.</w:t>
      </w:r>
    </w:p>
    <w:p w14:paraId="72FC2E05" w14:textId="77777777" w:rsidR="007E727D" w:rsidRDefault="007E727D">
      <w:pPr>
        <w:pStyle w:val="NormalWeb"/>
        <w:widowControl/>
        <w:shd w:val="clear" w:color="auto" w:fill="FFFFFF"/>
        <w:spacing w:beforeAutospacing="0" w:afterAutospacing="0" w:line="480" w:lineRule="auto"/>
        <w:jc w:val="both"/>
        <w:rPr>
          <w:rFonts w:ascii="Times New Roman" w:hAnsi="Times New Roman"/>
          <w:spacing w:val="8"/>
          <w:sz w:val="22"/>
          <w:szCs w:val="22"/>
          <w:lang w:bidi="ar"/>
        </w:rPr>
      </w:pPr>
    </w:p>
    <w:p w14:paraId="4F7E781E" w14:textId="77777777" w:rsidR="007E727D" w:rsidRPr="00D33EEA" w:rsidRDefault="007E727D">
      <w:pPr>
        <w:rPr>
          <w:rFonts w:ascii="Times New Roman" w:hAnsi="Times New Roman" w:cs="Times New Roman"/>
          <w:b/>
          <w:sz w:val="44"/>
        </w:rPr>
      </w:pPr>
    </w:p>
    <w:p w14:paraId="41D2EBF1" w14:textId="77777777" w:rsidR="007E727D" w:rsidRDefault="007E727D">
      <w:pPr>
        <w:pStyle w:val="Heading1"/>
        <w:numPr>
          <w:ilvl w:val="0"/>
          <w:numId w:val="1"/>
        </w:numPr>
        <w:spacing w:beforeLines="50" w:before="156" w:afterLines="50" w:after="156" w:line="360" w:lineRule="auto"/>
        <w:rPr>
          <w:rFonts w:ascii="Times New Roman" w:hAnsi="Times New Roman" w:cs="Times New Roman"/>
          <w:sz w:val="24"/>
        </w:rPr>
        <w:sectPr w:rsidR="007E727D">
          <w:pgSz w:w="11906" w:h="16838"/>
          <w:pgMar w:top="1440" w:right="1800" w:bottom="1440" w:left="1800" w:header="851" w:footer="992" w:gutter="0"/>
          <w:cols w:space="425"/>
          <w:docGrid w:type="lines" w:linePitch="312"/>
        </w:sectPr>
      </w:pPr>
    </w:p>
    <w:p w14:paraId="53B25C9C" w14:textId="77777777" w:rsidR="007E727D" w:rsidRDefault="00000000">
      <w:pPr>
        <w:pStyle w:val="Heading1"/>
        <w:numPr>
          <w:ilvl w:val="0"/>
          <w:numId w:val="1"/>
        </w:numPr>
        <w:spacing w:beforeLines="50" w:before="156" w:afterLines="50" w:after="156" w:line="360" w:lineRule="auto"/>
        <w:rPr>
          <w:rFonts w:ascii="Times New Roman" w:hAnsi="Times New Roman" w:cs="Times New Roman"/>
          <w:sz w:val="24"/>
        </w:rPr>
      </w:pPr>
      <w:r>
        <w:rPr>
          <w:rFonts w:ascii="Times New Roman" w:hAnsi="Times New Roman" w:cs="Times New Roman"/>
          <w:sz w:val="24"/>
        </w:rPr>
        <w:lastRenderedPageBreak/>
        <w:t>Supplementary tables</w:t>
      </w:r>
    </w:p>
    <w:p w14:paraId="7C97A143" w14:textId="77777777" w:rsidR="007E727D" w:rsidRDefault="00000000">
      <w:pPr>
        <w:pStyle w:val="Heading2"/>
        <w:rPr>
          <w:b w:val="0"/>
          <w:bCs/>
        </w:rPr>
      </w:pPr>
      <w:r>
        <w:t>Table</w:t>
      </w:r>
      <w:r>
        <w:rPr>
          <w:rFonts w:hint="eastAsia"/>
        </w:rPr>
        <w:t>.</w:t>
      </w:r>
      <w:r>
        <w:t xml:space="preserve"> </w:t>
      </w:r>
      <w:r>
        <w:rPr>
          <w:rFonts w:hint="eastAsia"/>
        </w:rPr>
        <w:t>S</w:t>
      </w:r>
      <w:r>
        <w:t xml:space="preserve">1. Incubation experiment information for different concentrations of Perfluorooctanoic acid (PFOA). </w:t>
      </w:r>
      <w:r>
        <w:rPr>
          <w:b w:val="0"/>
          <w:bCs/>
        </w:rPr>
        <w:t>Final PFOA concentrations are given in ng/g of sediment. References provide a basis for the used PFOA concentrations.</w:t>
      </w:r>
    </w:p>
    <w:tbl>
      <w:tblPr>
        <w:tblStyle w:val="TableGrid"/>
        <w:tblW w:w="8459"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5"/>
        <w:gridCol w:w="992"/>
        <w:gridCol w:w="1043"/>
        <w:gridCol w:w="1225"/>
        <w:gridCol w:w="957"/>
        <w:gridCol w:w="1043"/>
        <w:gridCol w:w="1704"/>
      </w:tblGrid>
      <w:tr w:rsidR="007E727D" w14:paraId="550D2EF6" w14:textId="77777777">
        <w:trPr>
          <w:trHeight w:val="564"/>
          <w:jc w:val="center"/>
        </w:trPr>
        <w:tc>
          <w:tcPr>
            <w:tcW w:w="1495" w:type="dxa"/>
            <w:vAlign w:val="center"/>
          </w:tcPr>
          <w:p w14:paraId="60128A50" w14:textId="77777777" w:rsidR="007E727D" w:rsidRDefault="00000000">
            <w:pPr>
              <w:pStyle w:val="a"/>
              <w:spacing w:line="240" w:lineRule="auto"/>
              <w:rPr>
                <w:rFonts w:ascii="Times New Roman" w:hAnsi="Times New Roman" w:cs="Times New Roman"/>
                <w:sz w:val="18"/>
                <w:szCs w:val="18"/>
              </w:rPr>
            </w:pPr>
            <w:r>
              <w:rPr>
                <w:rFonts w:ascii="Times New Roman" w:hAnsi="Times New Roman" w:cs="Times New Roman"/>
                <w:sz w:val="18"/>
                <w:szCs w:val="18"/>
              </w:rPr>
              <w:t>Final PFOA Concentration</w:t>
            </w:r>
          </w:p>
        </w:tc>
        <w:tc>
          <w:tcPr>
            <w:tcW w:w="992" w:type="dxa"/>
            <w:vAlign w:val="center"/>
          </w:tcPr>
          <w:p w14:paraId="42510C62" w14:textId="77777777" w:rsidR="007E727D" w:rsidRDefault="00000000">
            <w:pPr>
              <w:pStyle w:val="a"/>
              <w:spacing w:line="240" w:lineRule="auto"/>
              <w:rPr>
                <w:rFonts w:ascii="Times New Roman" w:hAnsi="Times New Roman" w:cs="Times New Roman"/>
                <w:sz w:val="18"/>
                <w:szCs w:val="18"/>
              </w:rPr>
            </w:pPr>
            <w:r>
              <w:rPr>
                <w:rFonts w:ascii="Times New Roman" w:hAnsi="Times New Roman" w:cs="Times New Roman"/>
                <w:sz w:val="18"/>
                <w:szCs w:val="18"/>
              </w:rPr>
              <w:t>0 ng/g</w:t>
            </w:r>
          </w:p>
        </w:tc>
        <w:tc>
          <w:tcPr>
            <w:tcW w:w="1043" w:type="dxa"/>
            <w:vAlign w:val="center"/>
          </w:tcPr>
          <w:p w14:paraId="3A54E5F7" w14:textId="77777777" w:rsidR="007E727D" w:rsidRDefault="00000000">
            <w:pPr>
              <w:pStyle w:val="a"/>
              <w:spacing w:line="240" w:lineRule="auto"/>
              <w:rPr>
                <w:rFonts w:ascii="Times New Roman" w:hAnsi="Times New Roman" w:cs="Times New Roman"/>
                <w:sz w:val="18"/>
                <w:szCs w:val="18"/>
              </w:rPr>
            </w:pPr>
            <w:r>
              <w:rPr>
                <w:rFonts w:ascii="Times New Roman" w:hAnsi="Times New Roman" w:cs="Times New Roman"/>
                <w:sz w:val="18"/>
                <w:szCs w:val="18"/>
              </w:rPr>
              <w:t>2 ng/g</w:t>
            </w:r>
          </w:p>
        </w:tc>
        <w:tc>
          <w:tcPr>
            <w:tcW w:w="1225" w:type="dxa"/>
            <w:vAlign w:val="center"/>
          </w:tcPr>
          <w:p w14:paraId="660710D1" w14:textId="77777777" w:rsidR="007E727D" w:rsidRDefault="00000000">
            <w:pPr>
              <w:pStyle w:val="a"/>
              <w:spacing w:line="240" w:lineRule="auto"/>
              <w:rPr>
                <w:rFonts w:ascii="Times New Roman" w:hAnsi="Times New Roman" w:cs="Times New Roman"/>
                <w:sz w:val="18"/>
                <w:szCs w:val="18"/>
              </w:rPr>
            </w:pPr>
            <w:r>
              <w:rPr>
                <w:rFonts w:ascii="Times New Roman" w:hAnsi="Times New Roman" w:cs="Times New Roman"/>
                <w:sz w:val="18"/>
                <w:szCs w:val="18"/>
              </w:rPr>
              <w:t>4 ng/g</w:t>
            </w:r>
          </w:p>
        </w:tc>
        <w:tc>
          <w:tcPr>
            <w:tcW w:w="957" w:type="dxa"/>
            <w:vAlign w:val="center"/>
          </w:tcPr>
          <w:p w14:paraId="381D04D5" w14:textId="77777777" w:rsidR="007E727D" w:rsidRDefault="00000000">
            <w:pPr>
              <w:pStyle w:val="a"/>
              <w:spacing w:line="240" w:lineRule="auto"/>
              <w:rPr>
                <w:rFonts w:ascii="Times New Roman" w:hAnsi="Times New Roman" w:cs="Times New Roman"/>
                <w:sz w:val="18"/>
                <w:szCs w:val="18"/>
              </w:rPr>
            </w:pPr>
            <w:r>
              <w:rPr>
                <w:rFonts w:ascii="Times New Roman" w:hAnsi="Times New Roman" w:cs="Times New Roman"/>
                <w:sz w:val="18"/>
                <w:szCs w:val="18"/>
              </w:rPr>
              <w:t>50 ng/g</w:t>
            </w:r>
          </w:p>
        </w:tc>
        <w:tc>
          <w:tcPr>
            <w:tcW w:w="1043" w:type="dxa"/>
            <w:vAlign w:val="center"/>
          </w:tcPr>
          <w:p w14:paraId="4C4F303A" w14:textId="77777777" w:rsidR="007E727D" w:rsidRDefault="00000000">
            <w:pPr>
              <w:pStyle w:val="a"/>
              <w:spacing w:line="240" w:lineRule="auto"/>
              <w:rPr>
                <w:rFonts w:ascii="Times New Roman" w:hAnsi="Times New Roman" w:cs="Times New Roman"/>
                <w:sz w:val="18"/>
                <w:szCs w:val="18"/>
              </w:rPr>
            </w:pPr>
            <w:r>
              <w:rPr>
                <w:rFonts w:ascii="Times New Roman" w:hAnsi="Times New Roman" w:cs="Times New Roman"/>
                <w:sz w:val="18"/>
                <w:szCs w:val="18"/>
              </w:rPr>
              <w:t>100 ng/g</w:t>
            </w:r>
          </w:p>
        </w:tc>
        <w:tc>
          <w:tcPr>
            <w:tcW w:w="1704" w:type="dxa"/>
            <w:vAlign w:val="center"/>
          </w:tcPr>
          <w:p w14:paraId="14F9FA8A" w14:textId="77777777" w:rsidR="007E727D" w:rsidRDefault="00000000">
            <w:pPr>
              <w:pStyle w:val="a"/>
              <w:spacing w:line="240" w:lineRule="auto"/>
              <w:rPr>
                <w:rFonts w:ascii="Times New Roman" w:hAnsi="Times New Roman" w:cs="Times New Roman"/>
                <w:sz w:val="18"/>
                <w:szCs w:val="18"/>
              </w:rPr>
            </w:pPr>
            <w:r>
              <w:rPr>
                <w:rFonts w:ascii="Times New Roman" w:hAnsi="Times New Roman" w:cs="Times New Roman"/>
                <w:sz w:val="18"/>
                <w:szCs w:val="18"/>
              </w:rPr>
              <w:t>5000 ng/g</w:t>
            </w:r>
          </w:p>
        </w:tc>
      </w:tr>
      <w:tr w:rsidR="007E727D" w14:paraId="460674FA" w14:textId="77777777">
        <w:trPr>
          <w:trHeight w:val="564"/>
          <w:jc w:val="center"/>
        </w:trPr>
        <w:tc>
          <w:tcPr>
            <w:tcW w:w="1495" w:type="dxa"/>
            <w:vAlign w:val="center"/>
          </w:tcPr>
          <w:p w14:paraId="75CF815C" w14:textId="77777777" w:rsidR="007E727D" w:rsidRDefault="00000000">
            <w:pPr>
              <w:pStyle w:val="a"/>
              <w:spacing w:line="240" w:lineRule="auto"/>
              <w:rPr>
                <w:rFonts w:ascii="Times New Roman" w:hAnsi="Times New Roman" w:cs="Times New Roman"/>
                <w:sz w:val="18"/>
                <w:szCs w:val="18"/>
              </w:rPr>
            </w:pPr>
            <w:r>
              <w:rPr>
                <w:rFonts w:ascii="Times New Roman" w:hAnsi="Times New Roman" w:cs="Times New Roman"/>
                <w:sz w:val="18"/>
                <w:szCs w:val="18"/>
              </w:rPr>
              <w:t>Group Name</w:t>
            </w:r>
          </w:p>
        </w:tc>
        <w:tc>
          <w:tcPr>
            <w:tcW w:w="992" w:type="dxa"/>
            <w:vAlign w:val="center"/>
          </w:tcPr>
          <w:p w14:paraId="34A29923"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Control</w:t>
            </w:r>
          </w:p>
        </w:tc>
        <w:tc>
          <w:tcPr>
            <w:tcW w:w="1043" w:type="dxa"/>
            <w:vAlign w:val="center"/>
          </w:tcPr>
          <w:p w14:paraId="5CD9B126"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PFOA2</w:t>
            </w:r>
          </w:p>
        </w:tc>
        <w:tc>
          <w:tcPr>
            <w:tcW w:w="1225" w:type="dxa"/>
            <w:vAlign w:val="center"/>
          </w:tcPr>
          <w:p w14:paraId="266DEC0D"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PFOA4</w:t>
            </w:r>
          </w:p>
        </w:tc>
        <w:tc>
          <w:tcPr>
            <w:tcW w:w="957" w:type="dxa"/>
            <w:vAlign w:val="center"/>
          </w:tcPr>
          <w:p w14:paraId="6205821E"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PFOA50</w:t>
            </w:r>
          </w:p>
        </w:tc>
        <w:tc>
          <w:tcPr>
            <w:tcW w:w="1043" w:type="dxa"/>
            <w:vAlign w:val="center"/>
          </w:tcPr>
          <w:p w14:paraId="085D991C"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PFOA100</w:t>
            </w:r>
          </w:p>
        </w:tc>
        <w:tc>
          <w:tcPr>
            <w:tcW w:w="1704" w:type="dxa"/>
            <w:vAlign w:val="center"/>
          </w:tcPr>
          <w:p w14:paraId="09C78358"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PFOA5000</w:t>
            </w:r>
          </w:p>
        </w:tc>
      </w:tr>
      <w:tr w:rsidR="007E727D" w14:paraId="0A561B61" w14:textId="77777777">
        <w:trPr>
          <w:trHeight w:val="737"/>
          <w:jc w:val="center"/>
        </w:trPr>
        <w:tc>
          <w:tcPr>
            <w:tcW w:w="1495" w:type="dxa"/>
            <w:vAlign w:val="center"/>
          </w:tcPr>
          <w:p w14:paraId="00C26288" w14:textId="77777777" w:rsidR="007E727D" w:rsidRDefault="00000000">
            <w:pPr>
              <w:pStyle w:val="a"/>
              <w:spacing w:line="240" w:lineRule="auto"/>
              <w:rPr>
                <w:rFonts w:ascii="Times New Roman" w:hAnsi="Times New Roman" w:cs="Times New Roman"/>
                <w:sz w:val="18"/>
                <w:szCs w:val="18"/>
              </w:rPr>
            </w:pPr>
            <w:r>
              <w:rPr>
                <w:rFonts w:ascii="Times New Roman" w:hAnsi="Times New Roman" w:cs="Times New Roman"/>
                <w:sz w:val="18"/>
                <w:szCs w:val="18"/>
              </w:rPr>
              <w:t>Group Description</w:t>
            </w:r>
          </w:p>
        </w:tc>
        <w:tc>
          <w:tcPr>
            <w:tcW w:w="992" w:type="dxa"/>
            <w:vAlign w:val="center"/>
          </w:tcPr>
          <w:p w14:paraId="3C4AA85D"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Control</w:t>
            </w:r>
          </w:p>
        </w:tc>
        <w:tc>
          <w:tcPr>
            <w:tcW w:w="2268" w:type="dxa"/>
            <w:gridSpan w:val="2"/>
            <w:vAlign w:val="center"/>
          </w:tcPr>
          <w:p w14:paraId="1729D107"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Low concentration</w:t>
            </w:r>
          </w:p>
        </w:tc>
        <w:tc>
          <w:tcPr>
            <w:tcW w:w="2000" w:type="dxa"/>
            <w:gridSpan w:val="2"/>
            <w:vAlign w:val="center"/>
          </w:tcPr>
          <w:p w14:paraId="3A44C54C"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Medium concentration</w:t>
            </w:r>
          </w:p>
        </w:tc>
        <w:tc>
          <w:tcPr>
            <w:tcW w:w="1704" w:type="dxa"/>
            <w:vAlign w:val="center"/>
          </w:tcPr>
          <w:p w14:paraId="7B51C095"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High concentration</w:t>
            </w:r>
          </w:p>
        </w:tc>
      </w:tr>
      <w:tr w:rsidR="007E727D" w14:paraId="64EDE5F8" w14:textId="77777777">
        <w:trPr>
          <w:trHeight w:val="737"/>
          <w:jc w:val="center"/>
        </w:trPr>
        <w:tc>
          <w:tcPr>
            <w:tcW w:w="1495" w:type="dxa"/>
            <w:vAlign w:val="center"/>
          </w:tcPr>
          <w:p w14:paraId="24650679" w14:textId="77777777" w:rsidR="007E727D" w:rsidRDefault="00000000">
            <w:pPr>
              <w:pStyle w:val="a"/>
              <w:spacing w:line="240" w:lineRule="auto"/>
              <w:rPr>
                <w:rFonts w:ascii="Times New Roman" w:hAnsi="Times New Roman" w:cs="Times New Roman"/>
                <w:sz w:val="18"/>
                <w:szCs w:val="18"/>
              </w:rPr>
            </w:pPr>
            <w:r>
              <w:rPr>
                <w:rFonts w:ascii="Times New Roman" w:hAnsi="Times New Roman" w:cs="Times New Roman"/>
                <w:sz w:val="18"/>
                <w:szCs w:val="18"/>
              </w:rPr>
              <w:t>Group Basis</w:t>
            </w:r>
          </w:p>
        </w:tc>
        <w:tc>
          <w:tcPr>
            <w:tcW w:w="992" w:type="dxa"/>
            <w:vAlign w:val="center"/>
          </w:tcPr>
          <w:p w14:paraId="52B60634"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Blank control</w:t>
            </w:r>
          </w:p>
        </w:tc>
        <w:tc>
          <w:tcPr>
            <w:tcW w:w="2268" w:type="dxa"/>
            <w:gridSpan w:val="2"/>
            <w:vAlign w:val="center"/>
          </w:tcPr>
          <w:p w14:paraId="2C18E636"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Natural environmental level</w:t>
            </w:r>
          </w:p>
        </w:tc>
        <w:tc>
          <w:tcPr>
            <w:tcW w:w="2000" w:type="dxa"/>
            <w:gridSpan w:val="2"/>
            <w:vAlign w:val="center"/>
          </w:tcPr>
          <w:p w14:paraId="52447FFB"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Wastewater/sludge monitoring level</w:t>
            </w:r>
          </w:p>
        </w:tc>
        <w:tc>
          <w:tcPr>
            <w:tcW w:w="1704" w:type="dxa"/>
            <w:vAlign w:val="center"/>
          </w:tcPr>
          <w:p w14:paraId="28EE9C46"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Extremely high concentration as a pilot study</w:t>
            </w:r>
          </w:p>
        </w:tc>
      </w:tr>
      <w:tr w:rsidR="007E727D" w14:paraId="1BE0ED98" w14:textId="77777777">
        <w:trPr>
          <w:trHeight w:val="737"/>
          <w:jc w:val="center"/>
        </w:trPr>
        <w:tc>
          <w:tcPr>
            <w:tcW w:w="1495" w:type="dxa"/>
            <w:vAlign w:val="center"/>
          </w:tcPr>
          <w:p w14:paraId="159C524F" w14:textId="77777777" w:rsidR="007E727D" w:rsidRDefault="00000000">
            <w:pPr>
              <w:pStyle w:val="a"/>
              <w:spacing w:line="240" w:lineRule="auto"/>
              <w:rPr>
                <w:rFonts w:ascii="Times New Roman" w:hAnsi="Times New Roman" w:cs="Times New Roman"/>
                <w:sz w:val="18"/>
                <w:szCs w:val="18"/>
              </w:rPr>
            </w:pPr>
            <w:r>
              <w:rPr>
                <w:rFonts w:ascii="Times New Roman" w:hAnsi="Times New Roman" w:cs="Times New Roman"/>
                <w:sz w:val="18"/>
                <w:szCs w:val="18"/>
              </w:rPr>
              <w:t>Reference</w:t>
            </w:r>
          </w:p>
        </w:tc>
        <w:tc>
          <w:tcPr>
            <w:tcW w:w="992" w:type="dxa"/>
            <w:vAlign w:val="center"/>
          </w:tcPr>
          <w:p w14:paraId="290E53CD"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t>/</w:t>
            </w:r>
          </w:p>
        </w:tc>
        <w:tc>
          <w:tcPr>
            <w:tcW w:w="2268" w:type="dxa"/>
            <w:gridSpan w:val="2"/>
            <w:vAlign w:val="center"/>
          </w:tcPr>
          <w:p w14:paraId="25B1B4AB" w14:textId="77777777" w:rsidR="007E727D" w:rsidRDefault="00000000">
            <w:pPr>
              <w:pStyle w:val="a"/>
              <w:spacing w:line="240" w:lineRule="auto"/>
              <w:rPr>
                <w:rFonts w:ascii="Times New Roman" w:hAnsi="Times New Roman" w:cs="Times New Roman"/>
                <w:b w:val="0"/>
                <w:bCs/>
                <w:sz w:val="18"/>
                <w:szCs w:val="18"/>
                <w:lang w:val="nb-NO"/>
              </w:rPr>
            </w:pPr>
            <w:r>
              <w:rPr>
                <w:rFonts w:ascii="Times New Roman" w:hAnsi="Times New Roman" w:cs="Times New Roman"/>
                <w:b w:val="0"/>
                <w:bCs/>
                <w:sz w:val="18"/>
                <w:szCs w:val="18"/>
              </w:rPr>
              <w:fldChar w:fldCharType="begin"/>
            </w:r>
            <w:r>
              <w:rPr>
                <w:rFonts w:ascii="Times New Roman" w:hAnsi="Times New Roman" w:cs="Times New Roman"/>
                <w:b w:val="0"/>
                <w:bCs/>
                <w:sz w:val="18"/>
                <w:szCs w:val="18"/>
              </w:rPr>
              <w:instrText xml:space="preserve"> ADDIN ZOTERO_ITEM CSL_CITATION {"citationID":"tyA2vq60","properties":{"unsorted":false,"formattedCitation":"(Cabrerizo et al., 2018; Saritha et al., 2023)","plainCitation":"(Cabrerizo et al., 2018; Saritha et al., 2023)","dontUpdate":true,"noteIndex":0},"citationItems":[{"id":2467,"uris":["http://zotero.org/users/13786640/items/QDGJM3IT"],"itemData":{"id":2467,"type":"article-journal","citation-key":"cabrerizoLegacyEmergingPersistent2018","container-title":"Environmental Science &amp; Technology","DOI":"10.1021/acs.est.8b05011","ISSN":"0013-936X, 1520-5851","issue":"24","journalAbbreviation":"Environ. Sci. Technol.","language":"en","page":"14187-14197","source":"DOI.org (Crossref)","title":"Legacy and Emerging Persistent Organic Pollutants (POPs) in Terrestrial Compartments in the High Arctic: Sorption and Secondary Sources","title-short":"Legacy and Emerging Persistent Organic Pollutants (POPs) in Terrestrial Compartments in the High Arctic","volume":"52","author":[{"family":"Cabrerizo","given":"Ana"},{"family":"Muir","given":"Derek C. G."},{"family":"De Silva","given":"Amila O."},{"family":"Wang","given":"Xiaowa"},{"family":"Lamoureux","given":"Scott F."},{"family":"Lafrenière","given":"Melissa J."}],"issued":{"date-parts":[["2018",12,18]]}}},{"id":2469,"uris":["http://zotero.org/users/13786640/items/LIZS3RWD"],"itemData":{"id":2469,"type":"article-journal","citation-key":"sarithaPerfluorooctanoicAcidSediment2023","container-title":"Marine Pollution Bulletin","page":"115061","publisher":"Elsevier","source":"Google Scholar","title":"Perfluorooctanoic acid in the sediment matrices of Arctic fjords, Svalbard","volume":"192","author":[{"family":"Saritha","given":"V. K."},{"family":"Krishnan","given":"K. P."},{"family":"Mohan","given":"Mahesh"}],"issued":{"date-parts":[["2023"]]}}}],"schema":"https://github.com/citation-style-language/schema/raw/master/csl-citation.json"} </w:instrText>
            </w:r>
            <w:r>
              <w:rPr>
                <w:rFonts w:ascii="Times New Roman" w:hAnsi="Times New Roman" w:cs="Times New Roman"/>
                <w:b w:val="0"/>
                <w:bCs/>
                <w:sz w:val="18"/>
                <w:szCs w:val="18"/>
              </w:rPr>
              <w:fldChar w:fldCharType="separate"/>
            </w:r>
            <w:r>
              <w:rPr>
                <w:rFonts w:ascii="Times New Roman" w:hAnsi="Times New Roman" w:cs="Times New Roman"/>
                <w:b w:val="0"/>
                <w:bCs/>
                <w:sz w:val="18"/>
                <w:szCs w:val="18"/>
                <w:shd w:val="clear" w:color="auto" w:fill="D9D9D9"/>
              </w:rPr>
              <w:t>Cabrerizo et al., 2018; Saritha et al., 2023</w:t>
            </w:r>
            <w:r>
              <w:rPr>
                <w:rFonts w:ascii="Times New Roman" w:hAnsi="Times New Roman" w:cs="Times New Roman"/>
                <w:b w:val="0"/>
                <w:bCs/>
                <w:sz w:val="18"/>
                <w:szCs w:val="18"/>
              </w:rPr>
              <w:fldChar w:fldCharType="end"/>
            </w:r>
          </w:p>
        </w:tc>
        <w:tc>
          <w:tcPr>
            <w:tcW w:w="2000" w:type="dxa"/>
            <w:gridSpan w:val="2"/>
            <w:vAlign w:val="center"/>
          </w:tcPr>
          <w:p w14:paraId="2D6CCBC1" w14:textId="77777777" w:rsidR="007E727D" w:rsidRDefault="00000000">
            <w:pPr>
              <w:pStyle w:val="a"/>
              <w:spacing w:line="240" w:lineRule="auto"/>
              <w:rPr>
                <w:rFonts w:ascii="Times New Roman" w:hAnsi="Times New Roman" w:cs="Times New Roman"/>
                <w:b w:val="0"/>
                <w:bCs/>
                <w:sz w:val="18"/>
                <w:szCs w:val="18"/>
              </w:rPr>
            </w:pPr>
            <w:r>
              <w:rPr>
                <w:rFonts w:ascii="Times New Roman" w:hAnsi="Times New Roman" w:cs="Times New Roman"/>
                <w:b w:val="0"/>
                <w:bCs/>
                <w:sz w:val="18"/>
                <w:szCs w:val="18"/>
              </w:rPr>
              <w:fldChar w:fldCharType="begin"/>
            </w:r>
            <w:r>
              <w:rPr>
                <w:rFonts w:ascii="Times New Roman" w:hAnsi="Times New Roman" w:cs="Times New Roman"/>
                <w:b w:val="0"/>
                <w:bCs/>
                <w:sz w:val="18"/>
                <w:szCs w:val="18"/>
              </w:rPr>
              <w:instrText xml:space="preserve"> ADDIN ZOTERO_ITEM CSL_CITATION {"citationID":"i51qYN1L","properties":{"formattedCitation":"(Arvaniti and Stasinakis, 2015)","plainCitation":"(Arvaniti and Stasinakis, 2015)","dontUpdate":true,"noteIndex":0},"citationItems":[{"id":421,"uris":["http://zotero.org/users/13786640/items/CWJU8NDM"],"itemData":{"id":421,"type":"article-journal","citation-key":"arvanitiReviewOccurrenceFate2015","container-title":"Science of the Total Environment","journalAbbreviation":"Sci. Total Environ.","language":"en","page":"81–92","publisher":"Elsevier","source":"Google Scholar","title":"Review on the occurrence, fate and removal of perfluorinated compounds during wastewater treatment","volume":"524","author":[{"family":"Arvaniti","given":"Olga S."},{"family":"Stasinakis","given":"Athanasios S."}],"issued":{"date-parts":[["2015"]]}}}],"schema":"https://github.com/citation-style-language/schema/raw/master/csl-citation.json"} </w:instrText>
            </w:r>
            <w:r>
              <w:rPr>
                <w:rFonts w:ascii="Times New Roman" w:hAnsi="Times New Roman" w:cs="Times New Roman"/>
                <w:b w:val="0"/>
                <w:bCs/>
                <w:sz w:val="18"/>
                <w:szCs w:val="18"/>
              </w:rPr>
              <w:fldChar w:fldCharType="separate"/>
            </w:r>
            <w:r>
              <w:rPr>
                <w:rFonts w:ascii="Times New Roman" w:hAnsi="Times New Roman" w:cs="Times New Roman"/>
                <w:b w:val="0"/>
                <w:bCs/>
                <w:sz w:val="18"/>
                <w:szCs w:val="18"/>
              </w:rPr>
              <w:t>Arvaniti and Stasinakis, 2015</w:t>
            </w:r>
            <w:r>
              <w:rPr>
                <w:rFonts w:ascii="Times New Roman" w:hAnsi="Times New Roman" w:cs="Times New Roman"/>
                <w:b w:val="0"/>
                <w:bCs/>
                <w:sz w:val="18"/>
                <w:szCs w:val="18"/>
              </w:rPr>
              <w:fldChar w:fldCharType="end"/>
            </w:r>
          </w:p>
        </w:tc>
        <w:tc>
          <w:tcPr>
            <w:tcW w:w="1704" w:type="dxa"/>
            <w:vAlign w:val="center"/>
          </w:tcPr>
          <w:p w14:paraId="41D17777" w14:textId="77777777" w:rsidR="007E727D" w:rsidRDefault="00000000">
            <w:pPr>
              <w:pStyle w:val="a"/>
              <w:spacing w:line="240" w:lineRule="auto"/>
              <w:rPr>
                <w:rFonts w:ascii="Times New Roman" w:hAnsi="Times New Roman" w:cs="Times New Roman"/>
                <w:b w:val="0"/>
                <w:bCs/>
                <w:sz w:val="18"/>
                <w:szCs w:val="18"/>
                <w:lang w:val="nb-NO"/>
              </w:rPr>
            </w:pPr>
            <w:r>
              <w:rPr>
                <w:rFonts w:ascii="Times New Roman" w:hAnsi="Times New Roman" w:cs="Times New Roman"/>
                <w:b w:val="0"/>
                <w:bCs/>
                <w:sz w:val="18"/>
                <w:szCs w:val="18"/>
              </w:rPr>
              <w:fldChar w:fldCharType="begin"/>
            </w:r>
            <w:r>
              <w:rPr>
                <w:rFonts w:ascii="Times New Roman" w:hAnsi="Times New Roman" w:cs="Times New Roman"/>
                <w:b w:val="0"/>
                <w:bCs/>
                <w:sz w:val="18"/>
                <w:szCs w:val="18"/>
                <w:lang w:val="nb-NO"/>
              </w:rPr>
              <w:instrText xml:space="preserve"> ADDIN ZOTERO_ITEM CSL_CITATION {"citationID":"Xnhsg58M","properties":{"formattedCitation":"(Chen et al., 2021; Tang et al., 2022)","plainCitation":"(Chen et al., 2021; Tang et al., 2022)","dontUpdate":true,"noteIndex":0},"citationItems":[{"id":420,"uris":["http://zotero.org/users/13786640/items/7FAKQKB7"],"itemData":{"id":420,"type":"article-journal","citation-key":"chenMonitoringNitrousOxide2021","container-title":"Journal of Hazardous Materials","journalAbbreviation":"J. Hazard. Mater.","language":"en","page":"123469","publisher":"Elsevier","source":"Google Scholar","title":"Monitoring the nitrous oxide emissions and biological nutrient removal from wastewater treatment: impact of perfluorooctanoic acid","title-short":"Monitoring the nitrous oxide emissions and biological nutrient removal from wastewater treatment","volume":"402","author":[{"family":"Chen","given":"Hongbo"},{"family":"Zou","given":"Mei"},{"family":"Zhou","given":"Yaoyu"},{"family":"Zeng","given":"Long"},{"family":"Yang","given":"Xiao"}],"issued":{"date-parts":[["2021"]]}},"label":"page"},{"id":419,"uris":["http://zotero.org/users/13786640/items/WVFEL3P4"],"itemData":{"id":419,"type":"article-journal","citation-key":"tangLongtermEffectPerfluorooctanoic2022","container-title":"Bioresource Technology","journalAbbreviation":"Bioresource Technol.","language":"en","page":"127002","publisher":"Elsevier","source":"Google Scholar","title":"Long-term effect of perfluorooctanoic acid on the anammox system based on metagenomics: Performance, sludge characteristic and microbial community dynamic","title-short":"Long-term effect of perfluorooctanoic acid on the anammox system based on metagenomics","volume":"351","author":[{"family":"Tang","given":"Linqin"},{"family":"Su","given":"Chengyuan"},{"family":"Fan","given":"Cuiping"},{"family":"Li","given":"Ruting"},{"family":"Wang","given":"Yuchen"},{"family":"Gao","given":"Shu"},{"family":"Chen","given":"Menglin"}],"issued":{"date-parts":[["2022"]]}},"label":"page"}],"schema":"https://github.com/citation-style-language/schema/raw/master/csl-citation.json"} </w:instrText>
            </w:r>
            <w:r>
              <w:rPr>
                <w:rFonts w:ascii="Times New Roman" w:hAnsi="Times New Roman" w:cs="Times New Roman"/>
                <w:b w:val="0"/>
                <w:bCs/>
                <w:sz w:val="18"/>
                <w:szCs w:val="18"/>
              </w:rPr>
              <w:fldChar w:fldCharType="separate"/>
            </w:r>
            <w:r>
              <w:rPr>
                <w:rFonts w:ascii="Times New Roman" w:hAnsi="Times New Roman" w:cs="Times New Roman"/>
                <w:b w:val="0"/>
                <w:bCs/>
                <w:sz w:val="18"/>
                <w:szCs w:val="18"/>
                <w:lang w:val="nb-NO"/>
              </w:rPr>
              <w:t>Chen et al., 2021; Tang et al., 2022</w:t>
            </w:r>
            <w:r>
              <w:rPr>
                <w:rFonts w:ascii="Times New Roman" w:hAnsi="Times New Roman" w:cs="Times New Roman"/>
                <w:b w:val="0"/>
                <w:bCs/>
                <w:sz w:val="18"/>
                <w:szCs w:val="18"/>
              </w:rPr>
              <w:fldChar w:fldCharType="end"/>
            </w:r>
          </w:p>
        </w:tc>
      </w:tr>
    </w:tbl>
    <w:p w14:paraId="1F07A023" w14:textId="77777777" w:rsidR="007E727D" w:rsidRDefault="00000000">
      <w:pPr>
        <w:widowControl/>
        <w:spacing w:line="360" w:lineRule="auto"/>
        <w:rPr>
          <w:rFonts w:ascii="Times New Roman" w:hAnsi="Times New Roman" w:cs="Times New Roman"/>
          <w:b/>
          <w:bCs/>
          <w:spacing w:val="8"/>
          <w:kern w:val="0"/>
          <w:sz w:val="20"/>
          <w:szCs w:val="20"/>
          <w:lang w:val="nb-NO" w:bidi="ar"/>
        </w:rPr>
      </w:pPr>
      <w:r>
        <w:rPr>
          <w:rFonts w:ascii="Times New Roman" w:hAnsi="Times New Roman" w:cs="Times New Roman"/>
          <w:b/>
          <w:bCs/>
          <w:spacing w:val="8"/>
          <w:kern w:val="0"/>
          <w:sz w:val="20"/>
          <w:szCs w:val="20"/>
          <w:lang w:val="nb-NO" w:bidi="ar"/>
        </w:rPr>
        <w:t>Reference</w:t>
      </w:r>
      <w:r>
        <w:rPr>
          <w:rFonts w:ascii="Times New Roman" w:hAnsi="Times New Roman" w:cs="Times New Roman" w:hint="eastAsia"/>
          <w:b/>
          <w:bCs/>
          <w:spacing w:val="8"/>
          <w:kern w:val="0"/>
          <w:sz w:val="20"/>
          <w:szCs w:val="20"/>
          <w:lang w:val="nb-NO" w:bidi="ar"/>
        </w:rPr>
        <w:t>s</w:t>
      </w:r>
    </w:p>
    <w:p w14:paraId="02970FDF" w14:textId="77777777" w:rsidR="007E727D" w:rsidRDefault="00000000">
      <w:pPr>
        <w:ind w:left="360" w:hangingChars="200" w:hanging="360"/>
        <w:rPr>
          <w:rFonts w:ascii="Times New Roman" w:hAnsi="Times New Roman" w:cs="Times New Roman"/>
          <w:sz w:val="18"/>
        </w:rPr>
      </w:pPr>
      <w:r>
        <w:rPr>
          <w:rFonts w:ascii="Times New Roman" w:hAnsi="Times New Roman" w:cs="Times New Roman"/>
          <w:sz w:val="18"/>
        </w:rPr>
        <w:t>Arvaniti OS, Stasinakis AS. Review on the occurrence, fate and removal of perfluorinated compounds during wastewater treatment. Science of the Total Environment 2015;524:81–92.</w:t>
      </w:r>
    </w:p>
    <w:p w14:paraId="7848977B" w14:textId="77777777" w:rsidR="007E727D" w:rsidRDefault="00000000">
      <w:pPr>
        <w:ind w:left="360" w:hangingChars="200" w:hanging="360"/>
        <w:rPr>
          <w:rFonts w:ascii="Times New Roman" w:hAnsi="Times New Roman" w:cs="Times New Roman"/>
          <w:sz w:val="18"/>
        </w:rPr>
      </w:pPr>
      <w:bookmarkStart w:id="0" w:name="OLE_LINK1"/>
      <w:r>
        <w:rPr>
          <w:rFonts w:ascii="Times New Roman" w:hAnsi="Times New Roman" w:cs="Times New Roman"/>
          <w:sz w:val="18"/>
        </w:rPr>
        <w:t>Cabrerizo A, Muir DCG, De Silva AO, Wang X, Lamoureux SF, Lafrenière MJ. Legacy and Emerging Persistent Organic Pollutants (POPs) in Terrestrial Compartments in the High Arctic: Sorption and Secondary Sources. Environ Sci Technol 2018;52:14187–97. https://doi.org/10.1021/acs.est.8b05011.</w:t>
      </w:r>
    </w:p>
    <w:bookmarkEnd w:id="0"/>
    <w:p w14:paraId="13E82FBE" w14:textId="77777777" w:rsidR="007E727D" w:rsidRDefault="00000000">
      <w:pPr>
        <w:ind w:left="360" w:hangingChars="200" w:hanging="360"/>
        <w:rPr>
          <w:rFonts w:ascii="Times New Roman" w:hAnsi="Times New Roman" w:cs="Times New Roman"/>
          <w:sz w:val="18"/>
        </w:rPr>
      </w:pPr>
      <w:r>
        <w:rPr>
          <w:rFonts w:ascii="Times New Roman" w:hAnsi="Times New Roman" w:cs="Times New Roman"/>
          <w:sz w:val="18"/>
        </w:rPr>
        <w:t>Chen H, Zou M, Zhou Y, Zeng L, Yang X. Monitoring the nitrous oxide emissions and biological nutrient removal from wastewater treatment: impact of perfluorooctanoic acid. Journal of Hazardous Materials 2021;402:123469.</w:t>
      </w:r>
    </w:p>
    <w:p w14:paraId="4D7C3F33" w14:textId="77777777" w:rsidR="007E727D" w:rsidRDefault="00000000">
      <w:pPr>
        <w:ind w:left="360" w:hangingChars="200" w:hanging="360"/>
        <w:rPr>
          <w:rFonts w:ascii="Times New Roman" w:hAnsi="Times New Roman" w:cs="Times New Roman"/>
          <w:sz w:val="18"/>
        </w:rPr>
      </w:pPr>
      <w:bookmarkStart w:id="1" w:name="OLE_LINK2"/>
      <w:r>
        <w:rPr>
          <w:rFonts w:ascii="Times New Roman" w:hAnsi="Times New Roman" w:cs="Times New Roman"/>
          <w:sz w:val="18"/>
        </w:rPr>
        <w:t>Saritha VK, Krishnan KP, Mohan M. Perfluorooctanoic acid in the sediment matrices of Arctic fjords, Svalbard. Marine Pollution Bulletin 2023;192:115061.</w:t>
      </w:r>
    </w:p>
    <w:bookmarkEnd w:id="1"/>
    <w:p w14:paraId="329163B1" w14:textId="77777777" w:rsidR="007E727D" w:rsidRDefault="00000000">
      <w:pPr>
        <w:ind w:left="360" w:hangingChars="200" w:hanging="360"/>
        <w:rPr>
          <w:rFonts w:ascii="Times New Roman" w:hAnsi="Times New Roman" w:cs="Times New Roman"/>
          <w:sz w:val="18"/>
        </w:rPr>
      </w:pPr>
      <w:r>
        <w:rPr>
          <w:rFonts w:ascii="Times New Roman" w:hAnsi="Times New Roman" w:cs="Times New Roman"/>
          <w:sz w:val="18"/>
        </w:rPr>
        <w:t>Tang L, Su C, Fan C, Li R, Wang Y, Gao S, et al. Long-term effect of perfluorooctanoic acid on the anammox system based on metagenomics: Performance, sludge characteristic and microbial community dynamic. Bioresource Technology 2022;351:127002.</w:t>
      </w:r>
    </w:p>
    <w:p w14:paraId="0EAA40D1" w14:textId="77777777" w:rsidR="007E727D" w:rsidRDefault="007E727D">
      <w:pPr>
        <w:rPr>
          <w:rFonts w:ascii="Times New Roman" w:hAnsi="Times New Roman" w:cs="Times New Roman"/>
        </w:rPr>
      </w:pPr>
    </w:p>
    <w:p w14:paraId="3485384A" w14:textId="77777777" w:rsidR="007E727D" w:rsidRDefault="007E727D">
      <w:pPr>
        <w:rPr>
          <w:rFonts w:ascii="Times New Roman" w:hAnsi="Times New Roman" w:cs="Times New Roman"/>
        </w:rPr>
      </w:pPr>
    </w:p>
    <w:p w14:paraId="75CD48B8" w14:textId="77777777" w:rsidR="007E727D" w:rsidRDefault="007E727D">
      <w:pPr>
        <w:rPr>
          <w:rFonts w:ascii="Times New Roman" w:hAnsi="Times New Roman" w:cs="Times New Roman"/>
        </w:rPr>
      </w:pPr>
    </w:p>
    <w:p w14:paraId="5F6BB2E1" w14:textId="77777777" w:rsidR="007E727D" w:rsidRDefault="007E727D">
      <w:pPr>
        <w:rPr>
          <w:rFonts w:ascii="Times New Roman" w:hAnsi="Times New Roman" w:cs="Times New Roman"/>
        </w:rPr>
      </w:pPr>
    </w:p>
    <w:p w14:paraId="41BA3B21" w14:textId="77777777" w:rsidR="007E727D" w:rsidRDefault="007E727D">
      <w:pPr>
        <w:rPr>
          <w:rFonts w:ascii="Times New Roman" w:hAnsi="Times New Roman" w:cs="Times New Roman"/>
        </w:rPr>
      </w:pPr>
    </w:p>
    <w:p w14:paraId="207B2F37" w14:textId="77777777" w:rsidR="007E727D" w:rsidRDefault="007E727D">
      <w:pPr>
        <w:rPr>
          <w:rFonts w:ascii="Times New Roman" w:hAnsi="Times New Roman" w:cs="Times New Roman"/>
        </w:rPr>
      </w:pPr>
    </w:p>
    <w:p w14:paraId="30CF1CBC" w14:textId="77777777" w:rsidR="007E727D" w:rsidRDefault="007E727D">
      <w:pPr>
        <w:rPr>
          <w:rFonts w:ascii="Times New Roman" w:hAnsi="Times New Roman" w:cs="Times New Roman"/>
        </w:rPr>
      </w:pPr>
    </w:p>
    <w:p w14:paraId="148E2447" w14:textId="77777777" w:rsidR="007E727D" w:rsidRDefault="007E727D">
      <w:pPr>
        <w:rPr>
          <w:rFonts w:ascii="Times New Roman" w:hAnsi="Times New Roman" w:cs="Times New Roman"/>
        </w:rPr>
      </w:pPr>
    </w:p>
    <w:p w14:paraId="2C127250" w14:textId="77777777" w:rsidR="007E727D" w:rsidRDefault="007E727D">
      <w:pPr>
        <w:rPr>
          <w:rFonts w:ascii="Times New Roman" w:hAnsi="Times New Roman" w:cs="Times New Roman"/>
        </w:rPr>
      </w:pPr>
    </w:p>
    <w:p w14:paraId="5AB83B95" w14:textId="77777777" w:rsidR="007E727D" w:rsidRDefault="007E727D">
      <w:pPr>
        <w:rPr>
          <w:rFonts w:ascii="Times New Roman" w:hAnsi="Times New Roman" w:cs="Times New Roman"/>
        </w:rPr>
      </w:pPr>
    </w:p>
    <w:p w14:paraId="68D298C5" w14:textId="77777777" w:rsidR="007E727D" w:rsidRDefault="007E727D">
      <w:pPr>
        <w:rPr>
          <w:rFonts w:ascii="Times New Roman" w:hAnsi="Times New Roman" w:cs="Times New Roman"/>
        </w:rPr>
      </w:pPr>
    </w:p>
    <w:p w14:paraId="723BAF01" w14:textId="77777777" w:rsidR="007E727D" w:rsidRDefault="00000000">
      <w:pPr>
        <w:pStyle w:val="Heading2"/>
      </w:pPr>
      <w:r>
        <w:t xml:space="preserve">Table. </w:t>
      </w:r>
      <w:r>
        <w:rPr>
          <w:rFonts w:hint="eastAsia"/>
        </w:rPr>
        <w:t>S2</w:t>
      </w:r>
      <w:r>
        <w:t>. Primers used in this study</w:t>
      </w:r>
    </w:p>
    <w:tbl>
      <w:tblPr>
        <w:tblW w:w="4497" w:type="pct"/>
        <w:jc w:val="center"/>
        <w:tblLayout w:type="fixed"/>
        <w:tblLook w:val="04A0" w:firstRow="1" w:lastRow="0" w:firstColumn="1" w:lastColumn="0" w:noHBand="0" w:noVBand="1"/>
      </w:tblPr>
      <w:tblGrid>
        <w:gridCol w:w="1255"/>
        <w:gridCol w:w="3107"/>
        <w:gridCol w:w="1515"/>
        <w:gridCol w:w="1593"/>
      </w:tblGrid>
      <w:tr w:rsidR="007E727D" w14:paraId="39CE8DE9" w14:textId="77777777">
        <w:trPr>
          <w:trHeight w:val="276"/>
          <w:jc w:val="center"/>
        </w:trPr>
        <w:tc>
          <w:tcPr>
            <w:tcW w:w="1285" w:type="dxa"/>
            <w:tcBorders>
              <w:top w:val="single" w:sz="12" w:space="0" w:color="auto"/>
              <w:left w:val="nil"/>
              <w:bottom w:val="single" w:sz="4" w:space="0" w:color="auto"/>
              <w:right w:val="nil"/>
            </w:tcBorders>
            <w:noWrap/>
            <w:vAlign w:val="center"/>
          </w:tcPr>
          <w:p w14:paraId="76B5B9B6" w14:textId="77777777" w:rsidR="007E727D" w:rsidRDefault="00000000">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Primer name</w:t>
            </w:r>
          </w:p>
        </w:tc>
        <w:tc>
          <w:tcPr>
            <w:tcW w:w="3193" w:type="dxa"/>
            <w:tcBorders>
              <w:top w:val="single" w:sz="12" w:space="0" w:color="auto"/>
              <w:left w:val="nil"/>
              <w:bottom w:val="single" w:sz="4" w:space="0" w:color="auto"/>
              <w:right w:val="nil"/>
            </w:tcBorders>
            <w:vAlign w:val="center"/>
          </w:tcPr>
          <w:p w14:paraId="34A2812A" w14:textId="77777777" w:rsidR="007E727D" w:rsidRDefault="00000000">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b/>
                <w:bCs/>
                <w:color w:val="000000"/>
                <w:kern w:val="0"/>
                <w:sz w:val="18"/>
                <w:szCs w:val="18"/>
              </w:rPr>
              <w:t>Primer sequences (5</w:t>
            </w:r>
            <w:r w:rsidR="00662CFD">
              <w:rPr>
                <w:rFonts w:ascii="Times New Roman" w:hAnsi="Times New Roman" w:cs="Times New Roman"/>
                <w:noProof/>
                <w:position w:val="-4"/>
              </w:rPr>
              <w:object w:dxaOrig="142" w:dyaOrig="246" w14:anchorId="5337CE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7.1pt;height:12.4pt;mso-width-percent:0;mso-height-percent:0;mso-width-percent:0;mso-height-percent:0" o:ole="">
                  <v:imagedata r:id="rId8" o:title=""/>
                </v:shape>
                <o:OLEObject Type="Embed" ProgID="Equation.DSMT4" ShapeID="_x0000_i1026" DrawAspect="Content" ObjectID="_1846417327" r:id="rId9"/>
              </w:object>
            </w:r>
            <w:r>
              <w:rPr>
                <w:rFonts w:ascii="Times New Roman" w:eastAsia="DengXian" w:hAnsi="Times New Roman" w:cs="Times New Roman"/>
                <w:b/>
                <w:bCs/>
                <w:color w:val="000000"/>
                <w:kern w:val="0"/>
                <w:sz w:val="18"/>
                <w:szCs w:val="18"/>
              </w:rPr>
              <w:t>-3</w:t>
            </w:r>
            <w:r w:rsidR="00662CFD">
              <w:rPr>
                <w:rFonts w:ascii="Times New Roman" w:hAnsi="Times New Roman" w:cs="Times New Roman"/>
                <w:noProof/>
                <w:position w:val="-4"/>
              </w:rPr>
              <w:object w:dxaOrig="142" w:dyaOrig="246" w14:anchorId="09DDF13D">
                <v:shape id="_x0000_i1025" type="#_x0000_t75" alt="" style="width:7.1pt;height:12.4pt;mso-width-percent:0;mso-height-percent:0;mso-width-percent:0;mso-height-percent:0" o:ole="">
                  <v:imagedata r:id="rId10" o:title=""/>
                </v:shape>
                <o:OLEObject Type="Embed" ProgID="Equation.DSMT4" ShapeID="_x0000_i1025" DrawAspect="Content" ObjectID="_1846417328" r:id="rId11"/>
              </w:object>
            </w:r>
            <w:r>
              <w:rPr>
                <w:rFonts w:ascii="Times New Roman" w:eastAsia="DengXian" w:hAnsi="Times New Roman" w:cs="Times New Roman"/>
                <w:b/>
                <w:bCs/>
                <w:color w:val="000000"/>
                <w:kern w:val="0"/>
                <w:sz w:val="18"/>
                <w:szCs w:val="18"/>
              </w:rPr>
              <w:t>)</w:t>
            </w:r>
          </w:p>
        </w:tc>
        <w:tc>
          <w:tcPr>
            <w:tcW w:w="1553" w:type="dxa"/>
            <w:tcBorders>
              <w:top w:val="single" w:sz="12" w:space="0" w:color="auto"/>
              <w:left w:val="nil"/>
              <w:bottom w:val="single" w:sz="4" w:space="0" w:color="auto"/>
              <w:right w:val="nil"/>
            </w:tcBorders>
            <w:noWrap/>
            <w:vAlign w:val="center"/>
          </w:tcPr>
          <w:p w14:paraId="59420072" w14:textId="77777777" w:rsidR="007E727D" w:rsidRDefault="00000000">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b/>
                <w:bCs/>
                <w:color w:val="000000"/>
                <w:kern w:val="0"/>
                <w:sz w:val="18"/>
                <w:szCs w:val="18"/>
              </w:rPr>
              <w:t>Target gene</w:t>
            </w:r>
          </w:p>
        </w:tc>
        <w:tc>
          <w:tcPr>
            <w:tcW w:w="1634" w:type="dxa"/>
            <w:tcBorders>
              <w:top w:val="single" w:sz="12" w:space="0" w:color="auto"/>
              <w:left w:val="nil"/>
              <w:bottom w:val="single" w:sz="4" w:space="0" w:color="auto"/>
              <w:right w:val="nil"/>
            </w:tcBorders>
            <w:noWrap/>
            <w:vAlign w:val="center"/>
          </w:tcPr>
          <w:p w14:paraId="54180D99"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b/>
                <w:bCs/>
                <w:color w:val="000000"/>
                <w:kern w:val="0"/>
                <w:sz w:val="18"/>
                <w:szCs w:val="18"/>
              </w:rPr>
              <w:t>References</w:t>
            </w:r>
          </w:p>
        </w:tc>
      </w:tr>
      <w:tr w:rsidR="007E727D" w14:paraId="1A87A06D" w14:textId="77777777">
        <w:trPr>
          <w:trHeight w:val="624"/>
          <w:jc w:val="center"/>
        </w:trPr>
        <w:tc>
          <w:tcPr>
            <w:tcW w:w="1285" w:type="dxa"/>
            <w:tcBorders>
              <w:top w:val="single" w:sz="4" w:space="0" w:color="auto"/>
              <w:left w:val="nil"/>
              <w:right w:val="nil"/>
            </w:tcBorders>
            <w:noWrap/>
            <w:vAlign w:val="center"/>
          </w:tcPr>
          <w:p w14:paraId="4426E9A1"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lastRenderedPageBreak/>
              <w:t>515F</w:t>
            </w:r>
          </w:p>
          <w:p w14:paraId="23DD91FE"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806R</w:t>
            </w:r>
          </w:p>
        </w:tc>
        <w:tc>
          <w:tcPr>
            <w:tcW w:w="3193" w:type="dxa"/>
            <w:tcBorders>
              <w:top w:val="single" w:sz="4" w:space="0" w:color="auto"/>
              <w:left w:val="nil"/>
              <w:right w:val="nil"/>
            </w:tcBorders>
          </w:tcPr>
          <w:p w14:paraId="06368236"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GTGCCAGCMGCCGCGGTAA</w:t>
            </w:r>
          </w:p>
          <w:p w14:paraId="742E0949"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GGACTACHVGGGTWTCTAAT</w:t>
            </w:r>
          </w:p>
        </w:tc>
        <w:tc>
          <w:tcPr>
            <w:tcW w:w="1553" w:type="dxa"/>
            <w:tcBorders>
              <w:top w:val="single" w:sz="4" w:space="0" w:color="auto"/>
              <w:left w:val="nil"/>
              <w:right w:val="nil"/>
            </w:tcBorders>
            <w:noWrap/>
            <w:vAlign w:val="center"/>
          </w:tcPr>
          <w:p w14:paraId="25273426"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16S rRNA</w:t>
            </w:r>
          </w:p>
        </w:tc>
        <w:tc>
          <w:tcPr>
            <w:tcW w:w="1634" w:type="dxa"/>
            <w:tcBorders>
              <w:top w:val="single" w:sz="4" w:space="0" w:color="auto"/>
              <w:left w:val="nil"/>
              <w:bottom w:val="nil"/>
              <w:right w:val="nil"/>
            </w:tcBorders>
            <w:noWrap/>
            <w:vAlign w:val="center"/>
          </w:tcPr>
          <w:p w14:paraId="6C086E98"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color w:val="000000"/>
                <w:kern w:val="0"/>
                <w:sz w:val="18"/>
                <w:szCs w:val="18"/>
              </w:rPr>
              <w:fldChar w:fldCharType="begin"/>
            </w:r>
            <w:r>
              <w:rPr>
                <w:rFonts w:ascii="Times New Roman" w:eastAsia="DengXian" w:hAnsi="Times New Roman" w:cs="Times New Roman"/>
                <w:color w:val="000000"/>
                <w:kern w:val="0"/>
                <w:sz w:val="18"/>
                <w:szCs w:val="18"/>
              </w:rPr>
              <w:instrText xml:space="preserve"> ADDIN ZOTERO_ITEM CSL_CITATION {"citationID":"3hmmgEYM","properties":{"formattedCitation":"(Apprill et al., 2015)","plainCitation":"(Apprill et al., 2015)","dontUpdate":true,"noteIndex":0},"citationItems":[{"id":1125,"uris":["http://zotero.org/users/13786640/items/8I89I42R"],"itemData":{"id":1125,"type":"article-journal","citation-key":"apprillMinorRevisionV42015","container-title":"Aquatic microbial ecology","page":"129–137","source":"Google Scholar","title":"Minor revision to V4 region SSU rRNA 806R gene primer greatly increases detection of SAR11 bacterioplankton","volume":"75","author":[{"family":"Apprill","given":"Amy"},{"family":"McNally","given":"Sean"},{"family":"Parsons","given":"Rachel"},{"family":"Weber","given":"Laura"}],"issued":{"date-parts":[["2015"]]}}}],"schema":"https://github.com/citation-style-language/schema/raw/master/csl-citation.json"} </w:instrText>
            </w:r>
            <w:r>
              <w:rPr>
                <w:rFonts w:ascii="Times New Roman" w:eastAsia="DengXian" w:hAnsi="Times New Roman" w:cs="Times New Roman"/>
                <w:color w:val="000000"/>
                <w:kern w:val="0"/>
                <w:sz w:val="18"/>
                <w:szCs w:val="18"/>
              </w:rPr>
              <w:fldChar w:fldCharType="separate"/>
            </w:r>
            <w:r>
              <w:rPr>
                <w:rFonts w:ascii="Times New Roman" w:hAnsi="Times New Roman" w:cs="Times New Roman"/>
                <w:sz w:val="18"/>
              </w:rPr>
              <w:t>Apprill et al., 2015</w:t>
            </w:r>
            <w:r>
              <w:rPr>
                <w:rFonts w:ascii="Times New Roman" w:eastAsia="DengXian" w:hAnsi="Times New Roman" w:cs="Times New Roman"/>
                <w:color w:val="000000"/>
                <w:kern w:val="0"/>
                <w:sz w:val="18"/>
                <w:szCs w:val="18"/>
              </w:rPr>
              <w:fldChar w:fldCharType="end"/>
            </w:r>
          </w:p>
        </w:tc>
      </w:tr>
      <w:tr w:rsidR="007E727D" w14:paraId="73D4A205" w14:textId="77777777">
        <w:trPr>
          <w:trHeight w:val="624"/>
          <w:jc w:val="center"/>
        </w:trPr>
        <w:tc>
          <w:tcPr>
            <w:tcW w:w="1285" w:type="dxa"/>
            <w:tcBorders>
              <w:top w:val="single" w:sz="4" w:space="0" w:color="auto"/>
              <w:left w:val="nil"/>
              <w:right w:val="nil"/>
            </w:tcBorders>
            <w:noWrap/>
            <w:vAlign w:val="center"/>
          </w:tcPr>
          <w:p w14:paraId="60223BF4"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ME1F</w:t>
            </w:r>
          </w:p>
          <w:p w14:paraId="1C62EEFD"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ME2R</w:t>
            </w:r>
          </w:p>
        </w:tc>
        <w:tc>
          <w:tcPr>
            <w:tcW w:w="3193" w:type="dxa"/>
            <w:tcBorders>
              <w:top w:val="single" w:sz="4" w:space="0" w:color="auto"/>
              <w:left w:val="nil"/>
              <w:right w:val="nil"/>
            </w:tcBorders>
          </w:tcPr>
          <w:p w14:paraId="1A77103E"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GCMATGCARATHGGWATGTC</w:t>
            </w:r>
          </w:p>
          <w:p w14:paraId="64B6D411"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TCATBGCRTAGTTDGGRTAGT</w:t>
            </w:r>
          </w:p>
        </w:tc>
        <w:tc>
          <w:tcPr>
            <w:tcW w:w="1553" w:type="dxa"/>
            <w:tcBorders>
              <w:top w:val="single" w:sz="4" w:space="0" w:color="auto"/>
              <w:left w:val="nil"/>
              <w:right w:val="nil"/>
            </w:tcBorders>
            <w:noWrap/>
            <w:vAlign w:val="center"/>
          </w:tcPr>
          <w:p w14:paraId="54F27D32" w14:textId="77777777" w:rsidR="007E727D" w:rsidRDefault="00000000">
            <w:pPr>
              <w:widowControl/>
              <w:jc w:val="center"/>
              <w:rPr>
                <w:rFonts w:ascii="Times New Roman" w:eastAsia="DengXian" w:hAnsi="Times New Roman" w:cs="Times New Roman"/>
                <w:i/>
                <w:iCs/>
                <w:color w:val="000000"/>
                <w:kern w:val="0"/>
                <w:sz w:val="18"/>
                <w:szCs w:val="18"/>
              </w:rPr>
            </w:pPr>
            <w:r>
              <w:rPr>
                <w:rFonts w:ascii="Times New Roman" w:eastAsia="DengXian" w:hAnsi="Times New Roman" w:cs="Times New Roman"/>
                <w:i/>
                <w:iCs/>
                <w:color w:val="000000"/>
                <w:kern w:val="0"/>
                <w:sz w:val="18"/>
                <w:szCs w:val="18"/>
              </w:rPr>
              <w:t>mcrA</w:t>
            </w:r>
          </w:p>
        </w:tc>
        <w:tc>
          <w:tcPr>
            <w:tcW w:w="1634" w:type="dxa"/>
            <w:tcBorders>
              <w:top w:val="single" w:sz="4" w:space="0" w:color="auto"/>
              <w:left w:val="nil"/>
              <w:bottom w:val="nil"/>
              <w:right w:val="nil"/>
            </w:tcBorders>
            <w:noWrap/>
            <w:vAlign w:val="center"/>
          </w:tcPr>
          <w:p w14:paraId="75B9CC04"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color w:val="000000"/>
                <w:kern w:val="0"/>
                <w:sz w:val="18"/>
                <w:szCs w:val="18"/>
              </w:rPr>
              <w:fldChar w:fldCharType="begin"/>
            </w:r>
            <w:r>
              <w:rPr>
                <w:rFonts w:ascii="Times New Roman" w:eastAsia="DengXian" w:hAnsi="Times New Roman" w:cs="Times New Roman"/>
                <w:color w:val="000000"/>
                <w:kern w:val="0"/>
                <w:sz w:val="18"/>
                <w:szCs w:val="18"/>
              </w:rPr>
              <w:instrText xml:space="preserve"> ADDIN ZOTERO_ITEM CSL_CITATION {"citationID":"DpEy02iL","properties":{"formattedCitation":"(Luton et al., 2002)","plainCitation":"(Luton et al., 2002)","dontUpdate":true,"noteIndex":0},"citationItems":[{"id":1123,"uris":["http://zotero.org/users/13786640/items/3VP5F6PM"],"itemData":{"id":1123,"type":"article-journal","citation-key":"lutonMcrAGeneAlternative2002","container-title":"Microbiology","ISSN":"1350-0872, 1465-2080","issue":"11","language":"en","note":"TLDR: Methods were developed to enable the analysis of methanogen populations in landfill using the mcrA gene as the target and revealed a far greater diversity in the methanagen population within landfill material than has been seen previously.","page":"3521-3530","source":"DOI.org (Crossref)","title":"The mcrA gene as an alternative to 16S rRNA in the phylogenetic analysis of methanogen populations in landfill","volume":"148","author":[{"family":"Luton","given":"Philip E."},{"family":"Wayne","given":"Jonathan M."},{"family":"Sharp","given":"Richard J."},{"family":"Riley","given":"Paul W."}],"issued":{"date-parts":[["2002"]]}}}],"schema":"https://github.com/citation-style-language/schema/raw/master/csl-citation.json"} </w:instrText>
            </w:r>
            <w:r>
              <w:rPr>
                <w:rFonts w:ascii="Times New Roman" w:eastAsia="DengXian" w:hAnsi="Times New Roman" w:cs="Times New Roman"/>
                <w:color w:val="000000"/>
                <w:kern w:val="0"/>
                <w:sz w:val="18"/>
                <w:szCs w:val="18"/>
              </w:rPr>
              <w:fldChar w:fldCharType="separate"/>
            </w:r>
            <w:r>
              <w:rPr>
                <w:rFonts w:ascii="Times New Roman" w:hAnsi="Times New Roman" w:cs="Times New Roman"/>
                <w:sz w:val="18"/>
              </w:rPr>
              <w:t>Luton et al., 2002</w:t>
            </w:r>
            <w:r>
              <w:rPr>
                <w:rFonts w:ascii="Times New Roman" w:eastAsia="DengXian" w:hAnsi="Times New Roman" w:cs="Times New Roman"/>
                <w:color w:val="000000"/>
                <w:kern w:val="0"/>
                <w:sz w:val="18"/>
                <w:szCs w:val="18"/>
              </w:rPr>
              <w:fldChar w:fldCharType="end"/>
            </w:r>
          </w:p>
        </w:tc>
      </w:tr>
      <w:tr w:rsidR="007E727D" w14:paraId="1A285F4A" w14:textId="77777777">
        <w:trPr>
          <w:trHeight w:val="621"/>
          <w:jc w:val="center"/>
        </w:trPr>
        <w:tc>
          <w:tcPr>
            <w:tcW w:w="1285" w:type="dxa"/>
            <w:tcBorders>
              <w:left w:val="nil"/>
              <w:bottom w:val="single" w:sz="12" w:space="0" w:color="auto"/>
              <w:right w:val="nil"/>
            </w:tcBorders>
            <w:noWrap/>
            <w:vAlign w:val="center"/>
          </w:tcPr>
          <w:p w14:paraId="3F58A1A9"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color w:val="000000"/>
                <w:kern w:val="0"/>
                <w:sz w:val="18"/>
                <w:szCs w:val="18"/>
              </w:rPr>
              <w:t>A189F</w:t>
            </w:r>
          </w:p>
          <w:p w14:paraId="463EB65F"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color w:val="000000"/>
                <w:kern w:val="0"/>
                <w:sz w:val="18"/>
                <w:szCs w:val="18"/>
              </w:rPr>
              <w:t>mb661R</w:t>
            </w:r>
          </w:p>
        </w:tc>
        <w:tc>
          <w:tcPr>
            <w:tcW w:w="3193" w:type="dxa"/>
            <w:tcBorders>
              <w:left w:val="nil"/>
              <w:bottom w:val="single" w:sz="12" w:space="0" w:color="auto"/>
              <w:right w:val="nil"/>
            </w:tcBorders>
          </w:tcPr>
          <w:p w14:paraId="6EE73C84"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GGNGACTGGGACTTCTGG</w:t>
            </w:r>
          </w:p>
          <w:p w14:paraId="38098445"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 xml:space="preserve">CCGGMGCAACGTCYTTACC </w:t>
            </w:r>
          </w:p>
        </w:tc>
        <w:tc>
          <w:tcPr>
            <w:tcW w:w="1553" w:type="dxa"/>
            <w:tcBorders>
              <w:left w:val="nil"/>
              <w:bottom w:val="single" w:sz="12" w:space="0" w:color="auto"/>
              <w:right w:val="nil"/>
            </w:tcBorders>
            <w:noWrap/>
            <w:vAlign w:val="center"/>
          </w:tcPr>
          <w:p w14:paraId="60242FB2" w14:textId="77777777" w:rsidR="007E727D" w:rsidRDefault="00000000">
            <w:pPr>
              <w:widowControl/>
              <w:jc w:val="center"/>
              <w:rPr>
                <w:rFonts w:ascii="Times New Roman" w:eastAsia="DengXian" w:hAnsi="Times New Roman" w:cs="Times New Roman"/>
                <w:i/>
                <w:iCs/>
                <w:color w:val="000000"/>
                <w:kern w:val="0"/>
                <w:sz w:val="18"/>
                <w:szCs w:val="18"/>
              </w:rPr>
            </w:pPr>
            <w:r>
              <w:rPr>
                <w:rFonts w:ascii="Times New Roman" w:eastAsia="DengXian" w:hAnsi="Times New Roman" w:cs="Times New Roman"/>
                <w:i/>
                <w:iCs/>
                <w:color w:val="000000"/>
                <w:kern w:val="0"/>
                <w:sz w:val="18"/>
                <w:szCs w:val="18"/>
              </w:rPr>
              <w:t>pmoA</w:t>
            </w:r>
          </w:p>
        </w:tc>
        <w:tc>
          <w:tcPr>
            <w:tcW w:w="1634" w:type="dxa"/>
            <w:tcBorders>
              <w:top w:val="nil"/>
              <w:left w:val="nil"/>
              <w:bottom w:val="single" w:sz="12" w:space="0" w:color="auto"/>
              <w:right w:val="nil"/>
            </w:tcBorders>
            <w:noWrap/>
            <w:vAlign w:val="center"/>
          </w:tcPr>
          <w:p w14:paraId="67469754" w14:textId="77777777" w:rsidR="007E727D" w:rsidRDefault="00000000">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color w:val="000000"/>
                <w:kern w:val="0"/>
                <w:sz w:val="18"/>
                <w:szCs w:val="18"/>
              </w:rPr>
              <w:fldChar w:fldCharType="begin"/>
            </w:r>
            <w:r>
              <w:rPr>
                <w:rFonts w:ascii="Times New Roman" w:eastAsia="DengXian" w:hAnsi="Times New Roman" w:cs="Times New Roman"/>
                <w:color w:val="000000"/>
                <w:kern w:val="0"/>
                <w:sz w:val="18"/>
                <w:szCs w:val="18"/>
              </w:rPr>
              <w:instrText xml:space="preserve"> ADDIN ZOTERO_ITEM CSL_CITATION {"citationID":"HAyUiScP","properties":{"formattedCitation":"(Bourne et al., 2001)","plainCitation":"(Bourne et al., 2001)","dontUpdate":true,"noteIndex":0},"citationItems":[{"id":1124,"uris":["http://zotero.org/users/13786640/items/HKZI44KC"],"itemData":{"id":1124,"type":"article-journal","abstract":"ABSTRACT\n            \n              Three particulate methane monooxygenase PCR primer sets (A189-A682, A189-A650, and A189-mb661) were investigated for their ability to assess methanotroph diversity in soils from three sites, i.e., heath, oak, and sitka, each of which was capable of oxidizing atmospheric concentrations of methane. Each PCR primer set was used to construct a library containing 50 clones from each soil type. The clones from each library were grouped by restriction fragment length polymorphism, and representatives from each group were sequenced and analyzed. Libraries constructed with the A189-A682 PCR primer set were dominated by\n              amoA\n              -related sequences or nonspecific PCR products with nonsense open reading frames. The primer set could not be used to assess methanotroph diversity in these soils. A new\n              pmoA-\n              specific primer, A650, was designed in this study. The A189-A650 primer set demonstrated distinct biases both in clone library analysis and when incorporated into denaturing gradient gel electrophoresis analysis. The A189-mb661 PCR primer set demonstrated the largest retrieval of methanotroph diversity of all of the primer sets. However, this primer set did not retrieve sequences linked with novel high-affinity methane oxidizers from the soil libraries, which were detected using the A189-A650 primer set. A combination of all three primer sets appears to be required to examine both methanotroph diversity and the presence of novel methane monooxygenase sequences.","citation-key":"bourneComparisonPmoAPCR2001","container-title":"Applied and Environmental Microbiology","ISSN":"0099-2240, 1098-5336","issue":"9","journalAbbreviation":"Appl. Environ. Microbiol.","language":"en","note":"TLDR: Three particulate methane monooxygenase PCR primer sets were investigated for their ability to assess methanotroph diversity in soils from three sites, i.e., heath, oak, and sitka, each of which was capable of oxidizing atmospheric concentrations of methane.","page":"3802-3809","source":"DOI.org (Crossref)","title":"Comparison of &lt;i&gt;pmoA&lt;/i&gt; PCR Primer Sets as Tools for Investigating Methanotroph Diversity in Three Danish Soils","volume":"67","author":[{"family":"Bourne","given":"David G."},{"family":"McDonald","given":"Ian R."},{"family":"Murrell","given":"J. Colin"}],"issued":{"date-parts":[["2001"]]}}}],"schema":"https://github.com/citation-style-language/schema/raw/master/csl-citation.json"} </w:instrText>
            </w:r>
            <w:r>
              <w:rPr>
                <w:rFonts w:ascii="Times New Roman" w:eastAsia="DengXian" w:hAnsi="Times New Roman" w:cs="Times New Roman"/>
                <w:color w:val="000000"/>
                <w:kern w:val="0"/>
                <w:sz w:val="18"/>
                <w:szCs w:val="18"/>
              </w:rPr>
              <w:fldChar w:fldCharType="separate"/>
            </w:r>
            <w:r>
              <w:rPr>
                <w:rFonts w:ascii="Times New Roman" w:hAnsi="Times New Roman" w:cs="Times New Roman"/>
                <w:sz w:val="18"/>
              </w:rPr>
              <w:t>Bourne et al., 2001</w:t>
            </w:r>
            <w:r>
              <w:rPr>
                <w:rFonts w:ascii="Times New Roman" w:eastAsia="DengXian" w:hAnsi="Times New Roman" w:cs="Times New Roman"/>
                <w:color w:val="000000"/>
                <w:kern w:val="0"/>
                <w:sz w:val="18"/>
                <w:szCs w:val="18"/>
              </w:rPr>
              <w:fldChar w:fldCharType="end"/>
            </w:r>
          </w:p>
        </w:tc>
      </w:tr>
    </w:tbl>
    <w:p w14:paraId="19DC5155" w14:textId="77777777" w:rsidR="007E727D" w:rsidRDefault="007E727D">
      <w:pPr>
        <w:pStyle w:val="Bibliography1"/>
        <w:rPr>
          <w:rFonts w:ascii="Times New Roman" w:hAnsi="Times New Roman" w:cs="Times New Roman"/>
          <w:b/>
          <w:bCs/>
          <w:spacing w:val="8"/>
          <w:sz w:val="20"/>
          <w:szCs w:val="20"/>
          <w:lang w:bidi="ar"/>
        </w:rPr>
      </w:pPr>
    </w:p>
    <w:p w14:paraId="3428ED3E" w14:textId="77777777" w:rsidR="007E727D" w:rsidRDefault="00000000">
      <w:pPr>
        <w:pStyle w:val="Bibliography1"/>
        <w:rPr>
          <w:rFonts w:ascii="Times New Roman" w:hAnsi="Times New Roman" w:cs="Times New Roman"/>
          <w:b/>
          <w:bCs/>
          <w:spacing w:val="8"/>
          <w:sz w:val="20"/>
          <w:szCs w:val="20"/>
          <w:lang w:bidi="ar"/>
        </w:rPr>
      </w:pPr>
      <w:r>
        <w:rPr>
          <w:rFonts w:ascii="Times New Roman" w:hAnsi="Times New Roman" w:cs="Times New Roman"/>
          <w:b/>
          <w:bCs/>
          <w:spacing w:val="8"/>
          <w:sz w:val="20"/>
          <w:szCs w:val="20"/>
          <w:lang w:bidi="ar"/>
        </w:rPr>
        <w:t>References</w:t>
      </w:r>
    </w:p>
    <w:p w14:paraId="21222251" w14:textId="77777777" w:rsidR="007E727D" w:rsidRDefault="00000000">
      <w:pPr>
        <w:ind w:left="361" w:hangingChars="200" w:hanging="361"/>
        <w:rPr>
          <w:rFonts w:ascii="Times New Roman" w:hAnsi="Times New Roman" w:cs="Times New Roman"/>
          <w:sz w:val="18"/>
        </w:rPr>
      </w:pPr>
      <w:r>
        <w:rPr>
          <w:rFonts w:ascii="Times New Roman" w:hAnsi="Times New Roman" w:cs="Times New Roman"/>
          <w:b/>
          <w:bCs/>
          <w:spacing w:val="8"/>
          <w:sz w:val="18"/>
          <w:szCs w:val="20"/>
          <w:lang w:bidi="ar"/>
        </w:rPr>
        <w:fldChar w:fldCharType="begin"/>
      </w:r>
      <w:r>
        <w:rPr>
          <w:rFonts w:ascii="Times New Roman" w:hAnsi="Times New Roman" w:cs="Times New Roman"/>
          <w:b/>
          <w:bCs/>
          <w:spacing w:val="8"/>
          <w:sz w:val="18"/>
          <w:szCs w:val="20"/>
          <w:lang w:bidi="ar"/>
        </w:rPr>
        <w:instrText xml:space="preserve"> ADDIN ZOTERO_BIBL {"uncited":[],"omitted":[],"custom":[]} CSL_BIBLIOGRAPHY </w:instrText>
      </w:r>
      <w:r>
        <w:rPr>
          <w:rFonts w:ascii="Times New Roman" w:hAnsi="Times New Roman" w:cs="Times New Roman"/>
          <w:sz w:val="18"/>
        </w:rPr>
        <w:fldChar w:fldCharType="separate"/>
      </w:r>
      <w:r>
        <w:rPr>
          <w:rFonts w:ascii="Times New Roman" w:hAnsi="Times New Roman" w:cs="Times New Roman"/>
          <w:sz w:val="18"/>
        </w:rPr>
        <w:t>Apprill A, McNally S, Parsons R, Weber L. Minor revision to V4 region SSU rRNA 806R gene primer greatly increases detection of SAR11 bacterioplankton. Aquatic Microbial Ecology 2015;75:129–37.</w:t>
      </w:r>
    </w:p>
    <w:p w14:paraId="358B3925" w14:textId="77777777" w:rsidR="007E727D" w:rsidRDefault="00000000">
      <w:pPr>
        <w:ind w:left="360" w:hangingChars="200" w:hanging="360"/>
        <w:rPr>
          <w:rFonts w:ascii="Times New Roman" w:hAnsi="Times New Roman" w:cs="Times New Roman"/>
          <w:sz w:val="18"/>
        </w:rPr>
      </w:pPr>
      <w:r>
        <w:rPr>
          <w:rFonts w:ascii="Times New Roman" w:hAnsi="Times New Roman" w:cs="Times New Roman"/>
          <w:sz w:val="18"/>
        </w:rPr>
        <w:t xml:space="preserve">Bourne DG, McDonald IR, Murrell JC. Comparison of </w:t>
      </w:r>
      <w:r>
        <w:rPr>
          <w:rFonts w:ascii="Times New Roman" w:hAnsi="Times New Roman" w:cs="Times New Roman"/>
          <w:i/>
          <w:iCs/>
          <w:sz w:val="18"/>
        </w:rPr>
        <w:t>pmoA</w:t>
      </w:r>
      <w:r>
        <w:rPr>
          <w:rFonts w:ascii="Times New Roman" w:hAnsi="Times New Roman" w:cs="Times New Roman"/>
          <w:sz w:val="18"/>
        </w:rPr>
        <w:t xml:space="preserve"> PCR Primer Sets as Tools for Investigating Methanotroph Diversity in Three Danish Soils. Appl Environ Microbiol 2001;67:3802–9.</w:t>
      </w:r>
    </w:p>
    <w:p w14:paraId="391C115D" w14:textId="77777777" w:rsidR="007E727D" w:rsidRDefault="00000000">
      <w:pPr>
        <w:ind w:left="360" w:hangingChars="200" w:hanging="360"/>
        <w:rPr>
          <w:rFonts w:ascii="Times New Roman" w:hAnsi="Times New Roman" w:cs="Times New Roman"/>
          <w:sz w:val="18"/>
        </w:rPr>
      </w:pPr>
      <w:r>
        <w:rPr>
          <w:rFonts w:ascii="Times New Roman" w:hAnsi="Times New Roman" w:cs="Times New Roman"/>
          <w:sz w:val="18"/>
        </w:rPr>
        <w:t xml:space="preserve">Luton PE, Wayne JM, Sharp RJ, Riley PW. The </w:t>
      </w:r>
      <w:r>
        <w:rPr>
          <w:rFonts w:ascii="Times New Roman" w:hAnsi="Times New Roman" w:cs="Times New Roman"/>
          <w:i/>
          <w:iCs/>
          <w:sz w:val="18"/>
        </w:rPr>
        <w:t>mcrA</w:t>
      </w:r>
      <w:r>
        <w:rPr>
          <w:rFonts w:ascii="Times New Roman" w:hAnsi="Times New Roman" w:cs="Times New Roman"/>
          <w:sz w:val="18"/>
        </w:rPr>
        <w:t xml:space="preserve"> gene as an alternative to 16S rRNA in the phylogenetic analysis of methanogen populations in landfill. Microbiology 2002;148:3521–30.</w:t>
      </w:r>
    </w:p>
    <w:p w14:paraId="04D2FD39" w14:textId="77777777" w:rsidR="007E727D" w:rsidRDefault="00000000">
      <w:pPr>
        <w:ind w:left="360" w:hangingChars="200" w:hanging="360"/>
        <w:rPr>
          <w:rFonts w:ascii="Times New Roman" w:hAnsi="Times New Roman" w:cs="Times New Roman"/>
          <w:sz w:val="18"/>
          <w:szCs w:val="18"/>
        </w:rPr>
      </w:pPr>
      <w:r>
        <w:rPr>
          <w:rFonts w:ascii="Times New Roman" w:hAnsi="Times New Roman" w:cs="Times New Roman"/>
          <w:sz w:val="18"/>
        </w:rPr>
        <w:fldChar w:fldCharType="end"/>
      </w:r>
    </w:p>
    <w:p w14:paraId="2D491E6B" w14:textId="68BF2296" w:rsidR="007E727D" w:rsidRDefault="00000000">
      <w:pPr>
        <w:pStyle w:val="Heading2"/>
      </w:pPr>
      <w:r>
        <w:t xml:space="preserve">Table. </w:t>
      </w:r>
      <w:r>
        <w:rPr>
          <w:rFonts w:hint="eastAsia"/>
        </w:rPr>
        <w:t>S3</w:t>
      </w:r>
      <w:r>
        <w:t>.</w:t>
      </w:r>
      <w:r>
        <w:rPr>
          <w:rFonts w:eastAsia="SimSun"/>
          <w:sz w:val="24"/>
        </w:rPr>
        <w:t xml:space="preserve"> </w:t>
      </w:r>
      <w:r>
        <w:t>ANOVAs on mixed-effects models for CO</w:t>
      </w:r>
      <w:r w:rsidRPr="00D33EEA">
        <w:rPr>
          <w:vertAlign w:val="subscript"/>
        </w:rPr>
        <w:t>2</w:t>
      </w:r>
      <w:r>
        <w:t xml:space="preserve"> dynamics-related descriptors. </w:t>
      </w:r>
      <w:r>
        <w:rPr>
          <w:b w:val="0"/>
          <w:bCs/>
        </w:rPr>
        <w:t>These models were applied to assess the effects of PFOA addition and source environment on the concentration of CO</w:t>
      </w:r>
      <w:r>
        <w:rPr>
          <w:b w:val="0"/>
          <w:bCs/>
          <w:vertAlign w:val="subscript"/>
        </w:rPr>
        <w:t>2</w:t>
      </w:r>
      <w:r>
        <w:rPr>
          <w:b w:val="0"/>
          <w:bCs/>
        </w:rPr>
        <w:t xml:space="preserve"> at the end of the experiment (End concentrations), the maximum production rate and lag phase assessed by the framework described in Carlsen et al.</w:t>
      </w:r>
      <w:r>
        <w:rPr>
          <w:rFonts w:hint="eastAsia"/>
          <w:b w:val="0"/>
          <w:bCs/>
        </w:rPr>
        <w:t xml:space="preserve"> </w:t>
      </w:r>
      <w:r>
        <w:rPr>
          <w:b w:val="0"/>
          <w:bCs/>
        </w:rPr>
        <w:fldChar w:fldCharType="begin"/>
      </w:r>
      <w:r>
        <w:rPr>
          <w:b w:val="0"/>
          <w:bCs/>
        </w:rPr>
        <w:instrText xml:space="preserve"> ADDIN ZOTERO_ITEM CSL_CITATION {"citationID":"bTvnZKA0","properties":{"unsorted":false,"formattedCitation":"(2025)","plainCitation":"(2025)","noteIndex":0},"citationItems":[{"id":1121,"uris":["http://zotero.org/users/13786640/items/JEIVPUKW"],"itemData":{"id":1121,"type":"article-journal","citation-key":"carlsenRedoxDeterminesGreenhouse2025","container-title":"ISME communications","issue":"1","page":"ycaf009","publisher":"Oxford University Press","source":"Google Scholar","title":"Redox determines greenhouse gas production kinetics and metabolic traits in water-saturated thawing permafrost peat","volume":"5","author":[{"family":"Carlsen","given":"Eira Catharine Lødrup"},{"family":"Wei","given":"Jing"},{"family":"Lejzerowicz","given":"Franck"},{"family":"Trier Kjær","given":"Sigrid"},{"family":"Westermann","given":"Sebastian"},{"family":"Hessen","given":"Dag O."},{"family":"Dörsch","given":"Peter"},{"family":"Eiler","given":"Alexander"}],"issued":{"date-parts":[["2025"]]}},"suppress-author":true}],"schema":"https://github.com/citation-style-language/schema/raw/master/csl-citation.json"} </w:instrText>
      </w:r>
      <w:r>
        <w:rPr>
          <w:b w:val="0"/>
          <w:bCs/>
        </w:rPr>
        <w:fldChar w:fldCharType="separate"/>
      </w:r>
      <w:r>
        <w:rPr>
          <w:b w:val="0"/>
          <w:bCs/>
          <w:shd w:val="clear" w:color="auto" w:fill="D9D9D9"/>
        </w:rPr>
        <w:t>(2025)</w:t>
      </w:r>
      <w:r>
        <w:rPr>
          <w:b w:val="0"/>
          <w:bCs/>
        </w:rPr>
        <w:fldChar w:fldCharType="end"/>
      </w:r>
      <w:r>
        <w:rPr>
          <w:b w:val="0"/>
          <w:bCs/>
        </w:rPr>
        <w:t>, and take-off time. The latter was defined by production rates exceeding a threshold defined by core specific maximum production rates.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236"/>
        <w:gridCol w:w="687"/>
        <w:gridCol w:w="967"/>
        <w:gridCol w:w="1854"/>
      </w:tblGrid>
      <w:tr w:rsidR="007E727D" w14:paraId="16BD39C4" w14:textId="77777777" w:rsidTr="00D33EEA">
        <w:tc>
          <w:tcPr>
            <w:tcW w:w="2552" w:type="dxa"/>
            <w:tcBorders>
              <w:top w:val="single" w:sz="4" w:space="0" w:color="auto"/>
              <w:bottom w:val="single" w:sz="8" w:space="0" w:color="auto"/>
            </w:tcBorders>
          </w:tcPr>
          <w:p w14:paraId="6920B6E0" w14:textId="77777777" w:rsidR="007E727D" w:rsidRDefault="00000000">
            <w:pPr>
              <w:jc w:val="center"/>
              <w:rPr>
                <w:rFonts w:ascii="Times New Roman" w:hAnsi="Times New Roman" w:cs="Times New Roman"/>
                <w:spacing w:val="8"/>
                <w:kern w:val="0"/>
                <w:sz w:val="20"/>
                <w:szCs w:val="20"/>
                <w:lang w:bidi="ar"/>
              </w:rPr>
            </w:pPr>
            <w:r>
              <w:rPr>
                <w:rFonts w:ascii="Times New Roman" w:eastAsia="DengXian" w:hAnsi="Times New Roman" w:cs="Times New Roman" w:hint="eastAsia"/>
                <w:b/>
                <w:bCs/>
                <w:color w:val="000000"/>
                <w:kern w:val="0"/>
                <w:sz w:val="20"/>
                <w:szCs w:val="20"/>
              </w:rPr>
              <w:t>Response variable</w:t>
            </w:r>
          </w:p>
        </w:tc>
        <w:tc>
          <w:tcPr>
            <w:tcW w:w="2236" w:type="dxa"/>
            <w:tcBorders>
              <w:top w:val="single" w:sz="4" w:space="0" w:color="auto"/>
              <w:bottom w:val="single" w:sz="8" w:space="0" w:color="auto"/>
            </w:tcBorders>
          </w:tcPr>
          <w:p w14:paraId="27149E92" w14:textId="77777777" w:rsidR="007E727D" w:rsidRDefault="00000000">
            <w:pPr>
              <w:widowControl/>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Factor</w:t>
            </w:r>
          </w:p>
        </w:tc>
        <w:tc>
          <w:tcPr>
            <w:tcW w:w="687" w:type="dxa"/>
            <w:tcBorders>
              <w:top w:val="single" w:sz="4" w:space="0" w:color="auto"/>
              <w:bottom w:val="single" w:sz="8" w:space="0" w:color="auto"/>
            </w:tcBorders>
          </w:tcPr>
          <w:p w14:paraId="5D140FCB" w14:textId="77777777" w:rsidR="007E727D" w:rsidRDefault="00000000">
            <w:pPr>
              <w:widowControl/>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df</w:t>
            </w:r>
          </w:p>
        </w:tc>
        <w:tc>
          <w:tcPr>
            <w:tcW w:w="967" w:type="dxa"/>
            <w:tcBorders>
              <w:top w:val="single" w:sz="4" w:space="0" w:color="auto"/>
              <w:bottom w:val="single" w:sz="8" w:space="0" w:color="auto"/>
            </w:tcBorders>
          </w:tcPr>
          <w:p w14:paraId="65AEC6E5" w14:textId="77777777" w:rsidR="007E727D" w:rsidRDefault="00000000">
            <w:pPr>
              <w:widowControl/>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F-value</w:t>
            </w:r>
          </w:p>
        </w:tc>
        <w:tc>
          <w:tcPr>
            <w:tcW w:w="1854" w:type="dxa"/>
            <w:tcBorders>
              <w:top w:val="single" w:sz="4" w:space="0" w:color="auto"/>
              <w:bottom w:val="single" w:sz="8" w:space="0" w:color="auto"/>
            </w:tcBorders>
          </w:tcPr>
          <w:p w14:paraId="7D112B76" w14:textId="77777777" w:rsidR="007E727D" w:rsidRDefault="00000000">
            <w:pPr>
              <w:widowControl/>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p-value</w:t>
            </w:r>
          </w:p>
        </w:tc>
      </w:tr>
      <w:tr w:rsidR="007E727D" w14:paraId="5020DE25" w14:textId="77777777" w:rsidTr="00D33EEA">
        <w:tc>
          <w:tcPr>
            <w:tcW w:w="2552" w:type="dxa"/>
            <w:vMerge w:val="restart"/>
            <w:tcBorders>
              <w:top w:val="single" w:sz="8" w:space="0" w:color="auto"/>
            </w:tcBorders>
            <w:vAlign w:val="center"/>
          </w:tcPr>
          <w:p w14:paraId="745DDD41" w14:textId="77777777" w:rsidR="007E727D" w:rsidRDefault="00000000">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End concentration</w:t>
            </w:r>
          </w:p>
        </w:tc>
        <w:tc>
          <w:tcPr>
            <w:tcW w:w="2236" w:type="dxa"/>
            <w:tcBorders>
              <w:top w:val="single" w:sz="8" w:space="0" w:color="auto"/>
            </w:tcBorders>
            <w:vAlign w:val="center"/>
          </w:tcPr>
          <w:p w14:paraId="4FFE0AA3"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core</w:t>
            </w:r>
          </w:p>
        </w:tc>
        <w:tc>
          <w:tcPr>
            <w:tcW w:w="687" w:type="dxa"/>
            <w:tcBorders>
              <w:top w:val="single" w:sz="8" w:space="0" w:color="auto"/>
            </w:tcBorders>
            <w:vAlign w:val="center"/>
          </w:tcPr>
          <w:p w14:paraId="5FEAEB00"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3</w:t>
            </w:r>
          </w:p>
        </w:tc>
        <w:tc>
          <w:tcPr>
            <w:tcW w:w="967" w:type="dxa"/>
            <w:tcBorders>
              <w:top w:val="single" w:sz="8" w:space="0" w:color="auto"/>
            </w:tcBorders>
            <w:vAlign w:val="center"/>
          </w:tcPr>
          <w:p w14:paraId="52464C65"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4</w:t>
            </w:r>
            <w:r>
              <w:rPr>
                <w:rFonts w:ascii="Times New Roman" w:hAnsi="Times New Roman" w:cs="Times New Roman"/>
                <w:spacing w:val="8"/>
                <w:kern w:val="0"/>
                <w:sz w:val="20"/>
                <w:szCs w:val="20"/>
                <w:lang w:bidi="ar"/>
              </w:rPr>
              <w:t>.</w:t>
            </w:r>
            <w:r>
              <w:rPr>
                <w:rFonts w:ascii="Times New Roman" w:hAnsi="Times New Roman" w:cs="Times New Roman" w:hint="eastAsia"/>
                <w:spacing w:val="8"/>
                <w:kern w:val="0"/>
                <w:sz w:val="20"/>
                <w:szCs w:val="20"/>
                <w:lang w:bidi="ar"/>
              </w:rPr>
              <w:t>86</w:t>
            </w:r>
          </w:p>
        </w:tc>
        <w:tc>
          <w:tcPr>
            <w:tcW w:w="1854" w:type="dxa"/>
            <w:tcBorders>
              <w:top w:val="single" w:sz="8" w:space="0" w:color="auto"/>
            </w:tcBorders>
            <w:vAlign w:val="center"/>
          </w:tcPr>
          <w:p w14:paraId="6DEDA005" w14:textId="77777777" w:rsidR="007E727D" w:rsidRDefault="00000000">
            <w:pPr>
              <w:ind w:firstLineChars="200" w:firstLine="432"/>
              <w:jc w:val="left"/>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0.014</w:t>
            </w:r>
            <w:r>
              <w:rPr>
                <w:rFonts w:ascii="Times New Roman" w:hAnsi="Times New Roman" w:cs="Times New Roman"/>
                <w:spacing w:val="8"/>
                <w:kern w:val="0"/>
                <w:sz w:val="20"/>
                <w:szCs w:val="20"/>
                <w:lang w:bidi="ar"/>
              </w:rPr>
              <w:t>*</w:t>
            </w:r>
          </w:p>
        </w:tc>
      </w:tr>
      <w:tr w:rsidR="007E727D" w14:paraId="7CE59EC2" w14:textId="77777777" w:rsidTr="00D33EEA">
        <w:tc>
          <w:tcPr>
            <w:tcW w:w="2552" w:type="dxa"/>
            <w:vMerge/>
            <w:vAlign w:val="center"/>
          </w:tcPr>
          <w:p w14:paraId="17F714B9" w14:textId="77777777" w:rsidR="007E727D" w:rsidRDefault="007E727D">
            <w:pPr>
              <w:widowControl/>
              <w:jc w:val="center"/>
              <w:rPr>
                <w:rFonts w:ascii="Times New Roman" w:eastAsia="DengXian" w:hAnsi="Times New Roman" w:cs="Times New Roman"/>
                <w:color w:val="000000"/>
                <w:kern w:val="0"/>
                <w:sz w:val="20"/>
                <w:szCs w:val="20"/>
              </w:rPr>
            </w:pPr>
          </w:p>
        </w:tc>
        <w:tc>
          <w:tcPr>
            <w:tcW w:w="2236" w:type="dxa"/>
            <w:vAlign w:val="center"/>
          </w:tcPr>
          <w:p w14:paraId="7CE2CA88" w14:textId="079EC770"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hAnsi="Times New Roman" w:cs="Times New Roman" w:hint="eastAsia"/>
                <w:spacing w:val="8"/>
                <w:kern w:val="0"/>
                <w:sz w:val="20"/>
                <w:szCs w:val="20"/>
                <w:lang w:bidi="ar"/>
              </w:rPr>
              <w:t>(PFOA+1)</w:t>
            </w:r>
          </w:p>
        </w:tc>
        <w:tc>
          <w:tcPr>
            <w:tcW w:w="687" w:type="dxa"/>
            <w:vAlign w:val="center"/>
          </w:tcPr>
          <w:p w14:paraId="2380AEA1"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1</w:t>
            </w:r>
          </w:p>
        </w:tc>
        <w:tc>
          <w:tcPr>
            <w:tcW w:w="967" w:type="dxa"/>
            <w:vAlign w:val="center"/>
          </w:tcPr>
          <w:p w14:paraId="1AB82DA2"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0.04</w:t>
            </w:r>
          </w:p>
        </w:tc>
        <w:tc>
          <w:tcPr>
            <w:tcW w:w="1854" w:type="dxa"/>
            <w:vAlign w:val="center"/>
          </w:tcPr>
          <w:p w14:paraId="26BB5CD8" w14:textId="77777777" w:rsidR="007E727D" w:rsidRDefault="00000000">
            <w:pPr>
              <w:ind w:firstLineChars="200" w:firstLine="432"/>
              <w:jc w:val="left"/>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0.840</w:t>
            </w:r>
          </w:p>
        </w:tc>
      </w:tr>
      <w:tr w:rsidR="007E727D" w14:paraId="30CBB888" w14:textId="77777777" w:rsidTr="00D33EEA">
        <w:tc>
          <w:tcPr>
            <w:tcW w:w="2552" w:type="dxa"/>
            <w:vMerge/>
            <w:vAlign w:val="center"/>
          </w:tcPr>
          <w:p w14:paraId="100885F2" w14:textId="77777777" w:rsidR="007E727D" w:rsidRDefault="007E727D">
            <w:pPr>
              <w:widowControl/>
              <w:jc w:val="center"/>
              <w:rPr>
                <w:rFonts w:ascii="Times New Roman" w:eastAsia="DengXian" w:hAnsi="Times New Roman" w:cs="Times New Roman"/>
                <w:color w:val="000000"/>
                <w:kern w:val="0"/>
                <w:sz w:val="20"/>
                <w:szCs w:val="20"/>
              </w:rPr>
            </w:pPr>
          </w:p>
        </w:tc>
        <w:tc>
          <w:tcPr>
            <w:tcW w:w="2236" w:type="dxa"/>
            <w:vAlign w:val="center"/>
          </w:tcPr>
          <w:p w14:paraId="320745FE" w14:textId="7155B939"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c</w:t>
            </w:r>
            <w:r>
              <w:rPr>
                <w:rFonts w:ascii="Times New Roman" w:hAnsi="Times New Roman" w:cs="Times New Roman"/>
                <w:spacing w:val="8"/>
                <w:kern w:val="0"/>
                <w:sz w:val="20"/>
                <w:szCs w:val="20"/>
                <w:lang w:bidi="ar"/>
              </w:rPr>
              <w:t>ore</w:t>
            </w:r>
            <w:r>
              <w:rPr>
                <w:rFonts w:ascii="Times New Roman" w:hAnsi="Times New Roman" w:cs="Times New Roman" w:hint="eastAsia"/>
                <w:spacing w:val="8"/>
                <w:kern w:val="0"/>
                <w:sz w:val="20"/>
                <w:szCs w:val="20"/>
                <w:lang w:bidi="ar"/>
              </w:rPr>
              <w:t xml:space="preserve"> : </w:t>
            </w:r>
            <w:r>
              <w:rPr>
                <w:rFonts w:ascii="Times New Roman" w:hAnsi="Times New Roman" w:cs="Times New Roman"/>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hAnsi="Times New Roman" w:cs="Times New Roman"/>
                <w:spacing w:val="8"/>
                <w:kern w:val="0"/>
                <w:sz w:val="20"/>
                <w:szCs w:val="20"/>
                <w:lang w:bidi="ar"/>
              </w:rPr>
              <w:t>(</w:t>
            </w:r>
            <w:r>
              <w:rPr>
                <w:rFonts w:ascii="Times New Roman" w:hAnsi="Times New Roman" w:cs="Times New Roman" w:hint="eastAsia"/>
                <w:spacing w:val="8"/>
                <w:kern w:val="0"/>
                <w:sz w:val="20"/>
                <w:szCs w:val="20"/>
                <w:lang w:bidi="ar"/>
              </w:rPr>
              <w:t>PFOA</w:t>
            </w:r>
            <w:r>
              <w:rPr>
                <w:rFonts w:ascii="Times New Roman" w:hAnsi="Times New Roman" w:cs="Times New Roman"/>
                <w:spacing w:val="8"/>
                <w:kern w:val="0"/>
                <w:sz w:val="20"/>
                <w:szCs w:val="20"/>
                <w:lang w:bidi="ar"/>
              </w:rPr>
              <w:t xml:space="preserve"> + 1)</w:t>
            </w:r>
          </w:p>
        </w:tc>
        <w:tc>
          <w:tcPr>
            <w:tcW w:w="687" w:type="dxa"/>
            <w:vAlign w:val="center"/>
          </w:tcPr>
          <w:p w14:paraId="5C14FA23"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3</w:t>
            </w:r>
          </w:p>
        </w:tc>
        <w:tc>
          <w:tcPr>
            <w:tcW w:w="967" w:type="dxa"/>
            <w:vAlign w:val="center"/>
          </w:tcPr>
          <w:p w14:paraId="2BCCFAE4"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0.77</w:t>
            </w:r>
          </w:p>
        </w:tc>
        <w:tc>
          <w:tcPr>
            <w:tcW w:w="1854" w:type="dxa"/>
            <w:vAlign w:val="center"/>
          </w:tcPr>
          <w:p w14:paraId="71C1BF10" w14:textId="77777777" w:rsidR="007E727D" w:rsidRDefault="00000000">
            <w:pPr>
              <w:ind w:firstLineChars="200" w:firstLine="432"/>
              <w:jc w:val="left"/>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0.530</w:t>
            </w:r>
          </w:p>
        </w:tc>
      </w:tr>
      <w:tr w:rsidR="007E727D" w14:paraId="24B20A90" w14:textId="77777777" w:rsidTr="00D33EEA">
        <w:tc>
          <w:tcPr>
            <w:tcW w:w="2552" w:type="dxa"/>
            <w:vMerge w:val="restart"/>
            <w:vAlign w:val="center"/>
          </w:tcPr>
          <w:p w14:paraId="12730CA8" w14:textId="77777777" w:rsidR="007E727D" w:rsidRDefault="00000000">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Maximum production rate</w:t>
            </w:r>
          </w:p>
        </w:tc>
        <w:tc>
          <w:tcPr>
            <w:tcW w:w="2236" w:type="dxa"/>
            <w:vAlign w:val="center"/>
          </w:tcPr>
          <w:p w14:paraId="62B934F0"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core</w:t>
            </w:r>
          </w:p>
        </w:tc>
        <w:tc>
          <w:tcPr>
            <w:tcW w:w="687" w:type="dxa"/>
            <w:vAlign w:val="center"/>
          </w:tcPr>
          <w:p w14:paraId="7630C5F5"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3</w:t>
            </w:r>
          </w:p>
        </w:tc>
        <w:tc>
          <w:tcPr>
            <w:tcW w:w="967" w:type="dxa"/>
            <w:vAlign w:val="center"/>
          </w:tcPr>
          <w:p w14:paraId="482741FD"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6.46</w:t>
            </w:r>
          </w:p>
        </w:tc>
        <w:tc>
          <w:tcPr>
            <w:tcW w:w="1854" w:type="dxa"/>
            <w:vAlign w:val="center"/>
          </w:tcPr>
          <w:p w14:paraId="251B55A9" w14:textId="77777777" w:rsidR="007E727D" w:rsidRDefault="00000000">
            <w:pPr>
              <w:ind w:firstLineChars="200" w:firstLine="432"/>
              <w:jc w:val="left"/>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0.005</w:t>
            </w:r>
            <w:r>
              <w:rPr>
                <w:rFonts w:ascii="Times New Roman" w:hAnsi="Times New Roman" w:cs="Times New Roman"/>
                <w:spacing w:val="8"/>
                <w:kern w:val="0"/>
                <w:sz w:val="20"/>
                <w:szCs w:val="20"/>
                <w:lang w:bidi="ar"/>
              </w:rPr>
              <w:t>*</w:t>
            </w:r>
            <w:r>
              <w:rPr>
                <w:rFonts w:ascii="Times New Roman" w:hAnsi="Times New Roman" w:cs="Times New Roman" w:hint="eastAsia"/>
                <w:spacing w:val="8"/>
                <w:kern w:val="0"/>
                <w:sz w:val="20"/>
                <w:szCs w:val="20"/>
                <w:lang w:bidi="ar"/>
              </w:rPr>
              <w:t>*</w:t>
            </w:r>
          </w:p>
        </w:tc>
      </w:tr>
      <w:tr w:rsidR="007E727D" w14:paraId="12FA649D" w14:textId="77777777" w:rsidTr="00D33EEA">
        <w:tc>
          <w:tcPr>
            <w:tcW w:w="2552" w:type="dxa"/>
            <w:vMerge/>
            <w:vAlign w:val="center"/>
          </w:tcPr>
          <w:p w14:paraId="5D4C0BCE" w14:textId="77777777" w:rsidR="007E727D" w:rsidRDefault="007E727D">
            <w:pPr>
              <w:widowControl/>
              <w:jc w:val="center"/>
              <w:rPr>
                <w:rFonts w:ascii="Times New Roman" w:eastAsia="DengXian" w:hAnsi="Times New Roman" w:cs="Times New Roman"/>
                <w:color w:val="000000"/>
                <w:kern w:val="0"/>
                <w:sz w:val="20"/>
                <w:szCs w:val="20"/>
              </w:rPr>
            </w:pPr>
          </w:p>
        </w:tc>
        <w:tc>
          <w:tcPr>
            <w:tcW w:w="2236" w:type="dxa"/>
            <w:vAlign w:val="center"/>
          </w:tcPr>
          <w:p w14:paraId="496DC157" w14:textId="00AFBFFD"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PFOA</w:t>
            </w:r>
          </w:p>
        </w:tc>
        <w:tc>
          <w:tcPr>
            <w:tcW w:w="687" w:type="dxa"/>
            <w:vAlign w:val="center"/>
          </w:tcPr>
          <w:p w14:paraId="129F08D7"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1</w:t>
            </w:r>
          </w:p>
        </w:tc>
        <w:tc>
          <w:tcPr>
            <w:tcW w:w="967" w:type="dxa"/>
            <w:vAlign w:val="center"/>
          </w:tcPr>
          <w:p w14:paraId="7A22D899"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1.42</w:t>
            </w:r>
          </w:p>
        </w:tc>
        <w:tc>
          <w:tcPr>
            <w:tcW w:w="1854" w:type="dxa"/>
            <w:vAlign w:val="center"/>
          </w:tcPr>
          <w:p w14:paraId="25DC6423" w14:textId="77777777" w:rsidR="007E727D" w:rsidRDefault="00000000">
            <w:pPr>
              <w:ind w:firstLineChars="200" w:firstLine="432"/>
              <w:jc w:val="left"/>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0.240</w:t>
            </w:r>
          </w:p>
        </w:tc>
      </w:tr>
      <w:tr w:rsidR="007E727D" w14:paraId="15A971BE" w14:textId="77777777" w:rsidTr="00D33EEA">
        <w:tc>
          <w:tcPr>
            <w:tcW w:w="2552" w:type="dxa"/>
            <w:vMerge/>
            <w:vAlign w:val="center"/>
          </w:tcPr>
          <w:p w14:paraId="2AF2A2F8" w14:textId="77777777" w:rsidR="007E727D" w:rsidRDefault="007E727D">
            <w:pPr>
              <w:widowControl/>
              <w:jc w:val="center"/>
              <w:rPr>
                <w:rFonts w:ascii="Times New Roman" w:eastAsia="DengXian" w:hAnsi="Times New Roman" w:cs="Times New Roman"/>
                <w:color w:val="000000"/>
                <w:kern w:val="0"/>
                <w:sz w:val="20"/>
                <w:szCs w:val="20"/>
              </w:rPr>
            </w:pPr>
          </w:p>
        </w:tc>
        <w:tc>
          <w:tcPr>
            <w:tcW w:w="2236" w:type="dxa"/>
            <w:vAlign w:val="center"/>
          </w:tcPr>
          <w:p w14:paraId="3962C5F5" w14:textId="7164FF2F"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c</w:t>
            </w:r>
            <w:r>
              <w:rPr>
                <w:rFonts w:ascii="Times New Roman" w:hAnsi="Times New Roman" w:cs="Times New Roman"/>
                <w:spacing w:val="8"/>
                <w:kern w:val="0"/>
                <w:sz w:val="20"/>
                <w:szCs w:val="20"/>
                <w:lang w:bidi="ar"/>
              </w:rPr>
              <w:t>ore</w:t>
            </w:r>
            <w:r>
              <w:rPr>
                <w:rFonts w:ascii="Times New Roman" w:hAnsi="Times New Roman" w:cs="Times New Roman" w:hint="eastAsia"/>
                <w:spacing w:val="8"/>
                <w:kern w:val="0"/>
                <w:sz w:val="20"/>
                <w:szCs w:val="20"/>
                <w:lang w:bidi="ar"/>
              </w:rPr>
              <w:t xml:space="preserve"> : PFOA</w:t>
            </w:r>
          </w:p>
        </w:tc>
        <w:tc>
          <w:tcPr>
            <w:tcW w:w="687" w:type="dxa"/>
            <w:vAlign w:val="center"/>
          </w:tcPr>
          <w:p w14:paraId="1D5114E2"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3</w:t>
            </w:r>
          </w:p>
        </w:tc>
        <w:tc>
          <w:tcPr>
            <w:tcW w:w="967" w:type="dxa"/>
            <w:vAlign w:val="center"/>
          </w:tcPr>
          <w:p w14:paraId="4A9AE383"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1.03</w:t>
            </w:r>
          </w:p>
        </w:tc>
        <w:tc>
          <w:tcPr>
            <w:tcW w:w="1854" w:type="dxa"/>
            <w:vAlign w:val="center"/>
          </w:tcPr>
          <w:p w14:paraId="33170862" w14:textId="77777777" w:rsidR="007E727D" w:rsidRDefault="00000000">
            <w:pPr>
              <w:ind w:firstLineChars="200" w:firstLine="432"/>
              <w:jc w:val="left"/>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0.410</w:t>
            </w:r>
          </w:p>
        </w:tc>
      </w:tr>
      <w:tr w:rsidR="007E727D" w14:paraId="61056532" w14:textId="77777777" w:rsidTr="00D33EEA">
        <w:tc>
          <w:tcPr>
            <w:tcW w:w="2552" w:type="dxa"/>
            <w:vMerge w:val="restart"/>
            <w:vAlign w:val="center"/>
          </w:tcPr>
          <w:p w14:paraId="207D4D35" w14:textId="77777777" w:rsidR="007E727D" w:rsidRDefault="00000000">
            <w:pPr>
              <w:widowControl/>
              <w:jc w:val="center"/>
              <w:rPr>
                <w:rFonts w:ascii="Times New Roman" w:eastAsia="DengXian" w:hAnsi="Times New Roman" w:cs="Times New Roman"/>
                <w:color w:val="000000"/>
                <w:kern w:val="0"/>
                <w:sz w:val="20"/>
                <w:szCs w:val="20"/>
              </w:rPr>
            </w:pPr>
            <w:r>
              <w:rPr>
                <w:rFonts w:ascii="Times New Roman" w:hAnsi="Times New Roman" w:cs="Times New Roman"/>
                <w:spacing w:val="8"/>
                <w:kern w:val="0"/>
                <w:sz w:val="22"/>
                <w:szCs w:val="22"/>
                <w:lang w:bidi="ar"/>
              </w:rPr>
              <w:t>lag-phase</w:t>
            </w:r>
          </w:p>
        </w:tc>
        <w:tc>
          <w:tcPr>
            <w:tcW w:w="2236" w:type="dxa"/>
            <w:vAlign w:val="center"/>
          </w:tcPr>
          <w:p w14:paraId="0207B32A"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core</w:t>
            </w:r>
          </w:p>
        </w:tc>
        <w:tc>
          <w:tcPr>
            <w:tcW w:w="687" w:type="dxa"/>
            <w:vAlign w:val="center"/>
          </w:tcPr>
          <w:p w14:paraId="7C70FB9D"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3</w:t>
            </w:r>
          </w:p>
        </w:tc>
        <w:tc>
          <w:tcPr>
            <w:tcW w:w="967" w:type="dxa"/>
          </w:tcPr>
          <w:p w14:paraId="1571C06F"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spacing w:val="8"/>
                <w:kern w:val="0"/>
                <w:sz w:val="20"/>
                <w:szCs w:val="20"/>
                <w:lang w:bidi="ar"/>
              </w:rPr>
              <w:t>0.6</w:t>
            </w:r>
            <w:r>
              <w:rPr>
                <w:rFonts w:ascii="Times New Roman" w:hAnsi="Times New Roman" w:cs="Times New Roman" w:hint="eastAsia"/>
                <w:spacing w:val="8"/>
                <w:kern w:val="0"/>
                <w:sz w:val="20"/>
                <w:szCs w:val="20"/>
                <w:lang w:bidi="ar"/>
              </w:rPr>
              <w:t>3</w:t>
            </w:r>
          </w:p>
        </w:tc>
        <w:tc>
          <w:tcPr>
            <w:tcW w:w="1854" w:type="dxa"/>
          </w:tcPr>
          <w:p w14:paraId="47F0193F" w14:textId="77777777" w:rsidR="007E727D" w:rsidRDefault="00000000">
            <w:pPr>
              <w:ind w:firstLineChars="200" w:firstLine="432"/>
              <w:jc w:val="left"/>
              <w:rPr>
                <w:rFonts w:ascii="Times New Roman" w:hAnsi="Times New Roman" w:cs="Times New Roman"/>
                <w:spacing w:val="8"/>
                <w:kern w:val="0"/>
                <w:sz w:val="20"/>
                <w:szCs w:val="20"/>
                <w:lang w:bidi="ar"/>
              </w:rPr>
            </w:pPr>
            <w:r>
              <w:rPr>
                <w:rFonts w:ascii="Times New Roman" w:hAnsi="Times New Roman" w:cs="Times New Roman"/>
                <w:spacing w:val="8"/>
                <w:kern w:val="0"/>
                <w:sz w:val="20"/>
                <w:szCs w:val="20"/>
                <w:lang w:bidi="ar"/>
              </w:rPr>
              <w:t>0.6</w:t>
            </w:r>
            <w:r>
              <w:rPr>
                <w:rFonts w:ascii="Times New Roman" w:hAnsi="Times New Roman" w:cs="Times New Roman" w:hint="eastAsia"/>
                <w:spacing w:val="8"/>
                <w:kern w:val="0"/>
                <w:sz w:val="20"/>
                <w:szCs w:val="20"/>
                <w:lang w:bidi="ar"/>
              </w:rPr>
              <w:t>10</w:t>
            </w:r>
          </w:p>
        </w:tc>
      </w:tr>
      <w:tr w:rsidR="007E727D" w14:paraId="7DF69671" w14:textId="77777777" w:rsidTr="00D33EEA">
        <w:tc>
          <w:tcPr>
            <w:tcW w:w="2552" w:type="dxa"/>
            <w:vMerge/>
            <w:vAlign w:val="center"/>
          </w:tcPr>
          <w:p w14:paraId="27080ACE" w14:textId="77777777" w:rsidR="007E727D" w:rsidRDefault="007E727D">
            <w:pPr>
              <w:widowControl/>
              <w:jc w:val="center"/>
              <w:rPr>
                <w:rFonts w:ascii="Times New Roman" w:eastAsia="DengXian" w:hAnsi="Times New Roman" w:cs="Times New Roman"/>
                <w:color w:val="000000"/>
                <w:kern w:val="0"/>
                <w:sz w:val="20"/>
                <w:szCs w:val="20"/>
              </w:rPr>
            </w:pPr>
          </w:p>
        </w:tc>
        <w:tc>
          <w:tcPr>
            <w:tcW w:w="2236" w:type="dxa"/>
            <w:vAlign w:val="center"/>
          </w:tcPr>
          <w:p w14:paraId="7A9339EE" w14:textId="4A9EA9B5"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PFOA</w:t>
            </w:r>
          </w:p>
        </w:tc>
        <w:tc>
          <w:tcPr>
            <w:tcW w:w="687" w:type="dxa"/>
            <w:vAlign w:val="center"/>
          </w:tcPr>
          <w:p w14:paraId="7D224908"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1</w:t>
            </w:r>
          </w:p>
        </w:tc>
        <w:tc>
          <w:tcPr>
            <w:tcW w:w="967" w:type="dxa"/>
          </w:tcPr>
          <w:p w14:paraId="2758B590"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spacing w:val="8"/>
                <w:kern w:val="0"/>
                <w:sz w:val="20"/>
                <w:szCs w:val="20"/>
                <w:lang w:bidi="ar"/>
              </w:rPr>
              <w:t>0.14</w:t>
            </w:r>
          </w:p>
        </w:tc>
        <w:tc>
          <w:tcPr>
            <w:tcW w:w="1854" w:type="dxa"/>
          </w:tcPr>
          <w:p w14:paraId="113A2052" w14:textId="77777777" w:rsidR="007E727D" w:rsidRDefault="00000000">
            <w:pPr>
              <w:ind w:firstLineChars="200" w:firstLine="432"/>
              <w:jc w:val="left"/>
              <w:rPr>
                <w:rFonts w:ascii="Times New Roman" w:hAnsi="Times New Roman" w:cs="Times New Roman"/>
                <w:spacing w:val="8"/>
                <w:kern w:val="0"/>
                <w:sz w:val="20"/>
                <w:szCs w:val="20"/>
                <w:lang w:bidi="ar"/>
              </w:rPr>
            </w:pPr>
            <w:r>
              <w:rPr>
                <w:rFonts w:ascii="Times New Roman" w:hAnsi="Times New Roman" w:cs="Times New Roman"/>
                <w:spacing w:val="8"/>
                <w:kern w:val="0"/>
                <w:sz w:val="20"/>
                <w:szCs w:val="20"/>
                <w:lang w:bidi="ar"/>
              </w:rPr>
              <w:t>0.71</w:t>
            </w:r>
            <w:r>
              <w:rPr>
                <w:rFonts w:ascii="Times New Roman" w:hAnsi="Times New Roman" w:cs="Times New Roman" w:hint="eastAsia"/>
                <w:spacing w:val="8"/>
                <w:kern w:val="0"/>
                <w:sz w:val="20"/>
                <w:szCs w:val="20"/>
                <w:lang w:bidi="ar"/>
              </w:rPr>
              <w:t>0</w:t>
            </w:r>
          </w:p>
        </w:tc>
      </w:tr>
      <w:tr w:rsidR="007E727D" w14:paraId="06907D7B" w14:textId="77777777" w:rsidTr="00D33EEA">
        <w:tc>
          <w:tcPr>
            <w:tcW w:w="2552" w:type="dxa"/>
            <w:vMerge/>
            <w:vAlign w:val="center"/>
          </w:tcPr>
          <w:p w14:paraId="77F67724" w14:textId="77777777" w:rsidR="007E727D" w:rsidRDefault="007E727D">
            <w:pPr>
              <w:widowControl/>
              <w:jc w:val="center"/>
              <w:rPr>
                <w:rFonts w:ascii="Times New Roman" w:eastAsia="DengXian" w:hAnsi="Times New Roman" w:cs="Times New Roman"/>
                <w:color w:val="000000"/>
                <w:kern w:val="0"/>
                <w:sz w:val="20"/>
                <w:szCs w:val="20"/>
              </w:rPr>
            </w:pPr>
          </w:p>
        </w:tc>
        <w:tc>
          <w:tcPr>
            <w:tcW w:w="2236" w:type="dxa"/>
            <w:vAlign w:val="center"/>
          </w:tcPr>
          <w:p w14:paraId="4545974A" w14:textId="43E15EE5"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c</w:t>
            </w:r>
            <w:r>
              <w:rPr>
                <w:rFonts w:ascii="Times New Roman" w:hAnsi="Times New Roman" w:cs="Times New Roman"/>
                <w:spacing w:val="8"/>
                <w:kern w:val="0"/>
                <w:sz w:val="20"/>
                <w:szCs w:val="20"/>
                <w:lang w:bidi="ar"/>
              </w:rPr>
              <w:t>ore</w:t>
            </w:r>
            <w:r>
              <w:rPr>
                <w:rFonts w:ascii="Times New Roman" w:hAnsi="Times New Roman" w:cs="Times New Roman" w:hint="eastAsia"/>
                <w:spacing w:val="8"/>
                <w:kern w:val="0"/>
                <w:sz w:val="20"/>
                <w:szCs w:val="20"/>
                <w:lang w:bidi="ar"/>
              </w:rPr>
              <w:t xml:space="preserve"> : PFOA</w:t>
            </w:r>
          </w:p>
        </w:tc>
        <w:tc>
          <w:tcPr>
            <w:tcW w:w="687" w:type="dxa"/>
            <w:vAlign w:val="center"/>
          </w:tcPr>
          <w:p w14:paraId="19C9CB6D"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3</w:t>
            </w:r>
          </w:p>
        </w:tc>
        <w:tc>
          <w:tcPr>
            <w:tcW w:w="967" w:type="dxa"/>
          </w:tcPr>
          <w:p w14:paraId="6D8DCA65"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spacing w:val="8"/>
                <w:kern w:val="0"/>
                <w:sz w:val="20"/>
                <w:szCs w:val="20"/>
                <w:lang w:bidi="ar"/>
              </w:rPr>
              <w:t>0.0</w:t>
            </w:r>
            <w:r>
              <w:rPr>
                <w:rFonts w:ascii="Times New Roman" w:hAnsi="Times New Roman" w:cs="Times New Roman" w:hint="eastAsia"/>
                <w:spacing w:val="8"/>
                <w:kern w:val="0"/>
                <w:sz w:val="20"/>
                <w:szCs w:val="20"/>
                <w:lang w:bidi="ar"/>
              </w:rPr>
              <w:t>4</w:t>
            </w:r>
          </w:p>
        </w:tc>
        <w:tc>
          <w:tcPr>
            <w:tcW w:w="1854" w:type="dxa"/>
          </w:tcPr>
          <w:p w14:paraId="739A6E90" w14:textId="77777777" w:rsidR="007E727D" w:rsidRDefault="00000000">
            <w:pPr>
              <w:ind w:firstLineChars="200" w:firstLine="432"/>
              <w:jc w:val="left"/>
              <w:rPr>
                <w:rFonts w:ascii="Times New Roman" w:hAnsi="Times New Roman" w:cs="Times New Roman"/>
                <w:spacing w:val="8"/>
                <w:kern w:val="0"/>
                <w:sz w:val="20"/>
                <w:szCs w:val="20"/>
                <w:lang w:bidi="ar"/>
              </w:rPr>
            </w:pPr>
            <w:r>
              <w:rPr>
                <w:rFonts w:ascii="Times New Roman" w:hAnsi="Times New Roman" w:cs="Times New Roman"/>
                <w:spacing w:val="8"/>
                <w:kern w:val="0"/>
                <w:sz w:val="20"/>
                <w:szCs w:val="20"/>
                <w:lang w:bidi="ar"/>
              </w:rPr>
              <w:t>0.99</w:t>
            </w:r>
            <w:r>
              <w:rPr>
                <w:rFonts w:ascii="Times New Roman" w:hAnsi="Times New Roman" w:cs="Times New Roman" w:hint="eastAsia"/>
                <w:spacing w:val="8"/>
                <w:kern w:val="0"/>
                <w:sz w:val="20"/>
                <w:szCs w:val="20"/>
                <w:lang w:bidi="ar"/>
              </w:rPr>
              <w:t>0</w:t>
            </w:r>
          </w:p>
        </w:tc>
      </w:tr>
      <w:tr w:rsidR="007E727D" w14:paraId="075B772C" w14:textId="77777777" w:rsidTr="00D33EEA">
        <w:tc>
          <w:tcPr>
            <w:tcW w:w="2552" w:type="dxa"/>
            <w:vMerge w:val="restart"/>
            <w:vAlign w:val="center"/>
          </w:tcPr>
          <w:p w14:paraId="702A9233" w14:textId="38023E60" w:rsidR="007E727D" w:rsidRDefault="00000000">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Take-off time</w:t>
            </w:r>
          </w:p>
        </w:tc>
        <w:tc>
          <w:tcPr>
            <w:tcW w:w="2236" w:type="dxa"/>
            <w:vAlign w:val="center"/>
          </w:tcPr>
          <w:p w14:paraId="2C37A969"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core</w:t>
            </w:r>
          </w:p>
        </w:tc>
        <w:tc>
          <w:tcPr>
            <w:tcW w:w="687" w:type="dxa"/>
            <w:vAlign w:val="center"/>
          </w:tcPr>
          <w:p w14:paraId="6E6AF6C9"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3</w:t>
            </w:r>
          </w:p>
        </w:tc>
        <w:tc>
          <w:tcPr>
            <w:tcW w:w="967" w:type="dxa"/>
          </w:tcPr>
          <w:p w14:paraId="188A6E77"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spacing w:val="8"/>
                <w:kern w:val="0"/>
                <w:sz w:val="20"/>
                <w:szCs w:val="20"/>
                <w:lang w:bidi="ar"/>
              </w:rPr>
              <w:t>7.9</w:t>
            </w:r>
            <w:r>
              <w:rPr>
                <w:rFonts w:ascii="Times New Roman" w:hAnsi="Times New Roman" w:cs="Times New Roman" w:hint="eastAsia"/>
                <w:spacing w:val="8"/>
                <w:kern w:val="0"/>
                <w:sz w:val="20"/>
                <w:szCs w:val="20"/>
                <w:lang w:bidi="ar"/>
              </w:rPr>
              <w:t>8</w:t>
            </w:r>
          </w:p>
        </w:tc>
        <w:tc>
          <w:tcPr>
            <w:tcW w:w="1854" w:type="dxa"/>
          </w:tcPr>
          <w:p w14:paraId="11BC7EDC" w14:textId="77777777" w:rsidR="007E727D" w:rsidRDefault="00000000">
            <w:pPr>
              <w:ind w:firstLineChars="200" w:firstLine="432"/>
              <w:jc w:val="left"/>
              <w:rPr>
                <w:rFonts w:ascii="Times New Roman" w:hAnsi="Times New Roman" w:cs="Times New Roman"/>
                <w:spacing w:val="8"/>
                <w:kern w:val="0"/>
                <w:sz w:val="20"/>
                <w:szCs w:val="20"/>
                <w:lang w:bidi="ar"/>
              </w:rPr>
            </w:pPr>
            <w:r>
              <w:rPr>
                <w:rFonts w:ascii="Times New Roman" w:hAnsi="Times New Roman" w:cs="Times New Roman"/>
                <w:spacing w:val="8"/>
                <w:kern w:val="0"/>
                <w:sz w:val="20"/>
                <w:szCs w:val="20"/>
                <w:lang w:bidi="ar"/>
              </w:rPr>
              <w:t>0.00</w:t>
            </w:r>
            <w:r>
              <w:rPr>
                <w:rFonts w:ascii="Times New Roman" w:hAnsi="Times New Roman" w:cs="Times New Roman" w:hint="eastAsia"/>
                <w:spacing w:val="8"/>
                <w:kern w:val="0"/>
                <w:sz w:val="20"/>
                <w:szCs w:val="20"/>
                <w:lang w:bidi="ar"/>
              </w:rPr>
              <w:t>2</w:t>
            </w:r>
            <w:r>
              <w:rPr>
                <w:rFonts w:ascii="Times New Roman" w:hAnsi="Times New Roman" w:cs="Times New Roman"/>
                <w:spacing w:val="8"/>
                <w:kern w:val="0"/>
                <w:sz w:val="20"/>
                <w:szCs w:val="20"/>
                <w:lang w:bidi="ar"/>
              </w:rPr>
              <w:t xml:space="preserve"> **</w:t>
            </w:r>
          </w:p>
        </w:tc>
      </w:tr>
      <w:tr w:rsidR="007E727D" w14:paraId="671FC719" w14:textId="77777777" w:rsidTr="00D33EEA">
        <w:tc>
          <w:tcPr>
            <w:tcW w:w="2552" w:type="dxa"/>
            <w:vMerge/>
            <w:vAlign w:val="center"/>
          </w:tcPr>
          <w:p w14:paraId="5AF77DC4" w14:textId="77777777" w:rsidR="007E727D" w:rsidRDefault="007E727D">
            <w:pPr>
              <w:jc w:val="center"/>
              <w:rPr>
                <w:rFonts w:ascii="Times New Roman" w:hAnsi="Times New Roman" w:cs="Times New Roman"/>
                <w:spacing w:val="8"/>
                <w:kern w:val="0"/>
                <w:sz w:val="20"/>
                <w:szCs w:val="20"/>
                <w:lang w:bidi="ar"/>
              </w:rPr>
            </w:pPr>
          </w:p>
        </w:tc>
        <w:tc>
          <w:tcPr>
            <w:tcW w:w="2236" w:type="dxa"/>
            <w:vAlign w:val="center"/>
          </w:tcPr>
          <w:p w14:paraId="63A0BD8A" w14:textId="491FB1C8"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hAnsi="Times New Roman" w:cs="Times New Roman" w:hint="eastAsia"/>
                <w:spacing w:val="8"/>
                <w:kern w:val="0"/>
                <w:sz w:val="20"/>
                <w:szCs w:val="20"/>
                <w:lang w:bidi="ar"/>
              </w:rPr>
              <w:t>(PFOA+1)</w:t>
            </w:r>
          </w:p>
        </w:tc>
        <w:tc>
          <w:tcPr>
            <w:tcW w:w="687" w:type="dxa"/>
            <w:vAlign w:val="center"/>
          </w:tcPr>
          <w:p w14:paraId="28944235"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1</w:t>
            </w:r>
          </w:p>
        </w:tc>
        <w:tc>
          <w:tcPr>
            <w:tcW w:w="967" w:type="dxa"/>
          </w:tcPr>
          <w:p w14:paraId="5ABCB462"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spacing w:val="8"/>
                <w:kern w:val="0"/>
                <w:sz w:val="20"/>
                <w:szCs w:val="20"/>
                <w:lang w:bidi="ar"/>
              </w:rPr>
              <w:t>6.42</w:t>
            </w:r>
          </w:p>
        </w:tc>
        <w:tc>
          <w:tcPr>
            <w:tcW w:w="1854" w:type="dxa"/>
          </w:tcPr>
          <w:p w14:paraId="1460F83C" w14:textId="77777777" w:rsidR="007E727D" w:rsidRDefault="00000000">
            <w:pPr>
              <w:ind w:firstLineChars="200" w:firstLine="432"/>
              <w:jc w:val="left"/>
              <w:rPr>
                <w:rFonts w:ascii="Times New Roman" w:hAnsi="Times New Roman" w:cs="Times New Roman"/>
                <w:spacing w:val="8"/>
                <w:kern w:val="0"/>
                <w:sz w:val="20"/>
                <w:szCs w:val="20"/>
                <w:lang w:bidi="ar"/>
              </w:rPr>
            </w:pPr>
            <w:r>
              <w:rPr>
                <w:rFonts w:ascii="Times New Roman" w:hAnsi="Times New Roman" w:cs="Times New Roman"/>
                <w:spacing w:val="8"/>
                <w:kern w:val="0"/>
                <w:sz w:val="20"/>
                <w:szCs w:val="20"/>
                <w:lang w:bidi="ar"/>
              </w:rPr>
              <w:t xml:space="preserve">0.022 * </w:t>
            </w:r>
          </w:p>
        </w:tc>
      </w:tr>
      <w:tr w:rsidR="007E727D" w14:paraId="797ACB99" w14:textId="77777777" w:rsidTr="00D33EEA">
        <w:tc>
          <w:tcPr>
            <w:tcW w:w="2552" w:type="dxa"/>
            <w:vMerge/>
            <w:tcBorders>
              <w:bottom w:val="single" w:sz="8" w:space="0" w:color="auto"/>
            </w:tcBorders>
            <w:vAlign w:val="center"/>
          </w:tcPr>
          <w:p w14:paraId="4925F7DA" w14:textId="77777777" w:rsidR="007E727D" w:rsidRDefault="007E727D">
            <w:pPr>
              <w:jc w:val="center"/>
              <w:rPr>
                <w:rFonts w:ascii="Times New Roman" w:hAnsi="Times New Roman" w:cs="Times New Roman"/>
                <w:spacing w:val="8"/>
                <w:kern w:val="0"/>
                <w:sz w:val="20"/>
                <w:szCs w:val="20"/>
                <w:lang w:bidi="ar"/>
              </w:rPr>
            </w:pPr>
          </w:p>
        </w:tc>
        <w:tc>
          <w:tcPr>
            <w:tcW w:w="2236" w:type="dxa"/>
            <w:tcBorders>
              <w:bottom w:val="single" w:sz="8" w:space="0" w:color="auto"/>
            </w:tcBorders>
            <w:vAlign w:val="center"/>
          </w:tcPr>
          <w:p w14:paraId="50A24401" w14:textId="5FF41561"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c</w:t>
            </w:r>
            <w:r>
              <w:rPr>
                <w:rFonts w:ascii="Times New Roman" w:hAnsi="Times New Roman" w:cs="Times New Roman"/>
                <w:spacing w:val="8"/>
                <w:kern w:val="0"/>
                <w:sz w:val="20"/>
                <w:szCs w:val="20"/>
                <w:lang w:bidi="ar"/>
              </w:rPr>
              <w:t>ore</w:t>
            </w:r>
            <w:r>
              <w:rPr>
                <w:rFonts w:ascii="Times New Roman" w:hAnsi="Times New Roman" w:cs="Times New Roman" w:hint="eastAsia"/>
                <w:spacing w:val="8"/>
                <w:kern w:val="0"/>
                <w:sz w:val="20"/>
                <w:szCs w:val="20"/>
                <w:lang w:bidi="ar"/>
              </w:rPr>
              <w:t xml:space="preserve"> : </w:t>
            </w:r>
            <w:r>
              <w:rPr>
                <w:rFonts w:ascii="Times New Roman" w:hAnsi="Times New Roman" w:cs="Times New Roman"/>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hAnsi="Times New Roman" w:cs="Times New Roman"/>
                <w:spacing w:val="8"/>
                <w:kern w:val="0"/>
                <w:sz w:val="20"/>
                <w:szCs w:val="20"/>
                <w:lang w:bidi="ar"/>
              </w:rPr>
              <w:t>(</w:t>
            </w:r>
            <w:r>
              <w:rPr>
                <w:rFonts w:ascii="Times New Roman" w:hAnsi="Times New Roman" w:cs="Times New Roman" w:hint="eastAsia"/>
                <w:spacing w:val="8"/>
                <w:kern w:val="0"/>
                <w:sz w:val="20"/>
                <w:szCs w:val="20"/>
                <w:lang w:bidi="ar"/>
              </w:rPr>
              <w:t>PFOA</w:t>
            </w:r>
            <w:r>
              <w:rPr>
                <w:rFonts w:ascii="Times New Roman" w:hAnsi="Times New Roman" w:cs="Times New Roman"/>
                <w:spacing w:val="8"/>
                <w:kern w:val="0"/>
                <w:sz w:val="20"/>
                <w:szCs w:val="20"/>
                <w:lang w:bidi="ar"/>
              </w:rPr>
              <w:t xml:space="preserve"> + 1)</w:t>
            </w:r>
          </w:p>
        </w:tc>
        <w:tc>
          <w:tcPr>
            <w:tcW w:w="687" w:type="dxa"/>
            <w:tcBorders>
              <w:bottom w:val="single" w:sz="8" w:space="0" w:color="auto"/>
            </w:tcBorders>
            <w:vAlign w:val="center"/>
          </w:tcPr>
          <w:p w14:paraId="7C17C415"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3</w:t>
            </w:r>
          </w:p>
        </w:tc>
        <w:tc>
          <w:tcPr>
            <w:tcW w:w="967" w:type="dxa"/>
            <w:tcBorders>
              <w:bottom w:val="single" w:sz="8" w:space="0" w:color="auto"/>
            </w:tcBorders>
          </w:tcPr>
          <w:p w14:paraId="36CA6525"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spacing w:val="8"/>
                <w:kern w:val="0"/>
                <w:sz w:val="20"/>
                <w:szCs w:val="20"/>
                <w:lang w:bidi="ar"/>
              </w:rPr>
              <w:t>0.8</w:t>
            </w:r>
            <w:r>
              <w:rPr>
                <w:rFonts w:ascii="Times New Roman" w:hAnsi="Times New Roman" w:cs="Times New Roman" w:hint="eastAsia"/>
                <w:spacing w:val="8"/>
                <w:kern w:val="0"/>
                <w:sz w:val="20"/>
                <w:szCs w:val="20"/>
                <w:lang w:bidi="ar"/>
              </w:rPr>
              <w:t>1</w:t>
            </w:r>
          </w:p>
        </w:tc>
        <w:tc>
          <w:tcPr>
            <w:tcW w:w="1854" w:type="dxa"/>
            <w:tcBorders>
              <w:bottom w:val="single" w:sz="8" w:space="0" w:color="auto"/>
            </w:tcBorders>
          </w:tcPr>
          <w:p w14:paraId="0D971E87" w14:textId="77777777" w:rsidR="007E727D" w:rsidRDefault="00000000">
            <w:pPr>
              <w:ind w:firstLineChars="200" w:firstLine="432"/>
              <w:jc w:val="left"/>
              <w:rPr>
                <w:rFonts w:ascii="Times New Roman" w:hAnsi="Times New Roman" w:cs="Times New Roman"/>
                <w:spacing w:val="8"/>
                <w:kern w:val="0"/>
                <w:sz w:val="20"/>
                <w:szCs w:val="20"/>
                <w:lang w:bidi="ar"/>
              </w:rPr>
            </w:pPr>
            <w:r>
              <w:rPr>
                <w:rFonts w:ascii="Times New Roman" w:hAnsi="Times New Roman" w:cs="Times New Roman"/>
                <w:spacing w:val="8"/>
                <w:kern w:val="0"/>
                <w:sz w:val="20"/>
                <w:szCs w:val="20"/>
                <w:lang w:bidi="ar"/>
              </w:rPr>
              <w:t>0.5</w:t>
            </w:r>
            <w:r>
              <w:rPr>
                <w:rFonts w:ascii="Times New Roman" w:hAnsi="Times New Roman" w:cs="Times New Roman" w:hint="eastAsia"/>
                <w:spacing w:val="8"/>
                <w:kern w:val="0"/>
                <w:sz w:val="20"/>
                <w:szCs w:val="20"/>
                <w:lang w:bidi="ar"/>
              </w:rPr>
              <w:t>10</w:t>
            </w:r>
            <w:r>
              <w:rPr>
                <w:rFonts w:ascii="Times New Roman" w:hAnsi="Times New Roman" w:cs="Times New Roman"/>
                <w:spacing w:val="8"/>
                <w:kern w:val="0"/>
                <w:sz w:val="20"/>
                <w:szCs w:val="20"/>
                <w:lang w:bidi="ar"/>
              </w:rPr>
              <w:t xml:space="preserve">   </w:t>
            </w:r>
          </w:p>
        </w:tc>
      </w:tr>
    </w:tbl>
    <w:p w14:paraId="76E1B360" w14:textId="77777777" w:rsidR="007E727D" w:rsidRDefault="00000000">
      <w:pPr>
        <w:widowControl/>
        <w:spacing w:line="360" w:lineRule="auto"/>
        <w:rPr>
          <w:rFonts w:ascii="Times New Roman" w:hAnsi="Times New Roman" w:cs="Times New Roman"/>
          <w:b/>
          <w:bCs/>
          <w:spacing w:val="8"/>
          <w:kern w:val="0"/>
          <w:sz w:val="20"/>
          <w:szCs w:val="20"/>
          <w:lang w:val="nb-NO" w:bidi="ar"/>
        </w:rPr>
      </w:pPr>
      <w:r>
        <w:rPr>
          <w:rFonts w:ascii="Times New Roman" w:hAnsi="Times New Roman" w:cs="Times New Roman"/>
          <w:b/>
          <w:bCs/>
          <w:spacing w:val="8"/>
          <w:kern w:val="0"/>
          <w:sz w:val="20"/>
          <w:szCs w:val="20"/>
          <w:lang w:val="nb-NO" w:bidi="ar"/>
        </w:rPr>
        <w:t>Reference</w:t>
      </w:r>
      <w:r>
        <w:rPr>
          <w:rFonts w:ascii="Times New Roman" w:hAnsi="Times New Roman" w:cs="Times New Roman" w:hint="eastAsia"/>
          <w:b/>
          <w:bCs/>
          <w:spacing w:val="8"/>
          <w:kern w:val="0"/>
          <w:sz w:val="20"/>
          <w:szCs w:val="20"/>
          <w:lang w:val="nb-NO" w:bidi="ar"/>
        </w:rPr>
        <w:t>s</w:t>
      </w:r>
    </w:p>
    <w:p w14:paraId="4BAB6163" w14:textId="77777777" w:rsidR="007E727D" w:rsidRDefault="00000000">
      <w:pPr>
        <w:ind w:left="360" w:hangingChars="200" w:hanging="360"/>
        <w:rPr>
          <w:rFonts w:ascii="Times New Roman" w:hAnsi="Times New Roman" w:cs="Times New Roman"/>
          <w:sz w:val="18"/>
        </w:rPr>
      </w:pPr>
      <w:r>
        <w:rPr>
          <w:rFonts w:ascii="Times New Roman" w:hAnsi="Times New Roman" w:cs="Times New Roman" w:hint="eastAsia"/>
          <w:sz w:val="18"/>
        </w:rPr>
        <w:t>Carlsen ECL, Wei J, Lejzerowicz F, Trier Kjær S, Westermann S, Hessen DO, et al. Redox determines greenhouse gas production kinetics and metabolic traits in water-saturated thawing permafrost peat. ISME Communications 2025;5:ycaf009.</w:t>
      </w:r>
    </w:p>
    <w:p w14:paraId="08C3E205" w14:textId="77777777" w:rsidR="007E727D" w:rsidRDefault="007E727D">
      <w:pPr>
        <w:spacing w:line="360" w:lineRule="auto"/>
        <w:rPr>
          <w:rFonts w:ascii="Times New Roman" w:hAnsi="Times New Roman" w:cs="Times New Roman"/>
          <w:spacing w:val="8"/>
          <w:kern w:val="0"/>
          <w:sz w:val="20"/>
          <w:szCs w:val="20"/>
          <w:lang w:bidi="ar"/>
        </w:rPr>
      </w:pPr>
    </w:p>
    <w:p w14:paraId="5DC27F21" w14:textId="77777777" w:rsidR="007E727D" w:rsidRDefault="00000000">
      <w:pPr>
        <w:pStyle w:val="Heading2"/>
        <w:rPr>
          <w:b w:val="0"/>
          <w:bCs/>
        </w:rPr>
      </w:pPr>
      <w:r>
        <w:lastRenderedPageBreak/>
        <w:t xml:space="preserve">Table. </w:t>
      </w:r>
      <w:r>
        <w:rPr>
          <w:rFonts w:hint="eastAsia"/>
        </w:rPr>
        <w:t>S4</w:t>
      </w:r>
      <w:r>
        <w:t>.</w:t>
      </w:r>
      <w:r>
        <w:rPr>
          <w:rFonts w:eastAsia="SimSun"/>
          <w:sz w:val="24"/>
        </w:rPr>
        <w:t xml:space="preserve"> </w:t>
      </w:r>
      <w:r>
        <w:t xml:space="preserve">ANOVAs on mixed-effects models for </w:t>
      </w:r>
      <w:r>
        <w:rPr>
          <w:rFonts w:hint="eastAsia"/>
        </w:rPr>
        <w:t>cell counts</w:t>
      </w:r>
      <w:r>
        <w:t xml:space="preserve">. </w:t>
      </w:r>
      <w:r>
        <w:rPr>
          <w:b w:val="0"/>
          <w:bCs/>
        </w:rPr>
        <w:t>These models were applied to assess the effects of PFOA addition and source environment on cell counts.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0"/>
        <w:gridCol w:w="2238"/>
        <w:gridCol w:w="797"/>
        <w:gridCol w:w="967"/>
        <w:gridCol w:w="1854"/>
      </w:tblGrid>
      <w:tr w:rsidR="007E727D" w14:paraId="3444E761" w14:textId="77777777" w:rsidTr="00D33EEA">
        <w:tc>
          <w:tcPr>
            <w:tcW w:w="2440" w:type="dxa"/>
            <w:tcBorders>
              <w:top w:val="single" w:sz="4" w:space="0" w:color="auto"/>
              <w:bottom w:val="single" w:sz="8" w:space="0" w:color="auto"/>
            </w:tcBorders>
          </w:tcPr>
          <w:p w14:paraId="0994005D" w14:textId="77777777" w:rsidR="007E727D" w:rsidRDefault="00000000">
            <w:pPr>
              <w:jc w:val="center"/>
              <w:rPr>
                <w:rFonts w:ascii="Times New Roman" w:hAnsi="Times New Roman" w:cs="Times New Roman"/>
                <w:spacing w:val="8"/>
                <w:kern w:val="0"/>
                <w:sz w:val="20"/>
                <w:szCs w:val="20"/>
                <w:lang w:bidi="ar"/>
              </w:rPr>
            </w:pPr>
            <w:r>
              <w:rPr>
                <w:rFonts w:ascii="Times New Roman" w:eastAsia="DengXian" w:hAnsi="Times New Roman" w:cs="Times New Roman" w:hint="eastAsia"/>
                <w:b/>
                <w:bCs/>
                <w:color w:val="000000"/>
                <w:kern w:val="0"/>
                <w:sz w:val="20"/>
                <w:szCs w:val="20"/>
              </w:rPr>
              <w:t>Response variable</w:t>
            </w:r>
          </w:p>
        </w:tc>
        <w:tc>
          <w:tcPr>
            <w:tcW w:w="2238" w:type="dxa"/>
            <w:tcBorders>
              <w:top w:val="single" w:sz="4" w:space="0" w:color="auto"/>
              <w:bottom w:val="single" w:sz="8" w:space="0" w:color="auto"/>
            </w:tcBorders>
          </w:tcPr>
          <w:p w14:paraId="0DDEAE6E" w14:textId="77777777" w:rsidR="007E727D" w:rsidRDefault="00000000">
            <w:pPr>
              <w:widowControl/>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Factor</w:t>
            </w:r>
          </w:p>
        </w:tc>
        <w:tc>
          <w:tcPr>
            <w:tcW w:w="797" w:type="dxa"/>
            <w:tcBorders>
              <w:top w:val="single" w:sz="4" w:space="0" w:color="auto"/>
              <w:bottom w:val="single" w:sz="8" w:space="0" w:color="auto"/>
            </w:tcBorders>
          </w:tcPr>
          <w:p w14:paraId="32D65FBE" w14:textId="77777777" w:rsidR="007E727D" w:rsidRDefault="00000000">
            <w:pPr>
              <w:widowControl/>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df</w:t>
            </w:r>
          </w:p>
        </w:tc>
        <w:tc>
          <w:tcPr>
            <w:tcW w:w="967" w:type="dxa"/>
            <w:tcBorders>
              <w:top w:val="single" w:sz="4" w:space="0" w:color="auto"/>
              <w:bottom w:val="single" w:sz="8" w:space="0" w:color="auto"/>
            </w:tcBorders>
          </w:tcPr>
          <w:p w14:paraId="6523D530" w14:textId="77777777" w:rsidR="007E727D" w:rsidRDefault="00000000">
            <w:pPr>
              <w:widowControl/>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F-value</w:t>
            </w:r>
          </w:p>
        </w:tc>
        <w:tc>
          <w:tcPr>
            <w:tcW w:w="1854" w:type="dxa"/>
            <w:tcBorders>
              <w:top w:val="single" w:sz="4" w:space="0" w:color="auto"/>
              <w:bottom w:val="single" w:sz="8" w:space="0" w:color="auto"/>
            </w:tcBorders>
          </w:tcPr>
          <w:p w14:paraId="2AB6721F" w14:textId="77777777" w:rsidR="007E727D" w:rsidRDefault="00000000">
            <w:pPr>
              <w:widowControl/>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p-value</w:t>
            </w:r>
          </w:p>
        </w:tc>
      </w:tr>
      <w:tr w:rsidR="007E727D" w14:paraId="0797A83C" w14:textId="77777777" w:rsidTr="00D33EEA">
        <w:tc>
          <w:tcPr>
            <w:tcW w:w="2440" w:type="dxa"/>
            <w:vMerge w:val="restart"/>
            <w:tcBorders>
              <w:top w:val="single" w:sz="8" w:space="0" w:color="auto"/>
            </w:tcBorders>
            <w:vAlign w:val="center"/>
          </w:tcPr>
          <w:p w14:paraId="526D3F17" w14:textId="77777777" w:rsidR="007E727D" w:rsidRDefault="00000000">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Cell counts</w:t>
            </w:r>
          </w:p>
        </w:tc>
        <w:tc>
          <w:tcPr>
            <w:tcW w:w="2238" w:type="dxa"/>
            <w:tcBorders>
              <w:top w:val="single" w:sz="8" w:space="0" w:color="auto"/>
            </w:tcBorders>
            <w:vAlign w:val="center"/>
          </w:tcPr>
          <w:p w14:paraId="441A40CD"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core</w:t>
            </w:r>
          </w:p>
        </w:tc>
        <w:tc>
          <w:tcPr>
            <w:tcW w:w="797" w:type="dxa"/>
            <w:tcBorders>
              <w:top w:val="single" w:sz="8" w:space="0" w:color="auto"/>
            </w:tcBorders>
            <w:vAlign w:val="center"/>
          </w:tcPr>
          <w:p w14:paraId="3E34E472"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3</w:t>
            </w:r>
          </w:p>
        </w:tc>
        <w:tc>
          <w:tcPr>
            <w:tcW w:w="967" w:type="dxa"/>
            <w:tcBorders>
              <w:top w:val="single" w:sz="8" w:space="0" w:color="auto"/>
            </w:tcBorders>
            <w:vAlign w:val="center"/>
          </w:tcPr>
          <w:p w14:paraId="0E2CB971" w14:textId="77777777" w:rsidR="007E727D" w:rsidRDefault="00000000">
            <w:pPr>
              <w:jc w:val="center"/>
              <w:rPr>
                <w:rFonts w:ascii="Times New Roma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2</w:t>
            </w:r>
            <w:r>
              <w:rPr>
                <w:rFonts w:ascii="Times New Roman" w:eastAsia="SimSun" w:hAnsi="Times New Roman" w:cs="Times New Roman"/>
                <w:spacing w:val="8"/>
                <w:kern w:val="0"/>
                <w:sz w:val="20"/>
                <w:szCs w:val="20"/>
                <w:lang w:bidi="ar"/>
              </w:rPr>
              <w:t>.</w:t>
            </w:r>
            <w:r>
              <w:rPr>
                <w:rFonts w:ascii="Times New Roman" w:eastAsia="SimSun" w:hAnsi="Times New Roman" w:cs="Times New Roman" w:hint="eastAsia"/>
                <w:spacing w:val="8"/>
                <w:kern w:val="0"/>
                <w:sz w:val="20"/>
                <w:szCs w:val="20"/>
                <w:lang w:bidi="ar"/>
              </w:rPr>
              <w:t>66</w:t>
            </w:r>
          </w:p>
        </w:tc>
        <w:tc>
          <w:tcPr>
            <w:tcW w:w="1854" w:type="dxa"/>
            <w:tcBorders>
              <w:top w:val="single" w:sz="8" w:space="0" w:color="auto"/>
            </w:tcBorders>
            <w:vAlign w:val="center"/>
          </w:tcPr>
          <w:p w14:paraId="64D2D73A" w14:textId="77777777" w:rsidR="007E727D" w:rsidRDefault="00000000">
            <w:pPr>
              <w:tabs>
                <w:tab w:val="decimal" w:pos="484"/>
              </w:tabs>
              <w:ind w:firstLineChars="100" w:firstLine="216"/>
              <w:jc w:val="left"/>
              <w:rPr>
                <w:rFonts w:ascii="Times New Roma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0.084</w:t>
            </w:r>
          </w:p>
        </w:tc>
      </w:tr>
      <w:tr w:rsidR="007E727D" w14:paraId="54463AAD" w14:textId="77777777" w:rsidTr="00D33EEA">
        <w:tc>
          <w:tcPr>
            <w:tcW w:w="2440" w:type="dxa"/>
            <w:vMerge/>
            <w:vAlign w:val="center"/>
          </w:tcPr>
          <w:p w14:paraId="601DC94E" w14:textId="77777777" w:rsidR="007E727D" w:rsidRDefault="007E727D">
            <w:pPr>
              <w:widowControl/>
              <w:jc w:val="center"/>
              <w:rPr>
                <w:rFonts w:ascii="Times New Roman" w:eastAsia="DengXian" w:hAnsi="Times New Roman" w:cs="Times New Roman"/>
                <w:color w:val="000000"/>
                <w:kern w:val="0"/>
                <w:sz w:val="20"/>
                <w:szCs w:val="20"/>
              </w:rPr>
            </w:pPr>
          </w:p>
        </w:tc>
        <w:tc>
          <w:tcPr>
            <w:tcW w:w="2238" w:type="dxa"/>
            <w:vAlign w:val="center"/>
          </w:tcPr>
          <w:p w14:paraId="71C0A86C" w14:textId="31E50E45"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hAnsi="Times New Roman" w:cs="Times New Roman" w:hint="eastAsia"/>
                <w:spacing w:val="8"/>
                <w:kern w:val="0"/>
                <w:sz w:val="20"/>
                <w:szCs w:val="20"/>
                <w:lang w:bidi="ar"/>
              </w:rPr>
              <w:t>(PFOA+1)</w:t>
            </w:r>
          </w:p>
        </w:tc>
        <w:tc>
          <w:tcPr>
            <w:tcW w:w="797" w:type="dxa"/>
            <w:vAlign w:val="center"/>
          </w:tcPr>
          <w:p w14:paraId="070A3771"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1</w:t>
            </w:r>
          </w:p>
        </w:tc>
        <w:tc>
          <w:tcPr>
            <w:tcW w:w="967" w:type="dxa"/>
            <w:vAlign w:val="center"/>
          </w:tcPr>
          <w:p w14:paraId="2DFD9570" w14:textId="77777777" w:rsidR="007E727D" w:rsidRDefault="00000000">
            <w:pPr>
              <w:jc w:val="center"/>
              <w:rPr>
                <w:rFonts w:ascii="Times New Roma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2.75</w:t>
            </w:r>
          </w:p>
        </w:tc>
        <w:tc>
          <w:tcPr>
            <w:tcW w:w="1854" w:type="dxa"/>
            <w:vAlign w:val="center"/>
          </w:tcPr>
          <w:p w14:paraId="745AA3AE" w14:textId="77777777" w:rsidR="007E727D" w:rsidRDefault="00000000">
            <w:pPr>
              <w:tabs>
                <w:tab w:val="decimal" w:pos="484"/>
              </w:tabs>
              <w:ind w:firstLineChars="100" w:firstLine="216"/>
              <w:jc w:val="left"/>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0.120</w:t>
            </w:r>
          </w:p>
        </w:tc>
      </w:tr>
      <w:tr w:rsidR="007E727D" w14:paraId="75990F11" w14:textId="77777777" w:rsidTr="00D33EEA">
        <w:tc>
          <w:tcPr>
            <w:tcW w:w="2440" w:type="dxa"/>
            <w:vMerge/>
            <w:tcBorders>
              <w:bottom w:val="single" w:sz="8" w:space="0" w:color="auto"/>
            </w:tcBorders>
            <w:vAlign w:val="center"/>
          </w:tcPr>
          <w:p w14:paraId="2545F16A" w14:textId="77777777" w:rsidR="007E727D" w:rsidRDefault="007E727D">
            <w:pPr>
              <w:jc w:val="center"/>
              <w:rPr>
                <w:rFonts w:ascii="Times New Roman" w:hAnsi="Times New Roman" w:cs="Times New Roman"/>
                <w:spacing w:val="8"/>
                <w:kern w:val="0"/>
                <w:sz w:val="20"/>
                <w:szCs w:val="20"/>
                <w:lang w:bidi="ar"/>
              </w:rPr>
            </w:pPr>
          </w:p>
        </w:tc>
        <w:tc>
          <w:tcPr>
            <w:tcW w:w="2238" w:type="dxa"/>
            <w:tcBorders>
              <w:bottom w:val="single" w:sz="8" w:space="0" w:color="auto"/>
            </w:tcBorders>
            <w:vAlign w:val="center"/>
          </w:tcPr>
          <w:p w14:paraId="074B3EF0" w14:textId="3B61335A"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c</w:t>
            </w:r>
            <w:r>
              <w:rPr>
                <w:rFonts w:ascii="Times New Roman" w:hAnsi="Times New Roman" w:cs="Times New Roman"/>
                <w:spacing w:val="8"/>
                <w:kern w:val="0"/>
                <w:sz w:val="20"/>
                <w:szCs w:val="20"/>
                <w:lang w:bidi="ar"/>
              </w:rPr>
              <w:t>ore</w:t>
            </w:r>
            <w:r>
              <w:rPr>
                <w:rFonts w:ascii="Times New Roman" w:hAnsi="Times New Roman" w:cs="Times New Roman" w:hint="eastAsia"/>
                <w:spacing w:val="8"/>
                <w:kern w:val="0"/>
                <w:sz w:val="20"/>
                <w:szCs w:val="20"/>
                <w:lang w:bidi="ar"/>
              </w:rPr>
              <w:t xml:space="preserve"> : </w:t>
            </w:r>
            <w:r>
              <w:rPr>
                <w:rFonts w:ascii="Times New Roman" w:hAnsi="Times New Roman" w:cs="Times New Roman"/>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hAnsi="Times New Roman" w:cs="Times New Roman"/>
                <w:spacing w:val="8"/>
                <w:kern w:val="0"/>
                <w:sz w:val="20"/>
                <w:szCs w:val="20"/>
                <w:lang w:bidi="ar"/>
              </w:rPr>
              <w:t>(</w:t>
            </w:r>
            <w:r>
              <w:rPr>
                <w:rFonts w:ascii="Times New Roman" w:hAnsi="Times New Roman" w:cs="Times New Roman" w:hint="eastAsia"/>
                <w:spacing w:val="8"/>
                <w:kern w:val="0"/>
                <w:sz w:val="20"/>
                <w:szCs w:val="20"/>
                <w:lang w:bidi="ar"/>
              </w:rPr>
              <w:t>PFOA</w:t>
            </w:r>
            <w:r>
              <w:rPr>
                <w:rFonts w:ascii="Times New Roman" w:hAnsi="Times New Roman" w:cs="Times New Roman"/>
                <w:spacing w:val="8"/>
                <w:kern w:val="0"/>
                <w:sz w:val="20"/>
                <w:szCs w:val="20"/>
                <w:lang w:bidi="ar"/>
              </w:rPr>
              <w:t xml:space="preserve"> + 1)</w:t>
            </w:r>
          </w:p>
        </w:tc>
        <w:tc>
          <w:tcPr>
            <w:tcW w:w="797" w:type="dxa"/>
            <w:tcBorders>
              <w:bottom w:val="single" w:sz="8" w:space="0" w:color="auto"/>
            </w:tcBorders>
            <w:vAlign w:val="center"/>
          </w:tcPr>
          <w:p w14:paraId="6CBA1EFA" w14:textId="77777777"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hint="eastAsia"/>
                <w:spacing w:val="8"/>
                <w:kern w:val="0"/>
                <w:sz w:val="20"/>
                <w:szCs w:val="20"/>
                <w:lang w:bidi="ar"/>
              </w:rPr>
              <w:t>3</w:t>
            </w:r>
          </w:p>
        </w:tc>
        <w:tc>
          <w:tcPr>
            <w:tcW w:w="967" w:type="dxa"/>
            <w:tcBorders>
              <w:bottom w:val="single" w:sz="8" w:space="0" w:color="auto"/>
            </w:tcBorders>
            <w:vAlign w:val="center"/>
          </w:tcPr>
          <w:p w14:paraId="3B4359F3" w14:textId="77777777" w:rsidR="007E727D" w:rsidRDefault="00000000">
            <w:pPr>
              <w:jc w:val="center"/>
              <w:rPr>
                <w:rFonts w:ascii="Times New Roma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0.94</w:t>
            </w:r>
          </w:p>
        </w:tc>
        <w:tc>
          <w:tcPr>
            <w:tcW w:w="1854" w:type="dxa"/>
            <w:tcBorders>
              <w:bottom w:val="single" w:sz="8" w:space="0" w:color="auto"/>
            </w:tcBorders>
            <w:vAlign w:val="center"/>
          </w:tcPr>
          <w:p w14:paraId="21DEA628" w14:textId="77777777" w:rsidR="007E727D" w:rsidRDefault="00000000">
            <w:pPr>
              <w:tabs>
                <w:tab w:val="decimal" w:pos="484"/>
              </w:tabs>
              <w:ind w:firstLineChars="100" w:firstLine="216"/>
              <w:jc w:val="left"/>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0.440</w:t>
            </w:r>
          </w:p>
        </w:tc>
      </w:tr>
    </w:tbl>
    <w:p w14:paraId="0BE3E468" w14:textId="77777777" w:rsidR="007E727D" w:rsidRDefault="007E727D">
      <w:pPr>
        <w:spacing w:line="360" w:lineRule="auto"/>
        <w:rPr>
          <w:rFonts w:ascii="Times New Roman" w:hAnsi="Times New Roman" w:cs="Times New Roman"/>
          <w:spacing w:val="8"/>
          <w:kern w:val="0"/>
          <w:sz w:val="20"/>
          <w:szCs w:val="20"/>
          <w:lang w:bidi="ar"/>
        </w:rPr>
      </w:pPr>
    </w:p>
    <w:p w14:paraId="40BE2C8B" w14:textId="77777777" w:rsidR="007E727D" w:rsidRDefault="007E727D">
      <w:pPr>
        <w:spacing w:line="360" w:lineRule="auto"/>
        <w:rPr>
          <w:rFonts w:ascii="Times New Roman" w:hAnsi="Times New Roman" w:cs="Times New Roman"/>
          <w:spacing w:val="8"/>
          <w:kern w:val="0"/>
          <w:sz w:val="20"/>
          <w:szCs w:val="20"/>
          <w:lang w:bidi="ar"/>
        </w:rPr>
      </w:pPr>
    </w:p>
    <w:p w14:paraId="5ABFA444" w14:textId="77777777" w:rsidR="007E727D" w:rsidRDefault="00000000">
      <w:pPr>
        <w:pStyle w:val="Heading2"/>
        <w:rPr>
          <w:b w:val="0"/>
          <w:bCs/>
        </w:rPr>
      </w:pPr>
      <w:r>
        <w:t xml:space="preserve">Table. </w:t>
      </w:r>
      <w:r>
        <w:rPr>
          <w:rFonts w:hint="eastAsia"/>
        </w:rPr>
        <w:t>S5</w:t>
      </w:r>
      <w:r>
        <w:t>.</w:t>
      </w:r>
      <w:r>
        <w:rPr>
          <w:rFonts w:eastAsia="SimSun"/>
          <w:sz w:val="24"/>
        </w:rPr>
        <w:t xml:space="preserve"> </w:t>
      </w:r>
      <w:r>
        <w:t xml:space="preserve">ANOVAs on mixed-effects models for α-diversity. </w:t>
      </w:r>
      <w:r>
        <w:rPr>
          <w:b w:val="0"/>
          <w:bCs/>
        </w:rPr>
        <w:t>These models were applied to assess the effects of PFOA addition and source environment on various α-diversity indices (response variable).</w:t>
      </w:r>
    </w:p>
    <w:tbl>
      <w:tblPr>
        <w:tblStyle w:val="TableGrid"/>
        <w:tblW w:w="0" w:type="auto"/>
        <w:tblBorders>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028"/>
        <w:gridCol w:w="2432"/>
        <w:gridCol w:w="1018"/>
        <w:gridCol w:w="922"/>
        <w:gridCol w:w="1906"/>
      </w:tblGrid>
      <w:tr w:rsidR="007E727D" w14:paraId="46542806" w14:textId="77777777" w:rsidTr="00D33EEA">
        <w:tc>
          <w:tcPr>
            <w:tcW w:w="2028" w:type="dxa"/>
            <w:tcBorders>
              <w:top w:val="single" w:sz="4" w:space="0" w:color="auto"/>
              <w:bottom w:val="single" w:sz="8" w:space="0" w:color="auto"/>
            </w:tcBorders>
          </w:tcPr>
          <w:p w14:paraId="050DA165"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DengXian" w:hAnsi="Times New Roman" w:cs="Times New Roman" w:hint="eastAsia"/>
                <w:b/>
                <w:bCs/>
                <w:color w:val="000000"/>
                <w:kern w:val="0"/>
                <w:sz w:val="20"/>
                <w:szCs w:val="20"/>
              </w:rPr>
              <w:t>Response variable</w:t>
            </w:r>
          </w:p>
        </w:tc>
        <w:tc>
          <w:tcPr>
            <w:tcW w:w="2432" w:type="dxa"/>
            <w:tcBorders>
              <w:top w:val="single" w:sz="4" w:space="0" w:color="auto"/>
              <w:bottom w:val="single" w:sz="8" w:space="0" w:color="auto"/>
            </w:tcBorders>
          </w:tcPr>
          <w:p w14:paraId="76F54740" w14:textId="77777777" w:rsidR="007E727D" w:rsidRDefault="00000000">
            <w:pPr>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Factor</w:t>
            </w:r>
          </w:p>
        </w:tc>
        <w:tc>
          <w:tcPr>
            <w:tcW w:w="1018" w:type="dxa"/>
            <w:tcBorders>
              <w:top w:val="single" w:sz="4" w:space="0" w:color="auto"/>
              <w:bottom w:val="single" w:sz="8" w:space="0" w:color="auto"/>
            </w:tcBorders>
          </w:tcPr>
          <w:p w14:paraId="3ABB5EDB" w14:textId="77777777" w:rsidR="007E727D" w:rsidRDefault="00000000">
            <w:pPr>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df</w:t>
            </w:r>
          </w:p>
        </w:tc>
        <w:tc>
          <w:tcPr>
            <w:tcW w:w="922" w:type="dxa"/>
            <w:tcBorders>
              <w:top w:val="single" w:sz="4" w:space="0" w:color="auto"/>
              <w:bottom w:val="single" w:sz="8" w:space="0" w:color="auto"/>
            </w:tcBorders>
          </w:tcPr>
          <w:p w14:paraId="4132D418" w14:textId="77777777" w:rsidR="007E727D" w:rsidRDefault="00000000">
            <w:pPr>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F-value</w:t>
            </w:r>
          </w:p>
        </w:tc>
        <w:tc>
          <w:tcPr>
            <w:tcW w:w="1906" w:type="dxa"/>
            <w:tcBorders>
              <w:top w:val="single" w:sz="4" w:space="0" w:color="auto"/>
              <w:bottom w:val="single" w:sz="8" w:space="0" w:color="auto"/>
            </w:tcBorders>
          </w:tcPr>
          <w:p w14:paraId="55FF8312" w14:textId="77777777" w:rsidR="007E727D" w:rsidRDefault="00000000">
            <w:pPr>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p-value</w:t>
            </w:r>
          </w:p>
        </w:tc>
      </w:tr>
      <w:tr w:rsidR="007E727D" w14:paraId="6337B62A" w14:textId="77777777" w:rsidTr="00D33EEA">
        <w:tc>
          <w:tcPr>
            <w:tcW w:w="2028" w:type="dxa"/>
            <w:vMerge w:val="restart"/>
            <w:tcBorders>
              <w:top w:val="single" w:sz="8" w:space="0" w:color="auto"/>
            </w:tcBorders>
            <w:vAlign w:val="center"/>
          </w:tcPr>
          <w:p w14:paraId="259049E5" w14:textId="77777777" w:rsidR="007E727D" w:rsidRDefault="00000000">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ACE</w:t>
            </w:r>
          </w:p>
        </w:tc>
        <w:tc>
          <w:tcPr>
            <w:tcW w:w="2432" w:type="dxa"/>
            <w:tcBorders>
              <w:top w:val="single" w:sz="8" w:space="0" w:color="auto"/>
            </w:tcBorders>
            <w:vAlign w:val="center"/>
          </w:tcPr>
          <w:p w14:paraId="2B6F9642"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core</w:t>
            </w:r>
          </w:p>
        </w:tc>
        <w:tc>
          <w:tcPr>
            <w:tcW w:w="1018" w:type="dxa"/>
            <w:tcBorders>
              <w:top w:val="single" w:sz="8" w:space="0" w:color="auto"/>
            </w:tcBorders>
            <w:vAlign w:val="center"/>
          </w:tcPr>
          <w:p w14:paraId="72E42110"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3</w:t>
            </w:r>
          </w:p>
        </w:tc>
        <w:tc>
          <w:tcPr>
            <w:tcW w:w="922" w:type="dxa"/>
            <w:tcBorders>
              <w:top w:val="single" w:sz="8" w:space="0" w:color="auto"/>
            </w:tcBorders>
          </w:tcPr>
          <w:p w14:paraId="34D560C5"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1.06</w:t>
            </w:r>
          </w:p>
        </w:tc>
        <w:tc>
          <w:tcPr>
            <w:tcW w:w="1906" w:type="dxa"/>
            <w:tcBorders>
              <w:top w:val="single" w:sz="8" w:space="0" w:color="auto"/>
            </w:tcBorders>
          </w:tcPr>
          <w:p w14:paraId="78EE2614" w14:textId="77777777" w:rsidR="007E727D" w:rsidRDefault="00000000">
            <w:pPr>
              <w:tabs>
                <w:tab w:val="decimal" w:pos="726"/>
              </w:tabs>
              <w:jc w:val="left"/>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0.390</w:t>
            </w:r>
          </w:p>
        </w:tc>
      </w:tr>
      <w:tr w:rsidR="007E727D" w14:paraId="0C5A28EE" w14:textId="77777777" w:rsidTr="00D33EEA">
        <w:tc>
          <w:tcPr>
            <w:tcW w:w="2028" w:type="dxa"/>
            <w:vMerge/>
            <w:vAlign w:val="center"/>
          </w:tcPr>
          <w:p w14:paraId="6B544E7C" w14:textId="77777777" w:rsidR="007E727D" w:rsidRDefault="007E727D">
            <w:pPr>
              <w:jc w:val="center"/>
              <w:rPr>
                <w:rFonts w:ascii="Times New Roman" w:eastAsia="SimSun" w:hAnsi="Times New Roman" w:cs="Times New Roman"/>
                <w:spacing w:val="8"/>
                <w:kern w:val="0"/>
                <w:sz w:val="20"/>
                <w:szCs w:val="20"/>
                <w:lang w:bidi="ar"/>
              </w:rPr>
            </w:pPr>
          </w:p>
        </w:tc>
        <w:tc>
          <w:tcPr>
            <w:tcW w:w="2432" w:type="dxa"/>
            <w:vAlign w:val="center"/>
          </w:tcPr>
          <w:p w14:paraId="1C53D419" w14:textId="1AFBC5B6"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eastAsia="SimSun" w:hAnsi="Times New Roman" w:cs="Times New Roman" w:hint="eastAsia"/>
                <w:spacing w:val="8"/>
                <w:kern w:val="0"/>
                <w:sz w:val="20"/>
                <w:szCs w:val="20"/>
                <w:lang w:bidi="ar"/>
              </w:rPr>
              <w:t>(</w:t>
            </w:r>
            <w:r>
              <w:rPr>
                <w:rFonts w:ascii="Times New Roman" w:hAnsi="Times New Roman" w:cs="Times New Roman" w:hint="eastAsia"/>
                <w:spacing w:val="8"/>
                <w:kern w:val="0"/>
                <w:sz w:val="20"/>
                <w:szCs w:val="20"/>
                <w:lang w:bidi="ar"/>
              </w:rPr>
              <w:t>PFOA</w:t>
            </w:r>
            <w:r>
              <w:rPr>
                <w:rFonts w:ascii="Times New Roman" w:eastAsia="SimSun" w:hAnsi="Times New Roman" w:cs="Times New Roman" w:hint="eastAsia"/>
                <w:spacing w:val="8"/>
                <w:kern w:val="0"/>
                <w:sz w:val="20"/>
                <w:szCs w:val="20"/>
                <w:lang w:bidi="ar"/>
              </w:rPr>
              <w:t>+1)</w:t>
            </w:r>
          </w:p>
        </w:tc>
        <w:tc>
          <w:tcPr>
            <w:tcW w:w="1018" w:type="dxa"/>
            <w:vAlign w:val="center"/>
          </w:tcPr>
          <w:p w14:paraId="56FC8FE2"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1</w:t>
            </w:r>
          </w:p>
        </w:tc>
        <w:tc>
          <w:tcPr>
            <w:tcW w:w="922" w:type="dxa"/>
          </w:tcPr>
          <w:p w14:paraId="3228B1E9"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1.11</w:t>
            </w:r>
          </w:p>
        </w:tc>
        <w:tc>
          <w:tcPr>
            <w:tcW w:w="1906" w:type="dxa"/>
          </w:tcPr>
          <w:p w14:paraId="5E3E0532" w14:textId="77777777" w:rsidR="007E727D" w:rsidRDefault="00000000">
            <w:pPr>
              <w:tabs>
                <w:tab w:val="decimal" w:pos="726"/>
              </w:tabs>
              <w:jc w:val="left"/>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0.310</w:t>
            </w:r>
          </w:p>
        </w:tc>
      </w:tr>
      <w:tr w:rsidR="007E727D" w14:paraId="40621930" w14:textId="77777777" w:rsidTr="00D33EEA">
        <w:tc>
          <w:tcPr>
            <w:tcW w:w="2028" w:type="dxa"/>
            <w:vMerge/>
            <w:vAlign w:val="center"/>
          </w:tcPr>
          <w:p w14:paraId="79E0FD29" w14:textId="77777777" w:rsidR="007E727D" w:rsidRDefault="007E727D">
            <w:pPr>
              <w:jc w:val="center"/>
              <w:rPr>
                <w:rFonts w:ascii="Times New Roman" w:eastAsia="SimSun" w:hAnsi="Times New Roman" w:cs="Times New Roman"/>
                <w:spacing w:val="8"/>
                <w:kern w:val="0"/>
                <w:sz w:val="20"/>
                <w:szCs w:val="20"/>
                <w:lang w:bidi="ar"/>
              </w:rPr>
            </w:pPr>
          </w:p>
        </w:tc>
        <w:tc>
          <w:tcPr>
            <w:tcW w:w="2432" w:type="dxa"/>
            <w:vAlign w:val="center"/>
          </w:tcPr>
          <w:p w14:paraId="475D11C5" w14:textId="47DC8B91"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c</w:t>
            </w:r>
            <w:r>
              <w:rPr>
                <w:rFonts w:ascii="Times New Roman" w:eastAsia="SimSun" w:hAnsi="Times New Roman" w:cs="Times New Roman"/>
                <w:spacing w:val="8"/>
                <w:kern w:val="0"/>
                <w:sz w:val="20"/>
                <w:szCs w:val="20"/>
                <w:lang w:bidi="ar"/>
              </w:rPr>
              <w:t>ore</w:t>
            </w:r>
            <w:r>
              <w:rPr>
                <w:rFonts w:ascii="Times New Roman" w:eastAsia="SimSun" w:hAnsi="Times New Roman" w:cs="Times New Roman" w:hint="eastAsia"/>
                <w:spacing w:val="8"/>
                <w:kern w:val="0"/>
                <w:sz w:val="20"/>
                <w:szCs w:val="20"/>
                <w:lang w:bidi="ar"/>
              </w:rPr>
              <w:t xml:space="preserve"> : </w:t>
            </w:r>
            <w:r>
              <w:rPr>
                <w:rFonts w:ascii="Times New Roman" w:eastAsia="SimSun" w:hAnsi="Times New Roman" w:cs="Times New Roman"/>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eastAsia="SimSun" w:hAnsi="Times New Roman" w:cs="Times New Roman"/>
                <w:spacing w:val="8"/>
                <w:kern w:val="0"/>
                <w:sz w:val="20"/>
                <w:szCs w:val="20"/>
                <w:lang w:bidi="ar"/>
              </w:rPr>
              <w:t>(</w:t>
            </w:r>
            <w:r>
              <w:rPr>
                <w:rFonts w:ascii="Times New Roman" w:hAnsi="Times New Roman" w:cs="Times New Roman" w:hint="eastAsia"/>
                <w:spacing w:val="8"/>
                <w:kern w:val="0"/>
                <w:sz w:val="20"/>
                <w:szCs w:val="20"/>
                <w:lang w:bidi="ar"/>
              </w:rPr>
              <w:t>PFOA</w:t>
            </w:r>
            <w:r>
              <w:rPr>
                <w:rFonts w:ascii="Times New Roman" w:eastAsia="SimSun" w:hAnsi="Times New Roman" w:cs="Times New Roman"/>
                <w:spacing w:val="8"/>
                <w:kern w:val="0"/>
                <w:sz w:val="20"/>
                <w:szCs w:val="20"/>
                <w:lang w:bidi="ar"/>
              </w:rPr>
              <w:t>+ 1)</w:t>
            </w:r>
          </w:p>
        </w:tc>
        <w:tc>
          <w:tcPr>
            <w:tcW w:w="1018" w:type="dxa"/>
            <w:vAlign w:val="center"/>
          </w:tcPr>
          <w:p w14:paraId="587F806A"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3</w:t>
            </w:r>
          </w:p>
        </w:tc>
        <w:tc>
          <w:tcPr>
            <w:tcW w:w="922" w:type="dxa"/>
          </w:tcPr>
          <w:p w14:paraId="2E6E5826"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1.95</w:t>
            </w:r>
          </w:p>
        </w:tc>
        <w:tc>
          <w:tcPr>
            <w:tcW w:w="1906" w:type="dxa"/>
          </w:tcPr>
          <w:p w14:paraId="5A386406" w14:textId="77777777" w:rsidR="007E727D" w:rsidRDefault="00000000">
            <w:pPr>
              <w:tabs>
                <w:tab w:val="decimal" w:pos="726"/>
              </w:tabs>
              <w:jc w:val="left"/>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0.160</w:t>
            </w:r>
          </w:p>
        </w:tc>
      </w:tr>
      <w:tr w:rsidR="007E727D" w14:paraId="34DBD778" w14:textId="77777777" w:rsidTr="00D33EEA">
        <w:tc>
          <w:tcPr>
            <w:tcW w:w="2028" w:type="dxa"/>
            <w:vMerge w:val="restart"/>
            <w:vAlign w:val="center"/>
          </w:tcPr>
          <w:p w14:paraId="0E6D2C91" w14:textId="77777777" w:rsidR="007E727D" w:rsidRDefault="00000000">
            <w:pPr>
              <w:widowControl/>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Chao1</w:t>
            </w:r>
          </w:p>
        </w:tc>
        <w:tc>
          <w:tcPr>
            <w:tcW w:w="2432" w:type="dxa"/>
            <w:vAlign w:val="center"/>
          </w:tcPr>
          <w:p w14:paraId="0D538042"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core</w:t>
            </w:r>
          </w:p>
        </w:tc>
        <w:tc>
          <w:tcPr>
            <w:tcW w:w="1018" w:type="dxa"/>
            <w:vAlign w:val="center"/>
          </w:tcPr>
          <w:p w14:paraId="576C25B0"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3</w:t>
            </w:r>
          </w:p>
        </w:tc>
        <w:tc>
          <w:tcPr>
            <w:tcW w:w="922" w:type="dxa"/>
          </w:tcPr>
          <w:p w14:paraId="6AEEB63D"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1.10</w:t>
            </w:r>
          </w:p>
        </w:tc>
        <w:tc>
          <w:tcPr>
            <w:tcW w:w="1906" w:type="dxa"/>
          </w:tcPr>
          <w:p w14:paraId="62D2322D" w14:textId="77777777" w:rsidR="007E727D" w:rsidRDefault="00000000">
            <w:pPr>
              <w:tabs>
                <w:tab w:val="decimal" w:pos="726"/>
              </w:tabs>
              <w:jc w:val="left"/>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0.380</w:t>
            </w:r>
          </w:p>
        </w:tc>
      </w:tr>
      <w:tr w:rsidR="007E727D" w14:paraId="14517B14" w14:textId="77777777" w:rsidTr="00D33EEA">
        <w:tc>
          <w:tcPr>
            <w:tcW w:w="2028" w:type="dxa"/>
            <w:vMerge/>
            <w:vAlign w:val="center"/>
          </w:tcPr>
          <w:p w14:paraId="70E5D861" w14:textId="77777777" w:rsidR="007E727D" w:rsidRDefault="007E727D">
            <w:pPr>
              <w:jc w:val="center"/>
              <w:rPr>
                <w:rFonts w:ascii="Times New Roman" w:eastAsia="SimSun" w:hAnsi="Times New Roman" w:cs="Times New Roman"/>
                <w:spacing w:val="8"/>
                <w:kern w:val="0"/>
                <w:sz w:val="20"/>
                <w:szCs w:val="20"/>
                <w:lang w:bidi="ar"/>
              </w:rPr>
            </w:pPr>
          </w:p>
        </w:tc>
        <w:tc>
          <w:tcPr>
            <w:tcW w:w="2432" w:type="dxa"/>
            <w:vAlign w:val="center"/>
          </w:tcPr>
          <w:p w14:paraId="3CAAED83" w14:textId="72E31935"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eastAsia="SimSun" w:hAnsi="Times New Roman" w:cs="Times New Roman" w:hint="eastAsia"/>
                <w:spacing w:val="8"/>
                <w:kern w:val="0"/>
                <w:sz w:val="20"/>
                <w:szCs w:val="20"/>
                <w:lang w:bidi="ar"/>
              </w:rPr>
              <w:t>(</w:t>
            </w:r>
            <w:r>
              <w:rPr>
                <w:rFonts w:ascii="Times New Roman" w:hAnsi="Times New Roman" w:cs="Times New Roman" w:hint="eastAsia"/>
                <w:spacing w:val="8"/>
                <w:kern w:val="0"/>
                <w:sz w:val="20"/>
                <w:szCs w:val="20"/>
                <w:lang w:bidi="ar"/>
              </w:rPr>
              <w:t>PFOA</w:t>
            </w:r>
            <w:r>
              <w:rPr>
                <w:rFonts w:ascii="Times New Roman" w:eastAsia="SimSun" w:hAnsi="Times New Roman" w:cs="Times New Roman" w:hint="eastAsia"/>
                <w:spacing w:val="8"/>
                <w:kern w:val="0"/>
                <w:sz w:val="20"/>
                <w:szCs w:val="20"/>
                <w:lang w:bidi="ar"/>
              </w:rPr>
              <w:t>+1)</w:t>
            </w:r>
          </w:p>
        </w:tc>
        <w:tc>
          <w:tcPr>
            <w:tcW w:w="1018" w:type="dxa"/>
            <w:vAlign w:val="center"/>
          </w:tcPr>
          <w:p w14:paraId="04668034"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1</w:t>
            </w:r>
          </w:p>
        </w:tc>
        <w:tc>
          <w:tcPr>
            <w:tcW w:w="922" w:type="dxa"/>
          </w:tcPr>
          <w:p w14:paraId="6B50F48C"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1.09</w:t>
            </w:r>
          </w:p>
        </w:tc>
        <w:tc>
          <w:tcPr>
            <w:tcW w:w="1906" w:type="dxa"/>
          </w:tcPr>
          <w:p w14:paraId="1BC29EC4" w14:textId="77777777" w:rsidR="007E727D" w:rsidRDefault="00000000">
            <w:pPr>
              <w:tabs>
                <w:tab w:val="decimal" w:pos="726"/>
              </w:tabs>
              <w:jc w:val="left"/>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0.310</w:t>
            </w:r>
          </w:p>
        </w:tc>
      </w:tr>
      <w:tr w:rsidR="007E727D" w14:paraId="16D6160E" w14:textId="77777777" w:rsidTr="00D33EEA">
        <w:tc>
          <w:tcPr>
            <w:tcW w:w="2028" w:type="dxa"/>
            <w:vMerge/>
            <w:vAlign w:val="center"/>
          </w:tcPr>
          <w:p w14:paraId="14EB78BF" w14:textId="77777777" w:rsidR="007E727D" w:rsidRDefault="007E727D">
            <w:pPr>
              <w:jc w:val="center"/>
              <w:rPr>
                <w:rFonts w:ascii="Times New Roman" w:eastAsia="SimSun" w:hAnsi="Times New Roman" w:cs="Times New Roman"/>
                <w:spacing w:val="8"/>
                <w:kern w:val="0"/>
                <w:sz w:val="20"/>
                <w:szCs w:val="20"/>
                <w:lang w:bidi="ar"/>
              </w:rPr>
            </w:pPr>
          </w:p>
        </w:tc>
        <w:tc>
          <w:tcPr>
            <w:tcW w:w="2432" w:type="dxa"/>
            <w:vAlign w:val="center"/>
          </w:tcPr>
          <w:p w14:paraId="2883FFFE" w14:textId="0D4AF6CD"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c</w:t>
            </w:r>
            <w:r>
              <w:rPr>
                <w:rFonts w:ascii="Times New Roman" w:eastAsia="SimSun" w:hAnsi="Times New Roman" w:cs="Times New Roman"/>
                <w:spacing w:val="8"/>
                <w:kern w:val="0"/>
                <w:sz w:val="20"/>
                <w:szCs w:val="20"/>
                <w:lang w:bidi="ar"/>
              </w:rPr>
              <w:t>ore</w:t>
            </w:r>
            <w:r>
              <w:rPr>
                <w:rFonts w:ascii="Times New Roman" w:eastAsia="SimSun" w:hAnsi="Times New Roman" w:cs="Times New Roman" w:hint="eastAsia"/>
                <w:spacing w:val="8"/>
                <w:kern w:val="0"/>
                <w:sz w:val="20"/>
                <w:szCs w:val="20"/>
                <w:lang w:bidi="ar"/>
              </w:rPr>
              <w:t xml:space="preserve"> : </w:t>
            </w:r>
            <w:r>
              <w:rPr>
                <w:rFonts w:ascii="Times New Roman" w:eastAsia="SimSun" w:hAnsi="Times New Roman" w:cs="Times New Roman"/>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eastAsia="SimSun" w:hAnsi="Times New Roman" w:cs="Times New Roman"/>
                <w:spacing w:val="8"/>
                <w:kern w:val="0"/>
                <w:sz w:val="20"/>
                <w:szCs w:val="20"/>
                <w:lang w:bidi="ar"/>
              </w:rPr>
              <w:t>(</w:t>
            </w:r>
            <w:r>
              <w:rPr>
                <w:rFonts w:ascii="Times New Roman" w:hAnsi="Times New Roman" w:cs="Times New Roman" w:hint="eastAsia"/>
                <w:spacing w:val="8"/>
                <w:kern w:val="0"/>
                <w:sz w:val="20"/>
                <w:szCs w:val="20"/>
                <w:lang w:bidi="ar"/>
              </w:rPr>
              <w:t>PFOA</w:t>
            </w:r>
            <w:r>
              <w:rPr>
                <w:rFonts w:ascii="Times New Roman" w:eastAsia="SimSun" w:hAnsi="Times New Roman" w:cs="Times New Roman"/>
                <w:spacing w:val="8"/>
                <w:kern w:val="0"/>
                <w:sz w:val="20"/>
                <w:szCs w:val="20"/>
                <w:lang w:bidi="ar"/>
              </w:rPr>
              <w:t xml:space="preserve"> + 1)</w:t>
            </w:r>
          </w:p>
        </w:tc>
        <w:tc>
          <w:tcPr>
            <w:tcW w:w="1018" w:type="dxa"/>
            <w:vAlign w:val="center"/>
          </w:tcPr>
          <w:p w14:paraId="6B008D7C"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3</w:t>
            </w:r>
          </w:p>
        </w:tc>
        <w:tc>
          <w:tcPr>
            <w:tcW w:w="922" w:type="dxa"/>
          </w:tcPr>
          <w:p w14:paraId="0F40C290"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1.98</w:t>
            </w:r>
          </w:p>
        </w:tc>
        <w:tc>
          <w:tcPr>
            <w:tcW w:w="1906" w:type="dxa"/>
          </w:tcPr>
          <w:p w14:paraId="4274D32C" w14:textId="77777777" w:rsidR="007E727D" w:rsidRDefault="00000000">
            <w:pPr>
              <w:tabs>
                <w:tab w:val="decimal" w:pos="726"/>
              </w:tabs>
              <w:jc w:val="left"/>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0.160</w:t>
            </w:r>
          </w:p>
        </w:tc>
      </w:tr>
      <w:tr w:rsidR="007E727D" w14:paraId="1A861F24" w14:textId="77777777" w:rsidTr="00D33EEA">
        <w:tc>
          <w:tcPr>
            <w:tcW w:w="2028" w:type="dxa"/>
            <w:vMerge w:val="restart"/>
            <w:vAlign w:val="center"/>
          </w:tcPr>
          <w:p w14:paraId="2E18CD1C" w14:textId="77777777" w:rsidR="007E727D" w:rsidRDefault="00000000">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Simpson</w:t>
            </w:r>
          </w:p>
        </w:tc>
        <w:tc>
          <w:tcPr>
            <w:tcW w:w="2432" w:type="dxa"/>
            <w:vAlign w:val="center"/>
          </w:tcPr>
          <w:p w14:paraId="08818397"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core</w:t>
            </w:r>
          </w:p>
        </w:tc>
        <w:tc>
          <w:tcPr>
            <w:tcW w:w="1018" w:type="dxa"/>
            <w:vAlign w:val="center"/>
          </w:tcPr>
          <w:p w14:paraId="6BA1F837"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3</w:t>
            </w:r>
          </w:p>
        </w:tc>
        <w:tc>
          <w:tcPr>
            <w:tcW w:w="922" w:type="dxa"/>
          </w:tcPr>
          <w:p w14:paraId="3FBC574F"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11.05</w:t>
            </w:r>
          </w:p>
        </w:tc>
        <w:tc>
          <w:tcPr>
            <w:tcW w:w="1906" w:type="dxa"/>
          </w:tcPr>
          <w:p w14:paraId="376E38CF" w14:textId="77777777" w:rsidR="007E727D" w:rsidRDefault="00000000">
            <w:pPr>
              <w:tabs>
                <w:tab w:val="decimal" w:pos="726"/>
              </w:tabs>
              <w:jc w:val="left"/>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&lt;0.0001***</w:t>
            </w:r>
          </w:p>
        </w:tc>
      </w:tr>
      <w:tr w:rsidR="007E727D" w14:paraId="00FD16F4" w14:textId="77777777" w:rsidTr="00D33EEA">
        <w:tc>
          <w:tcPr>
            <w:tcW w:w="2028" w:type="dxa"/>
            <w:vMerge/>
            <w:vAlign w:val="center"/>
          </w:tcPr>
          <w:p w14:paraId="26655590" w14:textId="77777777" w:rsidR="007E727D" w:rsidRDefault="007E727D">
            <w:pPr>
              <w:jc w:val="center"/>
              <w:rPr>
                <w:rFonts w:ascii="Times New Roman" w:eastAsia="SimSun" w:hAnsi="Times New Roman" w:cs="Times New Roman"/>
                <w:spacing w:val="8"/>
                <w:kern w:val="0"/>
                <w:sz w:val="20"/>
                <w:szCs w:val="20"/>
                <w:lang w:bidi="ar"/>
              </w:rPr>
            </w:pPr>
          </w:p>
        </w:tc>
        <w:tc>
          <w:tcPr>
            <w:tcW w:w="2432" w:type="dxa"/>
            <w:vAlign w:val="center"/>
          </w:tcPr>
          <w:p w14:paraId="1890329B" w14:textId="0FEAC335"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eastAsia="SimSun" w:hAnsi="Times New Roman" w:cs="Times New Roman" w:hint="eastAsia"/>
                <w:spacing w:val="8"/>
                <w:kern w:val="0"/>
                <w:sz w:val="20"/>
                <w:szCs w:val="20"/>
                <w:lang w:bidi="ar"/>
              </w:rPr>
              <w:t>(</w:t>
            </w:r>
            <w:r>
              <w:rPr>
                <w:rFonts w:ascii="Times New Roman" w:hAnsi="Times New Roman" w:cs="Times New Roman" w:hint="eastAsia"/>
                <w:spacing w:val="8"/>
                <w:kern w:val="0"/>
                <w:sz w:val="20"/>
                <w:szCs w:val="20"/>
                <w:lang w:bidi="ar"/>
              </w:rPr>
              <w:t>PFOA</w:t>
            </w:r>
            <w:r>
              <w:rPr>
                <w:rFonts w:ascii="Times New Roman" w:eastAsia="SimSun" w:hAnsi="Times New Roman" w:cs="Times New Roman" w:hint="eastAsia"/>
                <w:spacing w:val="8"/>
                <w:kern w:val="0"/>
                <w:sz w:val="20"/>
                <w:szCs w:val="20"/>
                <w:lang w:bidi="ar"/>
              </w:rPr>
              <w:t>+1)</w:t>
            </w:r>
          </w:p>
        </w:tc>
        <w:tc>
          <w:tcPr>
            <w:tcW w:w="1018" w:type="dxa"/>
            <w:vAlign w:val="center"/>
          </w:tcPr>
          <w:p w14:paraId="6EF22E1C"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1</w:t>
            </w:r>
          </w:p>
        </w:tc>
        <w:tc>
          <w:tcPr>
            <w:tcW w:w="922" w:type="dxa"/>
          </w:tcPr>
          <w:p w14:paraId="5BDFE527"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0.89</w:t>
            </w:r>
          </w:p>
        </w:tc>
        <w:tc>
          <w:tcPr>
            <w:tcW w:w="1906" w:type="dxa"/>
          </w:tcPr>
          <w:p w14:paraId="3766E21C" w14:textId="77777777" w:rsidR="007E727D" w:rsidRDefault="00000000">
            <w:pPr>
              <w:tabs>
                <w:tab w:val="decimal" w:pos="726"/>
              </w:tabs>
              <w:jc w:val="left"/>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 xml:space="preserve">0.360   </w:t>
            </w:r>
          </w:p>
        </w:tc>
      </w:tr>
      <w:tr w:rsidR="007E727D" w14:paraId="6517B290" w14:textId="77777777" w:rsidTr="00D33EEA">
        <w:tc>
          <w:tcPr>
            <w:tcW w:w="2028" w:type="dxa"/>
            <w:vMerge/>
            <w:vAlign w:val="center"/>
          </w:tcPr>
          <w:p w14:paraId="08664CC3" w14:textId="77777777" w:rsidR="007E727D" w:rsidRDefault="007E727D">
            <w:pPr>
              <w:jc w:val="center"/>
              <w:rPr>
                <w:rFonts w:ascii="Times New Roman" w:eastAsia="SimSun" w:hAnsi="Times New Roman" w:cs="Times New Roman"/>
                <w:spacing w:val="8"/>
                <w:kern w:val="0"/>
                <w:sz w:val="20"/>
                <w:szCs w:val="20"/>
                <w:lang w:bidi="ar"/>
              </w:rPr>
            </w:pPr>
          </w:p>
        </w:tc>
        <w:tc>
          <w:tcPr>
            <w:tcW w:w="2432" w:type="dxa"/>
            <w:vAlign w:val="center"/>
          </w:tcPr>
          <w:p w14:paraId="579B7835" w14:textId="3C4F8C9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c</w:t>
            </w:r>
            <w:r>
              <w:rPr>
                <w:rFonts w:ascii="Times New Roman" w:eastAsia="SimSun" w:hAnsi="Times New Roman" w:cs="Times New Roman"/>
                <w:spacing w:val="8"/>
                <w:kern w:val="0"/>
                <w:sz w:val="20"/>
                <w:szCs w:val="20"/>
                <w:lang w:bidi="ar"/>
              </w:rPr>
              <w:t>ore</w:t>
            </w:r>
            <w:r>
              <w:rPr>
                <w:rFonts w:ascii="Times New Roman" w:eastAsia="SimSun" w:hAnsi="Times New Roman" w:cs="Times New Roman" w:hint="eastAsia"/>
                <w:spacing w:val="8"/>
                <w:kern w:val="0"/>
                <w:sz w:val="20"/>
                <w:szCs w:val="20"/>
                <w:lang w:bidi="ar"/>
              </w:rPr>
              <w:t xml:space="preserve"> : </w:t>
            </w:r>
            <w:r>
              <w:rPr>
                <w:rFonts w:ascii="Times New Roman" w:eastAsia="SimSun" w:hAnsi="Times New Roman" w:cs="Times New Roman"/>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eastAsia="SimSun" w:hAnsi="Times New Roman" w:cs="Times New Roman"/>
                <w:spacing w:val="8"/>
                <w:kern w:val="0"/>
                <w:sz w:val="20"/>
                <w:szCs w:val="20"/>
                <w:lang w:bidi="ar"/>
              </w:rPr>
              <w:t>(</w:t>
            </w:r>
            <w:r>
              <w:rPr>
                <w:rFonts w:ascii="Times New Roman" w:hAnsi="Times New Roman" w:cs="Times New Roman" w:hint="eastAsia"/>
                <w:spacing w:val="8"/>
                <w:kern w:val="0"/>
                <w:sz w:val="20"/>
                <w:szCs w:val="20"/>
                <w:lang w:bidi="ar"/>
              </w:rPr>
              <w:t>PFOA</w:t>
            </w:r>
            <w:r>
              <w:rPr>
                <w:rFonts w:ascii="Times New Roman" w:eastAsia="SimSun" w:hAnsi="Times New Roman" w:cs="Times New Roman"/>
                <w:spacing w:val="8"/>
                <w:kern w:val="0"/>
                <w:sz w:val="20"/>
                <w:szCs w:val="20"/>
                <w:lang w:bidi="ar"/>
              </w:rPr>
              <w:t xml:space="preserve"> + 1)</w:t>
            </w:r>
          </w:p>
        </w:tc>
        <w:tc>
          <w:tcPr>
            <w:tcW w:w="1018" w:type="dxa"/>
            <w:vAlign w:val="center"/>
          </w:tcPr>
          <w:p w14:paraId="025F6469"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3</w:t>
            </w:r>
          </w:p>
        </w:tc>
        <w:tc>
          <w:tcPr>
            <w:tcW w:w="922" w:type="dxa"/>
          </w:tcPr>
          <w:p w14:paraId="209BAF2B"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7.16</w:t>
            </w:r>
          </w:p>
        </w:tc>
        <w:tc>
          <w:tcPr>
            <w:tcW w:w="1906" w:type="dxa"/>
          </w:tcPr>
          <w:p w14:paraId="0F9BBFBF" w14:textId="77777777" w:rsidR="007E727D" w:rsidRDefault="00000000">
            <w:pPr>
              <w:tabs>
                <w:tab w:val="decimal" w:pos="726"/>
              </w:tabs>
              <w:jc w:val="left"/>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 xml:space="preserve">0.003 ** </w:t>
            </w:r>
          </w:p>
        </w:tc>
      </w:tr>
      <w:tr w:rsidR="007E727D" w14:paraId="3F275408" w14:textId="77777777" w:rsidTr="00D33EEA">
        <w:tc>
          <w:tcPr>
            <w:tcW w:w="2028" w:type="dxa"/>
            <w:vMerge w:val="restart"/>
            <w:vAlign w:val="center"/>
          </w:tcPr>
          <w:p w14:paraId="592A36A5" w14:textId="77777777" w:rsidR="007E727D" w:rsidRDefault="00000000">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Shannon</w:t>
            </w:r>
          </w:p>
        </w:tc>
        <w:tc>
          <w:tcPr>
            <w:tcW w:w="2432" w:type="dxa"/>
            <w:vAlign w:val="center"/>
          </w:tcPr>
          <w:p w14:paraId="437F4D34"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core</w:t>
            </w:r>
          </w:p>
        </w:tc>
        <w:tc>
          <w:tcPr>
            <w:tcW w:w="1018" w:type="dxa"/>
            <w:vAlign w:val="center"/>
          </w:tcPr>
          <w:p w14:paraId="05C1A800"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3</w:t>
            </w:r>
          </w:p>
        </w:tc>
        <w:tc>
          <w:tcPr>
            <w:tcW w:w="922" w:type="dxa"/>
          </w:tcPr>
          <w:p w14:paraId="7156AEE3"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8.97</w:t>
            </w:r>
          </w:p>
        </w:tc>
        <w:tc>
          <w:tcPr>
            <w:tcW w:w="1906" w:type="dxa"/>
          </w:tcPr>
          <w:p w14:paraId="25801EB9" w14:textId="77777777" w:rsidR="007E727D" w:rsidRDefault="00000000">
            <w:pPr>
              <w:tabs>
                <w:tab w:val="decimal" w:pos="726"/>
              </w:tabs>
              <w:jc w:val="left"/>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0.001 **</w:t>
            </w:r>
          </w:p>
        </w:tc>
      </w:tr>
      <w:tr w:rsidR="007E727D" w14:paraId="5A38CE1D" w14:textId="77777777" w:rsidTr="00D33EEA">
        <w:tc>
          <w:tcPr>
            <w:tcW w:w="2028" w:type="dxa"/>
            <w:vMerge/>
            <w:vAlign w:val="center"/>
          </w:tcPr>
          <w:p w14:paraId="62CF92EB" w14:textId="77777777" w:rsidR="007E727D" w:rsidRDefault="007E727D">
            <w:pPr>
              <w:jc w:val="center"/>
              <w:rPr>
                <w:rFonts w:ascii="Times New Roman" w:eastAsia="SimSun" w:hAnsi="Times New Roman" w:cs="Times New Roman"/>
                <w:spacing w:val="8"/>
                <w:kern w:val="0"/>
                <w:sz w:val="20"/>
                <w:szCs w:val="20"/>
                <w:lang w:bidi="ar"/>
              </w:rPr>
            </w:pPr>
          </w:p>
        </w:tc>
        <w:tc>
          <w:tcPr>
            <w:tcW w:w="2432" w:type="dxa"/>
            <w:vAlign w:val="center"/>
          </w:tcPr>
          <w:p w14:paraId="50441D4F" w14:textId="52D14982"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eastAsia="SimSun" w:hAnsi="Times New Roman" w:cs="Times New Roman" w:hint="eastAsia"/>
                <w:spacing w:val="8"/>
                <w:kern w:val="0"/>
                <w:sz w:val="20"/>
                <w:szCs w:val="20"/>
                <w:lang w:bidi="ar"/>
              </w:rPr>
              <w:t>(</w:t>
            </w:r>
            <w:r>
              <w:rPr>
                <w:rFonts w:ascii="Times New Roman" w:hAnsi="Times New Roman" w:cs="Times New Roman" w:hint="eastAsia"/>
                <w:spacing w:val="8"/>
                <w:kern w:val="0"/>
                <w:sz w:val="20"/>
                <w:szCs w:val="20"/>
                <w:lang w:bidi="ar"/>
              </w:rPr>
              <w:t>PFOA</w:t>
            </w:r>
            <w:r>
              <w:rPr>
                <w:rFonts w:ascii="Times New Roman" w:eastAsia="SimSun" w:hAnsi="Times New Roman" w:cs="Times New Roman" w:hint="eastAsia"/>
                <w:spacing w:val="8"/>
                <w:kern w:val="0"/>
                <w:sz w:val="20"/>
                <w:szCs w:val="20"/>
                <w:lang w:bidi="ar"/>
              </w:rPr>
              <w:t>+1)</w:t>
            </w:r>
          </w:p>
        </w:tc>
        <w:tc>
          <w:tcPr>
            <w:tcW w:w="1018" w:type="dxa"/>
            <w:vAlign w:val="center"/>
          </w:tcPr>
          <w:p w14:paraId="602534AB"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1</w:t>
            </w:r>
          </w:p>
        </w:tc>
        <w:tc>
          <w:tcPr>
            <w:tcW w:w="922" w:type="dxa"/>
          </w:tcPr>
          <w:p w14:paraId="0E625D37"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0.58</w:t>
            </w:r>
          </w:p>
        </w:tc>
        <w:tc>
          <w:tcPr>
            <w:tcW w:w="1906" w:type="dxa"/>
          </w:tcPr>
          <w:p w14:paraId="6E9EB954" w14:textId="77777777" w:rsidR="007E727D" w:rsidRDefault="00000000">
            <w:pPr>
              <w:tabs>
                <w:tab w:val="decimal" w:pos="726"/>
              </w:tabs>
              <w:jc w:val="left"/>
              <w:rPr>
                <w:rFonts w:ascii="Times New Roman" w:eastAsia="SimSun" w:hAnsi="Times New Roman" w:cs="Times New Roman"/>
                <w:spacing w:val="8"/>
                <w:kern w:val="0"/>
                <w:sz w:val="20"/>
                <w:szCs w:val="20"/>
                <w:lang w:bidi="ar"/>
              </w:rPr>
            </w:pPr>
            <w:r>
              <w:rPr>
                <w:rFonts w:ascii="Times New Roman" w:eastAsia="SimSun" w:hAnsi="Times New Roman" w:cs="Times New Roman" w:hint="eastAsia"/>
                <w:kern w:val="0"/>
                <w:sz w:val="20"/>
                <w:szCs w:val="20"/>
              </w:rPr>
              <w:t xml:space="preserve">0.460   </w:t>
            </w:r>
          </w:p>
        </w:tc>
      </w:tr>
      <w:tr w:rsidR="007E727D" w14:paraId="30C11EF5" w14:textId="77777777" w:rsidTr="00D33EEA">
        <w:tc>
          <w:tcPr>
            <w:tcW w:w="2028" w:type="dxa"/>
            <w:vMerge/>
            <w:vAlign w:val="center"/>
          </w:tcPr>
          <w:p w14:paraId="50481F74" w14:textId="77777777" w:rsidR="007E727D" w:rsidRDefault="007E727D">
            <w:pPr>
              <w:jc w:val="center"/>
              <w:rPr>
                <w:rFonts w:ascii="Times New Roman" w:eastAsia="SimSun" w:hAnsi="Times New Roman" w:cs="Times New Roman"/>
                <w:spacing w:val="8"/>
                <w:kern w:val="0"/>
                <w:sz w:val="20"/>
                <w:szCs w:val="20"/>
                <w:lang w:bidi="ar"/>
              </w:rPr>
            </w:pPr>
          </w:p>
        </w:tc>
        <w:tc>
          <w:tcPr>
            <w:tcW w:w="2432" w:type="dxa"/>
            <w:vAlign w:val="center"/>
          </w:tcPr>
          <w:p w14:paraId="79EB74B6" w14:textId="41FDD319"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c</w:t>
            </w:r>
            <w:r>
              <w:rPr>
                <w:rFonts w:ascii="Times New Roman" w:eastAsia="SimSun" w:hAnsi="Times New Roman" w:cs="Times New Roman"/>
                <w:spacing w:val="8"/>
                <w:kern w:val="0"/>
                <w:sz w:val="20"/>
                <w:szCs w:val="20"/>
                <w:lang w:bidi="ar"/>
              </w:rPr>
              <w:t>ore</w:t>
            </w:r>
            <w:r>
              <w:rPr>
                <w:rFonts w:ascii="Times New Roman" w:eastAsia="SimSun" w:hAnsi="Times New Roman" w:cs="Times New Roman" w:hint="eastAsia"/>
                <w:spacing w:val="8"/>
                <w:kern w:val="0"/>
                <w:sz w:val="20"/>
                <w:szCs w:val="20"/>
                <w:lang w:bidi="ar"/>
              </w:rPr>
              <w:t xml:space="preserve"> : </w:t>
            </w:r>
            <w:r>
              <w:rPr>
                <w:rFonts w:ascii="Times New Roman" w:eastAsia="SimSun" w:hAnsi="Times New Roman" w:cs="Times New Roman"/>
                <w:spacing w:val="8"/>
                <w:kern w:val="0"/>
                <w:sz w:val="20"/>
                <w:szCs w:val="20"/>
                <w:lang w:bidi="ar"/>
              </w:rPr>
              <w:t>log</w:t>
            </w:r>
            <w:r w:rsidRPr="00D33EEA">
              <w:rPr>
                <w:rFonts w:ascii="Times New Roman" w:eastAsia="SimSun" w:hAnsi="Times New Roman" w:cs="Times New Roman"/>
                <w:spacing w:val="8"/>
                <w:sz w:val="22"/>
                <w:szCs w:val="22"/>
                <w:vertAlign w:val="subscript"/>
                <w:lang w:bidi="ar"/>
              </w:rPr>
              <w:t>10</w:t>
            </w:r>
            <w:r>
              <w:rPr>
                <w:rFonts w:ascii="Times New Roman" w:eastAsia="SimSun" w:hAnsi="Times New Roman" w:cs="Times New Roman"/>
                <w:spacing w:val="8"/>
                <w:kern w:val="0"/>
                <w:sz w:val="20"/>
                <w:szCs w:val="20"/>
                <w:lang w:bidi="ar"/>
              </w:rPr>
              <w:t>(</w:t>
            </w:r>
            <w:r>
              <w:rPr>
                <w:rFonts w:ascii="Times New Roman" w:hAnsi="Times New Roman" w:cs="Times New Roman" w:hint="eastAsia"/>
                <w:spacing w:val="8"/>
                <w:kern w:val="0"/>
                <w:sz w:val="20"/>
                <w:szCs w:val="20"/>
                <w:lang w:bidi="ar"/>
              </w:rPr>
              <w:t>PFOA</w:t>
            </w:r>
            <w:r>
              <w:rPr>
                <w:rFonts w:ascii="Times New Roman" w:eastAsia="SimSun" w:hAnsi="Times New Roman" w:cs="Times New Roman"/>
                <w:spacing w:val="8"/>
                <w:kern w:val="0"/>
                <w:sz w:val="20"/>
                <w:szCs w:val="20"/>
                <w:lang w:bidi="ar"/>
              </w:rPr>
              <w:t xml:space="preserve"> + 1)</w:t>
            </w:r>
          </w:p>
        </w:tc>
        <w:tc>
          <w:tcPr>
            <w:tcW w:w="1018" w:type="dxa"/>
            <w:vAlign w:val="center"/>
          </w:tcPr>
          <w:p w14:paraId="58E96692" w14:textId="77777777" w:rsidR="007E727D" w:rsidRDefault="00000000">
            <w:pPr>
              <w:jc w:val="center"/>
              <w:rPr>
                <w:rFonts w:ascii="Times New Roman" w:eastAsia="SimSun" w:hAnsi="Times New Roman" w:cs="Times New Roman"/>
                <w:spacing w:val="8"/>
                <w:kern w:val="0"/>
                <w:sz w:val="20"/>
                <w:szCs w:val="20"/>
                <w:lang w:bidi="ar"/>
              </w:rPr>
            </w:pPr>
            <w:r>
              <w:rPr>
                <w:rFonts w:ascii="Times New Roman" w:eastAsia="SimSun" w:hAnsi="Times New Roman" w:cs="Times New Roman" w:hint="eastAsia"/>
                <w:spacing w:val="8"/>
                <w:kern w:val="0"/>
                <w:sz w:val="20"/>
                <w:szCs w:val="20"/>
                <w:lang w:bidi="ar"/>
              </w:rPr>
              <w:t>3</w:t>
            </w:r>
          </w:p>
        </w:tc>
        <w:tc>
          <w:tcPr>
            <w:tcW w:w="922" w:type="dxa"/>
          </w:tcPr>
          <w:p w14:paraId="0D10E401" w14:textId="77777777" w:rsidR="007E727D" w:rsidRDefault="00000000">
            <w:pPr>
              <w:jc w:val="center"/>
              <w:rPr>
                <w:rFonts w:ascii="Times New Roman" w:eastAsia="SimSun" w:hAnsi="Times New Roman" w:cs="Times New Roman"/>
                <w:kern w:val="0"/>
                <w:sz w:val="20"/>
                <w:szCs w:val="20"/>
              </w:rPr>
            </w:pPr>
            <w:r>
              <w:rPr>
                <w:rFonts w:ascii="Times New Roman" w:eastAsia="SimSun" w:hAnsi="Times New Roman" w:cs="Times New Roman" w:hint="eastAsia"/>
                <w:kern w:val="0"/>
                <w:sz w:val="20"/>
                <w:szCs w:val="20"/>
              </w:rPr>
              <w:t>6.08</w:t>
            </w:r>
          </w:p>
        </w:tc>
        <w:tc>
          <w:tcPr>
            <w:tcW w:w="1906" w:type="dxa"/>
          </w:tcPr>
          <w:p w14:paraId="5C07C298" w14:textId="77777777" w:rsidR="007E727D" w:rsidRDefault="00000000">
            <w:pPr>
              <w:tabs>
                <w:tab w:val="decimal" w:pos="726"/>
              </w:tabs>
              <w:rPr>
                <w:rFonts w:ascii="Times New Roman" w:eastAsia="SimSun" w:hAnsi="Times New Roman" w:cs="Times New Roman"/>
                <w:kern w:val="0"/>
                <w:sz w:val="20"/>
                <w:szCs w:val="20"/>
              </w:rPr>
            </w:pPr>
            <w:r>
              <w:rPr>
                <w:rFonts w:ascii="Times New Roman" w:eastAsia="SimSun" w:hAnsi="Times New Roman" w:cs="Times New Roman" w:hint="eastAsia"/>
                <w:kern w:val="0"/>
                <w:sz w:val="20"/>
                <w:szCs w:val="20"/>
              </w:rPr>
              <w:t>0.006 **</w:t>
            </w:r>
          </w:p>
        </w:tc>
      </w:tr>
    </w:tbl>
    <w:p w14:paraId="7BCD5965" w14:textId="77777777" w:rsidR="007E727D" w:rsidRDefault="007E727D">
      <w:pPr>
        <w:spacing w:line="360" w:lineRule="auto"/>
        <w:rPr>
          <w:rFonts w:ascii="Times New Roman" w:hAnsi="Times New Roman" w:cs="Times New Roman"/>
          <w:spacing w:val="8"/>
          <w:kern w:val="0"/>
          <w:sz w:val="20"/>
          <w:szCs w:val="20"/>
          <w:lang w:bidi="ar"/>
        </w:rPr>
      </w:pPr>
    </w:p>
    <w:p w14:paraId="0FEB60F8" w14:textId="77777777" w:rsidR="007E727D" w:rsidRDefault="007E727D">
      <w:pPr>
        <w:pStyle w:val="Heading1"/>
        <w:spacing w:beforeLines="50" w:before="156" w:afterLines="50" w:after="156" w:line="360" w:lineRule="auto"/>
        <w:rPr>
          <w:rFonts w:ascii="Times New Roman" w:hAnsi="Times New Roman" w:cs="Times New Roman"/>
          <w:sz w:val="24"/>
        </w:rPr>
        <w:sectPr w:rsidR="007E727D">
          <w:pgSz w:w="11906" w:h="16838"/>
          <w:pgMar w:top="1440" w:right="1800" w:bottom="1440" w:left="1800" w:header="851" w:footer="992" w:gutter="0"/>
          <w:cols w:space="425"/>
          <w:docGrid w:type="lines" w:linePitch="312"/>
        </w:sectPr>
      </w:pPr>
    </w:p>
    <w:p w14:paraId="53F3C583" w14:textId="77777777" w:rsidR="007E727D" w:rsidRDefault="00000000">
      <w:pPr>
        <w:pStyle w:val="Heading1"/>
        <w:numPr>
          <w:ilvl w:val="0"/>
          <w:numId w:val="1"/>
        </w:numPr>
        <w:spacing w:beforeLines="50" w:before="156" w:afterLines="50" w:after="156" w:line="360" w:lineRule="auto"/>
        <w:rPr>
          <w:rFonts w:ascii="Times New Roman" w:hAnsi="Times New Roman" w:cs="Times New Roman"/>
          <w:spacing w:val="8"/>
          <w:kern w:val="0"/>
          <w:sz w:val="22"/>
          <w:szCs w:val="22"/>
          <w:lang w:bidi="ar"/>
        </w:rPr>
      </w:pPr>
      <w:r>
        <w:rPr>
          <w:rFonts w:ascii="Times New Roman" w:hAnsi="Times New Roman" w:cs="Times New Roman"/>
          <w:sz w:val="24"/>
        </w:rPr>
        <w:lastRenderedPageBreak/>
        <w:t>Supplementary figtures</w:t>
      </w:r>
    </w:p>
    <w:p w14:paraId="49ED0E01" w14:textId="77777777" w:rsidR="007E727D" w:rsidRDefault="00000000">
      <w:pPr>
        <w:widowControl/>
        <w:spacing w:line="480" w:lineRule="auto"/>
        <w:jc w:val="center"/>
        <w:rPr>
          <w:rFonts w:ascii="Times New Roman" w:hAnsi="Times New Roman" w:cs="Times New Roman"/>
          <w:spacing w:val="8"/>
          <w:kern w:val="0"/>
          <w:sz w:val="22"/>
          <w:szCs w:val="22"/>
          <w:lang w:bidi="ar"/>
        </w:rPr>
      </w:pPr>
      <w:r>
        <w:rPr>
          <w:rFonts w:ascii="Times New Roman" w:hAnsi="Times New Roman" w:cs="Times New Roman" w:hint="eastAsia"/>
          <w:noProof/>
          <w:spacing w:val="8"/>
          <w:kern w:val="0"/>
          <w:sz w:val="22"/>
          <w:szCs w:val="22"/>
          <w:lang w:bidi="ar"/>
        </w:rPr>
        <w:drawing>
          <wp:inline distT="0" distB="0" distL="114300" distR="114300" wp14:anchorId="351B19AC" wp14:editId="6BB4AD4E">
            <wp:extent cx="2445385" cy="3515995"/>
            <wp:effectExtent l="0" t="0" r="2540" b="8255"/>
            <wp:docPr id="14" name="图片 14" descr="SCI最终2025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CI最终20251101"/>
                    <pic:cNvPicPr>
                      <a:picLocks noChangeAspect="1"/>
                    </pic:cNvPicPr>
                  </pic:nvPicPr>
                  <pic:blipFill>
                    <a:blip r:embed="rId12"/>
                    <a:stretch>
                      <a:fillRect/>
                    </a:stretch>
                  </pic:blipFill>
                  <pic:spPr>
                    <a:xfrm>
                      <a:off x="0" y="0"/>
                      <a:ext cx="2445385" cy="3515995"/>
                    </a:xfrm>
                    <a:prstGeom prst="rect">
                      <a:avLst/>
                    </a:prstGeom>
                  </pic:spPr>
                </pic:pic>
              </a:graphicData>
            </a:graphic>
          </wp:inline>
        </w:drawing>
      </w:r>
    </w:p>
    <w:p w14:paraId="263F06EB" w14:textId="77777777" w:rsidR="007E727D" w:rsidRDefault="00000000">
      <w:pPr>
        <w:pStyle w:val="Heading2"/>
      </w:pPr>
      <w:r>
        <w:rPr>
          <w:rFonts w:hint="eastAsia"/>
        </w:rPr>
        <w:t>Figure. S</w:t>
      </w:r>
      <w:r>
        <w:t>1</w:t>
      </w:r>
      <w:r>
        <w:rPr>
          <w:rFonts w:hint="eastAsia"/>
        </w:rPr>
        <w:t xml:space="preserve">. Map of </w:t>
      </w:r>
      <w:r>
        <w:t>s</w:t>
      </w:r>
      <w:r>
        <w:rPr>
          <w:rFonts w:hint="eastAsia"/>
        </w:rPr>
        <w:t xml:space="preserve">ampling </w:t>
      </w:r>
      <w:r>
        <w:t>l</w:t>
      </w:r>
      <w:r>
        <w:rPr>
          <w:rFonts w:hint="eastAsia"/>
        </w:rPr>
        <w:t>ocations</w:t>
      </w:r>
      <w:r>
        <w:t xml:space="preserve"> and photos from the sampling.</w:t>
      </w:r>
    </w:p>
    <w:p w14:paraId="5AF934F2" w14:textId="77777777" w:rsidR="007E727D" w:rsidRDefault="007E727D">
      <w:pPr>
        <w:rPr>
          <w:rFonts w:ascii="Times New Roman" w:hAnsi="Times New Roman" w:cs="Times New Roman"/>
        </w:rPr>
      </w:pPr>
    </w:p>
    <w:p w14:paraId="2570FE02" w14:textId="41983BE0" w:rsidR="007E727D" w:rsidRDefault="00000000">
      <w:pPr>
        <w:jc w:val="center"/>
        <w:rPr>
          <w:rFonts w:ascii="Times New Roman" w:hAnsi="Times New Roman" w:cs="Times New Roman"/>
          <w:spacing w:val="8"/>
          <w:kern w:val="0"/>
          <w:sz w:val="20"/>
          <w:szCs w:val="20"/>
          <w:lang w:bidi="ar"/>
        </w:rPr>
      </w:pPr>
      <w:r>
        <w:rPr>
          <w:rFonts w:ascii="Times New Roman" w:hAnsi="Times New Roman" w:cs="Times New Roman"/>
          <w:noProof/>
        </w:rPr>
        <w:lastRenderedPageBreak/>
        <w:drawing>
          <wp:inline distT="0" distB="0" distL="114300" distR="114300" wp14:anchorId="0D6970AA" wp14:editId="2113EFD1">
            <wp:extent cx="4211320" cy="5757545"/>
            <wp:effectExtent l="0" t="0" r="8255" b="5080"/>
            <wp:docPr id="3" name="图片 3" descr="组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组图_01"/>
                    <pic:cNvPicPr>
                      <a:picLocks noChangeAspect="1"/>
                    </pic:cNvPicPr>
                  </pic:nvPicPr>
                  <pic:blipFill>
                    <a:blip r:embed="rId13"/>
                    <a:stretch>
                      <a:fillRect/>
                    </a:stretch>
                  </pic:blipFill>
                  <pic:spPr>
                    <a:xfrm>
                      <a:off x="0" y="0"/>
                      <a:ext cx="4211320" cy="5757545"/>
                    </a:xfrm>
                    <a:prstGeom prst="rect">
                      <a:avLst/>
                    </a:prstGeom>
                  </pic:spPr>
                </pic:pic>
              </a:graphicData>
            </a:graphic>
          </wp:inline>
        </w:drawing>
      </w:r>
    </w:p>
    <w:p w14:paraId="7ACD6140" w14:textId="16DC7DF4" w:rsidR="007E727D" w:rsidRDefault="00000000">
      <w:pPr>
        <w:pStyle w:val="Heading2"/>
        <w:rPr>
          <w:b w:val="0"/>
          <w:bCs/>
        </w:rPr>
      </w:pPr>
      <w:r>
        <w:rPr>
          <w:rFonts w:hint="eastAsia"/>
        </w:rPr>
        <w:t>Fi</w:t>
      </w:r>
      <w:r>
        <w:t>g</w:t>
      </w:r>
      <w:r>
        <w:rPr>
          <w:rFonts w:hint="eastAsia"/>
        </w:rPr>
        <w:t xml:space="preserve">ure. S2. </w:t>
      </w:r>
      <w:r>
        <w:t>Interaction between CO</w:t>
      </w:r>
      <w:r w:rsidRPr="00D33EEA">
        <w:rPr>
          <w:vertAlign w:val="subscript"/>
        </w:rPr>
        <w:t>2</w:t>
      </w:r>
      <w:r>
        <w:t xml:space="preserve"> dynamics-related descriptor</w:t>
      </w:r>
      <w:r>
        <w:rPr>
          <w:rFonts w:hint="eastAsia"/>
        </w:rPr>
        <w:t>s</w:t>
      </w:r>
      <w:r>
        <w:t xml:space="preserve"> and PFOA concentration</w:t>
      </w:r>
      <w:r>
        <w:rPr>
          <w:rFonts w:hint="eastAsia"/>
        </w:rPr>
        <w:t xml:space="preserve">s </w:t>
      </w:r>
      <w:r>
        <w:t xml:space="preserve">across cores. </w:t>
      </w:r>
      <w:r>
        <w:rPr>
          <w:b w:val="0"/>
          <w:bCs/>
        </w:rPr>
        <w:t xml:space="preserve">The colors indicate the various cores (C1-C4); (A) </w:t>
      </w:r>
      <w:r>
        <w:rPr>
          <w:rFonts w:hint="eastAsia"/>
          <w:b w:val="0"/>
          <w:bCs/>
        </w:rPr>
        <w:t>r</w:t>
      </w:r>
      <w:r>
        <w:rPr>
          <w:b w:val="0"/>
          <w:bCs/>
        </w:rPr>
        <w:t>elative CO</w:t>
      </w:r>
      <w:r>
        <w:rPr>
          <w:b w:val="0"/>
          <w:bCs/>
          <w:vertAlign w:val="subscript"/>
        </w:rPr>
        <w:t>2</w:t>
      </w:r>
      <w:r>
        <w:rPr>
          <w:b w:val="0"/>
          <w:bCs/>
        </w:rPr>
        <w:t xml:space="preserve"> end concentration and (</w:t>
      </w:r>
      <w:r>
        <w:rPr>
          <w:rFonts w:hint="eastAsia"/>
          <w:b w:val="0"/>
          <w:bCs/>
        </w:rPr>
        <w:t>B</w:t>
      </w:r>
      <w:r>
        <w:rPr>
          <w:b w:val="0"/>
          <w:bCs/>
        </w:rPr>
        <w:t>) relative take-off time across log</w:t>
      </w:r>
      <w:r>
        <w:rPr>
          <w:b w:val="0"/>
          <w:bCs/>
          <w:vertAlign w:val="subscript"/>
        </w:rPr>
        <w:t>10</w:t>
      </w:r>
      <w:r>
        <w:rPr>
          <w:b w:val="0"/>
          <w:bCs/>
        </w:rPr>
        <w:t>(x+1)-transformed PFOA concentrations</w:t>
      </w:r>
      <w:r>
        <w:rPr>
          <w:rFonts w:hint="eastAsia"/>
          <w:b w:val="0"/>
          <w:bCs/>
        </w:rPr>
        <w:t xml:space="preserve">; </w:t>
      </w:r>
      <w:r>
        <w:rPr>
          <w:b w:val="0"/>
          <w:bCs/>
        </w:rPr>
        <w:t xml:space="preserve">(C) </w:t>
      </w:r>
      <w:r>
        <w:rPr>
          <w:rFonts w:hint="eastAsia"/>
          <w:b w:val="0"/>
          <w:bCs/>
        </w:rPr>
        <w:t>a</w:t>
      </w:r>
      <w:r>
        <w:rPr>
          <w:b w:val="0"/>
        </w:rPr>
        <w:t xml:space="preserve">bsolute </w:t>
      </w:r>
      <w:r w:rsidRPr="00D33EEA">
        <w:rPr>
          <w:b w:val="0"/>
          <w:bCs/>
          <w:spacing w:val="8"/>
          <w:kern w:val="0"/>
          <w:lang w:bidi="ar"/>
        </w:rPr>
        <w:t>CH</w:t>
      </w:r>
      <w:r w:rsidRPr="00D33EEA">
        <w:rPr>
          <w:b w:val="0"/>
          <w:bCs/>
          <w:spacing w:val="8"/>
          <w:kern w:val="0"/>
          <w:vertAlign w:val="subscript"/>
          <w:lang w:bidi="ar"/>
        </w:rPr>
        <w:t>4</w:t>
      </w:r>
      <w:r>
        <w:rPr>
          <w:b w:val="0"/>
        </w:rPr>
        <w:t xml:space="preserve"> end concentrations and (</w:t>
      </w:r>
      <w:r>
        <w:rPr>
          <w:rFonts w:hint="eastAsia"/>
          <w:b w:val="0"/>
        </w:rPr>
        <w:t>D</w:t>
      </w:r>
      <w:r>
        <w:rPr>
          <w:b w:val="0"/>
        </w:rPr>
        <w:t>) take-off time across log10(x+1)-transformed PFOA concentrations</w:t>
      </w:r>
      <w:r>
        <w:rPr>
          <w:rFonts w:hint="eastAsia"/>
          <w:b w:val="0"/>
        </w:rPr>
        <w:t xml:space="preserve">; </w:t>
      </w:r>
      <w:r>
        <w:rPr>
          <w:b w:val="0"/>
          <w:bCs/>
        </w:rPr>
        <w:t>(</w:t>
      </w:r>
      <w:r>
        <w:rPr>
          <w:rFonts w:hint="eastAsia"/>
          <w:b w:val="0"/>
          <w:bCs/>
        </w:rPr>
        <w:t>E</w:t>
      </w:r>
      <w:r>
        <w:rPr>
          <w:b w:val="0"/>
          <w:bCs/>
        </w:rPr>
        <w:t>) represents the maximum production rates at different PFOA concentrations; and (</w:t>
      </w:r>
      <w:r>
        <w:rPr>
          <w:rFonts w:hint="eastAsia"/>
          <w:b w:val="0"/>
          <w:bCs/>
        </w:rPr>
        <w:t>F</w:t>
      </w:r>
      <w:r>
        <w:rPr>
          <w:b w:val="0"/>
          <w:bCs/>
        </w:rPr>
        <w:t>) the lag phase assessed by the framework described in Carlsen et al.</w:t>
      </w:r>
      <w:r>
        <w:rPr>
          <w:rFonts w:hint="eastAsia"/>
          <w:b w:val="0"/>
          <w:bCs/>
        </w:rPr>
        <w:t xml:space="preserve"> </w:t>
      </w:r>
      <w:r>
        <w:rPr>
          <w:b w:val="0"/>
          <w:bCs/>
        </w:rPr>
        <w:fldChar w:fldCharType="begin"/>
      </w:r>
      <w:r>
        <w:rPr>
          <w:b w:val="0"/>
          <w:bCs/>
        </w:rPr>
        <w:instrText xml:space="preserve"> ADDIN ZOTERO_ITEM CSL_CITATION {"citationID":"bTvnZKA0","properties":{"unsorted":false,"formattedCitation":"(2025)","plainCitation":"(2025)","noteIndex":0},"citationItems":[{"id":1121,"uris":["http://zotero.org/users/13786640/items/JEIVPUKW"],"itemData":{"id":1121,"type":"article-journal","citation-key":"carlsenRedoxDeterminesGreenhouse2025","container-title":"ISME communications","issue":"1","page":"ycaf009","publisher":"Oxford University Press","source":"Google Scholar","title":"Redox determines greenhouse gas production kinetics and metabolic traits in water-saturated thawing permafrost peat","volume":"5","author":[{"family":"Carlsen","given":"Eira Catharine Lødrup"},{"family":"Wei","given":"Jing"},{"family":"Lejzerowicz","given":"Franck"},{"family":"Trier Kjær","given":"Sigrid"},{"family":"Westermann","given":"Sebastian"},{"family":"Hessen","given":"Dag O."},{"family":"Dörsch","given":"Peter"},{"family":"Eiler","given":"Alexander"}],"issued":{"date-parts":[["2025"]]}},"suppress-author":true}],"schema":"https://github.com/citation-style-language/schema/raw/master/csl-citation.json"} </w:instrText>
      </w:r>
      <w:r>
        <w:rPr>
          <w:b w:val="0"/>
          <w:bCs/>
        </w:rPr>
        <w:fldChar w:fldCharType="separate"/>
      </w:r>
      <w:r>
        <w:rPr>
          <w:b w:val="0"/>
          <w:bCs/>
        </w:rPr>
        <w:t>(2025)</w:t>
      </w:r>
      <w:r>
        <w:rPr>
          <w:b w:val="0"/>
          <w:bCs/>
        </w:rPr>
        <w:fldChar w:fldCharType="end"/>
      </w:r>
      <w:r>
        <w:rPr>
          <w:rFonts w:hint="eastAsia"/>
          <w:b w:val="0"/>
          <w:bCs/>
        </w:rPr>
        <w:t>.</w:t>
      </w:r>
    </w:p>
    <w:p w14:paraId="3418BBE0" w14:textId="77777777" w:rsidR="007E727D" w:rsidRDefault="00000000">
      <w:pPr>
        <w:widowControl/>
        <w:spacing w:line="360" w:lineRule="auto"/>
        <w:rPr>
          <w:rFonts w:ascii="Times New Roman" w:hAnsi="Times New Roman" w:cs="Times New Roman"/>
          <w:b/>
          <w:bCs/>
          <w:spacing w:val="8"/>
          <w:kern w:val="0"/>
          <w:sz w:val="20"/>
          <w:szCs w:val="20"/>
          <w:lang w:val="nb-NO" w:bidi="ar"/>
        </w:rPr>
      </w:pPr>
      <w:r>
        <w:rPr>
          <w:rFonts w:ascii="Times New Roman" w:hAnsi="Times New Roman" w:cs="Times New Roman"/>
          <w:b/>
          <w:bCs/>
          <w:spacing w:val="8"/>
          <w:kern w:val="0"/>
          <w:sz w:val="20"/>
          <w:szCs w:val="20"/>
          <w:lang w:val="nb-NO" w:bidi="ar"/>
        </w:rPr>
        <w:t>Reference</w:t>
      </w:r>
      <w:r>
        <w:rPr>
          <w:rFonts w:ascii="Times New Roman" w:hAnsi="Times New Roman" w:cs="Times New Roman" w:hint="eastAsia"/>
          <w:b/>
          <w:bCs/>
          <w:spacing w:val="8"/>
          <w:kern w:val="0"/>
          <w:sz w:val="20"/>
          <w:szCs w:val="20"/>
          <w:lang w:val="nb-NO" w:bidi="ar"/>
        </w:rPr>
        <w:t>s</w:t>
      </w:r>
    </w:p>
    <w:p w14:paraId="33EC624F" w14:textId="77777777" w:rsidR="007E727D" w:rsidRDefault="00000000">
      <w:pPr>
        <w:rPr>
          <w:rFonts w:ascii="Times New Roman" w:hAnsi="Times New Roman" w:cs="Times New Roman"/>
        </w:rPr>
      </w:pPr>
      <w:r>
        <w:rPr>
          <w:rFonts w:ascii="Times New Roman" w:hAnsi="Times New Roman" w:cs="Times New Roman" w:hint="eastAsia"/>
          <w:sz w:val="18"/>
        </w:rPr>
        <w:t>Carlsen ECL, Wei J, Lejzerowicz F, Trier Kjær S, Westermann S, Hessen DO, et al. Redox determines greenhouse gas production kinetics and metabolic traits in water-saturated thawing permafrost peat. ISME Communications 2025;5:ycaf009.</w:t>
      </w:r>
    </w:p>
    <w:p w14:paraId="0E8433B0" w14:textId="77777777" w:rsidR="007E727D" w:rsidRDefault="007E727D">
      <w:pPr>
        <w:rPr>
          <w:rFonts w:ascii="Times New Roman" w:hAnsi="Times New Roman" w:cs="Times New Roman"/>
        </w:rPr>
      </w:pPr>
    </w:p>
    <w:p w14:paraId="00BFA941" w14:textId="23D8C5FF" w:rsidR="007E727D" w:rsidRDefault="00000000">
      <w:pPr>
        <w:rPr>
          <w:rFonts w:ascii="Times New Roman" w:hAnsi="Times New Roman" w:cs="Times New Roman"/>
          <w:spacing w:val="8"/>
          <w:kern w:val="0"/>
          <w:sz w:val="20"/>
          <w:szCs w:val="20"/>
          <w:lang w:bidi="ar"/>
        </w:rPr>
      </w:pPr>
      <w:r>
        <w:rPr>
          <w:rFonts w:ascii="Times New Roman" w:hAnsi="Times New Roman" w:cs="Times New Roman" w:hint="eastAsia"/>
          <w:noProof/>
          <w:spacing w:val="8"/>
          <w:kern w:val="0"/>
          <w:sz w:val="20"/>
          <w:szCs w:val="20"/>
          <w:lang w:bidi="ar"/>
        </w:rPr>
        <w:lastRenderedPageBreak/>
        <w:drawing>
          <wp:inline distT="0" distB="0" distL="114300" distR="114300" wp14:anchorId="5AC9200F" wp14:editId="70DFB431">
            <wp:extent cx="5269865" cy="4359275"/>
            <wp:effectExtent l="0" t="0" r="0" b="0"/>
            <wp:docPr id="4" name="图片 4" descr="图片S3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S3new"/>
                    <pic:cNvPicPr>
                      <a:picLocks noChangeAspect="1"/>
                    </pic:cNvPicPr>
                  </pic:nvPicPr>
                  <pic:blipFill>
                    <a:blip r:embed="rId14"/>
                    <a:stretch>
                      <a:fillRect/>
                    </a:stretch>
                  </pic:blipFill>
                  <pic:spPr>
                    <a:xfrm>
                      <a:off x="0" y="0"/>
                      <a:ext cx="5269865" cy="4359275"/>
                    </a:xfrm>
                    <a:prstGeom prst="rect">
                      <a:avLst/>
                    </a:prstGeom>
                  </pic:spPr>
                </pic:pic>
              </a:graphicData>
            </a:graphic>
          </wp:inline>
        </w:drawing>
      </w:r>
    </w:p>
    <w:p w14:paraId="53CCCC92" w14:textId="2D3804B3" w:rsidR="007E727D" w:rsidRDefault="00000000">
      <w:pPr>
        <w:pStyle w:val="Heading2"/>
        <w:rPr>
          <w:b w:val="0"/>
          <w:bCs/>
        </w:rPr>
      </w:pPr>
      <w:r w:rsidRPr="00D33EEA">
        <w:t>Figure. S3. Interaction between CH</w:t>
      </w:r>
      <w:r>
        <w:rPr>
          <w:rFonts w:hint="eastAsia"/>
          <w:vertAlign w:val="subscript"/>
        </w:rPr>
        <w:t>4</w:t>
      </w:r>
      <w:r w:rsidRPr="00D33EEA">
        <w:t xml:space="preserve"> dynamics-related descriptors and PFOA concentrations across cores</w:t>
      </w:r>
      <w:r>
        <w:t xml:space="preserve">. </w:t>
      </w:r>
      <w:r>
        <w:rPr>
          <w:rFonts w:hint="eastAsia"/>
          <w:b w:val="0"/>
          <w:bCs/>
        </w:rPr>
        <w:t>The colors indicate the various cores (C1-C4). (A) Absolute CH</w:t>
      </w:r>
      <w:r>
        <w:rPr>
          <w:rFonts w:hint="eastAsia"/>
          <w:b w:val="0"/>
          <w:bCs/>
          <w:vertAlign w:val="subscript"/>
        </w:rPr>
        <w:t>4</w:t>
      </w:r>
      <w:r>
        <w:rPr>
          <w:rFonts w:hint="eastAsia"/>
          <w:b w:val="0"/>
          <w:bCs/>
        </w:rPr>
        <w:t xml:space="preserve"> end concentrations and (B) take-off time across log10(x+1)-transformed PFOA concentrations; (C) represents the maximum production rates at different PFOA concentrations; and (D) the lag phase assessed by the framework described in Carlsen et al. </w:t>
      </w:r>
      <w:r>
        <w:rPr>
          <w:rFonts w:hint="eastAsia"/>
          <w:b w:val="0"/>
          <w:bCs/>
        </w:rPr>
        <w:fldChar w:fldCharType="begin"/>
      </w:r>
      <w:r>
        <w:rPr>
          <w:rFonts w:hint="eastAsia"/>
          <w:b w:val="0"/>
          <w:bCs/>
        </w:rPr>
        <w:instrText xml:space="preserve"> ADDIN ZOTERO_ITEM CSL_CITATION {"citationID":"bTvnZKA0","properties":{"unsorted":false,"formattedCitation":"(2025)","plainCitation":"(2025)","noteIndex":0},"citationItems":[{"id":1121,"uris":["http://zotero.org/users/13786640/items/JEIVPUKW"],"itemData":{"id":1121,"type":"article-journal","citation-key":"carlsenRedoxDeterminesGreenhouse2025","container-title":"ISME communications","issue":"1","page":"ycaf009","publisher":"Oxford University Press","source":"Google Scholar","title":"Redox determines greenhouse gas production kinetics and metabolic traits in water-saturated thawing permafrost peat","volume":"5","author":[{"family":"Carlsen","given":"Eira Catharine Lødrup"},{"family":"Wei","given":"Jing"},{"family":"Lejzerowicz","given":"Franck"},{"family":"Trier Kjær","given":"Sigrid"},{"family":"Westermann","given":"Sebastian"},{"family":"Hessen","given":"Dag O."},{"family":"Dörsch","given":"Peter"},{"family":"Eiler","given":"Alexander"}],"issued":{"date-parts":[["2025"]]}},"suppress-author":true}],"schema":"https://github.com/citation-style-language/schema/raw/master/csl-citation.json"} </w:instrText>
      </w:r>
      <w:r>
        <w:rPr>
          <w:rFonts w:hint="eastAsia"/>
          <w:b w:val="0"/>
          <w:bCs/>
        </w:rPr>
        <w:fldChar w:fldCharType="separate"/>
      </w:r>
      <w:r>
        <w:rPr>
          <w:rFonts w:hint="eastAsia"/>
          <w:b w:val="0"/>
          <w:bCs/>
        </w:rPr>
        <w:t>(2025)</w:t>
      </w:r>
      <w:r>
        <w:rPr>
          <w:rFonts w:hint="eastAsia"/>
          <w:b w:val="0"/>
          <w:bCs/>
        </w:rPr>
        <w:fldChar w:fldCharType="end"/>
      </w:r>
      <w:r>
        <w:rPr>
          <w:rFonts w:hint="eastAsia"/>
          <w:b w:val="0"/>
          <w:bCs/>
        </w:rPr>
        <w:t xml:space="preserve">. </w:t>
      </w:r>
    </w:p>
    <w:p w14:paraId="72D0F273" w14:textId="77777777" w:rsidR="007E727D" w:rsidRDefault="007E727D">
      <w:pPr>
        <w:widowControl/>
        <w:rPr>
          <w:rFonts w:ascii="Times New Roman" w:hAnsi="Times New Roman" w:cs="Times New Roman"/>
          <w:sz w:val="22"/>
          <w:szCs w:val="22"/>
        </w:rPr>
      </w:pPr>
    </w:p>
    <w:p w14:paraId="54F22348" w14:textId="77777777" w:rsidR="007E727D" w:rsidRDefault="00000000">
      <w:pPr>
        <w:widowControl/>
        <w:spacing w:line="360" w:lineRule="auto"/>
        <w:rPr>
          <w:rFonts w:ascii="Times New Roman" w:hAnsi="Times New Roman" w:cs="Times New Roman"/>
          <w:b/>
          <w:bCs/>
          <w:spacing w:val="8"/>
          <w:kern w:val="0"/>
          <w:sz w:val="20"/>
          <w:szCs w:val="20"/>
          <w:lang w:val="nb-NO" w:bidi="ar"/>
        </w:rPr>
      </w:pPr>
      <w:r>
        <w:rPr>
          <w:rFonts w:ascii="Times New Roman" w:hAnsi="Times New Roman" w:cs="Times New Roman"/>
          <w:b/>
          <w:bCs/>
          <w:spacing w:val="8"/>
          <w:kern w:val="0"/>
          <w:sz w:val="20"/>
          <w:szCs w:val="20"/>
          <w:lang w:val="nb-NO" w:bidi="ar"/>
        </w:rPr>
        <w:t>Reference</w:t>
      </w:r>
      <w:r>
        <w:rPr>
          <w:rFonts w:ascii="Times New Roman" w:hAnsi="Times New Roman" w:cs="Times New Roman" w:hint="eastAsia"/>
          <w:b/>
          <w:bCs/>
          <w:spacing w:val="8"/>
          <w:kern w:val="0"/>
          <w:sz w:val="20"/>
          <w:szCs w:val="20"/>
          <w:lang w:val="nb-NO" w:bidi="ar"/>
        </w:rPr>
        <w:t>s</w:t>
      </w:r>
    </w:p>
    <w:p w14:paraId="68406495" w14:textId="77777777" w:rsidR="007E727D" w:rsidRDefault="00000000">
      <w:pPr>
        <w:rPr>
          <w:rFonts w:ascii="Times New Roman" w:hAnsi="Times New Roman" w:cs="Times New Roman"/>
        </w:rPr>
      </w:pPr>
      <w:r>
        <w:rPr>
          <w:rFonts w:ascii="Times New Roman" w:hAnsi="Times New Roman" w:cs="Times New Roman" w:hint="eastAsia"/>
          <w:sz w:val="18"/>
        </w:rPr>
        <w:t>Carlsen ECL, Wei J, Lejzerowicz F, Trier Kjær S, Westermann S, Hessen DO, et al. Redox determines greenhouse gas production kinetics and metabolic traits in water-saturated thawing permafrost peat. ISME Communications 2025;5:ycaf009.</w:t>
      </w:r>
    </w:p>
    <w:p w14:paraId="095FA9C2" w14:textId="77777777" w:rsidR="007E727D" w:rsidRDefault="007E727D">
      <w:pPr>
        <w:rPr>
          <w:rFonts w:ascii="Times New Roman" w:hAnsi="Times New Roman" w:cs="Times New Roman"/>
          <w:szCs w:val="21"/>
        </w:rPr>
      </w:pPr>
    </w:p>
    <w:p w14:paraId="36003418" w14:textId="77777777" w:rsidR="007E727D" w:rsidRDefault="007E727D">
      <w:pPr>
        <w:rPr>
          <w:rFonts w:ascii="Times New Roman" w:hAnsi="Times New Roman" w:cs="Times New Roman"/>
          <w:szCs w:val="21"/>
        </w:rPr>
      </w:pPr>
    </w:p>
    <w:p w14:paraId="40DB5489" w14:textId="77777777" w:rsidR="007E727D" w:rsidRDefault="007E727D">
      <w:pPr>
        <w:rPr>
          <w:rFonts w:ascii="Times New Roman" w:hAnsi="Times New Roman" w:cs="Times New Roman"/>
          <w:szCs w:val="21"/>
        </w:rPr>
      </w:pPr>
    </w:p>
    <w:p w14:paraId="3946E11D" w14:textId="77777777" w:rsidR="007E727D" w:rsidRDefault="007E727D">
      <w:pPr>
        <w:rPr>
          <w:rFonts w:ascii="Times New Roman" w:hAnsi="Times New Roman" w:cs="Times New Roman"/>
          <w:szCs w:val="21"/>
        </w:rPr>
      </w:pPr>
    </w:p>
    <w:p w14:paraId="6F36EB1A" w14:textId="77777777" w:rsidR="007E727D" w:rsidRDefault="007E727D">
      <w:pPr>
        <w:rPr>
          <w:rFonts w:ascii="Times New Roman" w:hAnsi="Times New Roman" w:cs="Times New Roman"/>
          <w:szCs w:val="21"/>
        </w:rPr>
      </w:pPr>
    </w:p>
    <w:p w14:paraId="28E62EEC" w14:textId="77777777" w:rsidR="007E727D" w:rsidRDefault="007E727D">
      <w:pPr>
        <w:rPr>
          <w:rFonts w:ascii="Times New Roman" w:hAnsi="Times New Roman" w:cs="Times New Roman"/>
          <w:szCs w:val="21"/>
        </w:rPr>
      </w:pPr>
    </w:p>
    <w:p w14:paraId="21A2CB8F" w14:textId="77777777" w:rsidR="007E727D" w:rsidRDefault="00000000">
      <w:pPr>
        <w:pStyle w:val="NormalWeb"/>
        <w:widowControl/>
        <w:spacing w:beforeAutospacing="0" w:afterAutospacing="0" w:line="480" w:lineRule="auto"/>
        <w:jc w:val="center"/>
        <w:rPr>
          <w:rFonts w:ascii="Times New Roman" w:hAnsi="Times New Roman"/>
          <w:spacing w:val="8"/>
          <w:sz w:val="22"/>
          <w:szCs w:val="22"/>
          <w:lang w:bidi="ar"/>
        </w:rPr>
      </w:pPr>
      <w:r>
        <w:rPr>
          <w:rFonts w:ascii="Times New Roman" w:hAnsi="Times New Roman"/>
          <w:noProof/>
          <w:sz w:val="22"/>
          <w:szCs w:val="22"/>
        </w:rPr>
        <w:lastRenderedPageBreak/>
        <w:drawing>
          <wp:inline distT="0" distB="0" distL="114300" distR="114300" wp14:anchorId="23065C42" wp14:editId="460E2505">
            <wp:extent cx="3957320" cy="3468370"/>
            <wp:effectExtent l="0" t="0" r="0" b="0"/>
            <wp:docPr id="12" name="图片 12" descr="fig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S4"/>
                    <pic:cNvPicPr>
                      <a:picLocks noChangeAspect="1"/>
                    </pic:cNvPicPr>
                  </pic:nvPicPr>
                  <pic:blipFill>
                    <a:blip r:embed="rId15"/>
                    <a:stretch>
                      <a:fillRect/>
                    </a:stretch>
                  </pic:blipFill>
                  <pic:spPr>
                    <a:xfrm>
                      <a:off x="0" y="0"/>
                      <a:ext cx="3957320" cy="3468370"/>
                    </a:xfrm>
                    <a:prstGeom prst="rect">
                      <a:avLst/>
                    </a:prstGeom>
                  </pic:spPr>
                </pic:pic>
              </a:graphicData>
            </a:graphic>
          </wp:inline>
        </w:drawing>
      </w:r>
    </w:p>
    <w:p w14:paraId="7D67ECC9" w14:textId="77777777" w:rsidR="007E727D" w:rsidRDefault="00000000">
      <w:pPr>
        <w:pStyle w:val="Heading2"/>
        <w:rPr>
          <w:b w:val="0"/>
          <w:bCs/>
        </w:rPr>
      </w:pPr>
      <w:r>
        <w:rPr>
          <w:rFonts w:hint="eastAsia"/>
        </w:rPr>
        <w:t>Figure. S4. Interaction between cell counts and PFOA concentrations across cores</w:t>
      </w:r>
      <w:r>
        <w:t xml:space="preserve">. </w:t>
      </w:r>
      <w:r>
        <w:rPr>
          <w:b w:val="0"/>
          <w:bCs/>
        </w:rPr>
        <w:t>The colors indicate the various cores (C1-C4).</w:t>
      </w:r>
    </w:p>
    <w:p w14:paraId="16F3D1EF" w14:textId="77777777" w:rsidR="007E727D" w:rsidRDefault="007E727D">
      <w:pPr>
        <w:rPr>
          <w:rFonts w:ascii="Times New Roman" w:hAnsi="Times New Roman" w:cs="Times New Roman"/>
          <w:szCs w:val="21"/>
        </w:rPr>
      </w:pPr>
    </w:p>
    <w:p w14:paraId="22C97B7E" w14:textId="77777777" w:rsidR="007E727D" w:rsidRDefault="007E727D">
      <w:pPr>
        <w:spacing w:line="360" w:lineRule="auto"/>
        <w:rPr>
          <w:rFonts w:ascii="Times New Roman" w:hAnsi="Times New Roman" w:cs="Times New Roman"/>
          <w:spacing w:val="8"/>
          <w:kern w:val="0"/>
          <w:sz w:val="20"/>
          <w:szCs w:val="20"/>
          <w:lang w:bidi="ar"/>
        </w:rPr>
      </w:pPr>
    </w:p>
    <w:p w14:paraId="2693570F" w14:textId="77777777" w:rsidR="007E727D" w:rsidRDefault="007E727D">
      <w:pPr>
        <w:spacing w:line="360" w:lineRule="auto"/>
        <w:rPr>
          <w:rFonts w:ascii="Times New Roman" w:hAnsi="Times New Roman" w:cs="Times New Roman"/>
          <w:spacing w:val="8"/>
          <w:kern w:val="0"/>
          <w:sz w:val="20"/>
          <w:szCs w:val="20"/>
          <w:lang w:bidi="ar"/>
        </w:rPr>
      </w:pPr>
    </w:p>
    <w:p w14:paraId="7D7F9C75" w14:textId="77777777" w:rsidR="007E727D" w:rsidRDefault="00000000">
      <w:pPr>
        <w:spacing w:line="480" w:lineRule="auto"/>
        <w:jc w:val="center"/>
        <w:rPr>
          <w:rStyle w:val="CommentReference"/>
          <w:rFonts w:ascii="Times New Roman" w:hAnsi="Times New Roman" w:cs="Times New Roman"/>
          <w:sz w:val="22"/>
          <w:szCs w:val="22"/>
        </w:rPr>
      </w:pPr>
      <w:r>
        <w:rPr>
          <w:rFonts w:ascii="Times New Roman" w:hAnsi="Times New Roman" w:cs="Times New Roman"/>
          <w:noProof/>
        </w:rPr>
        <w:lastRenderedPageBreak/>
        <w:drawing>
          <wp:inline distT="0" distB="0" distL="114300" distR="114300" wp14:anchorId="27AF10E0" wp14:editId="022735F9">
            <wp:extent cx="4575175" cy="3947160"/>
            <wp:effectExtent l="0" t="0" r="0" b="0"/>
            <wp:docPr id="13" name="图片 13" descr="fig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S6"/>
                    <pic:cNvPicPr>
                      <a:picLocks noChangeAspect="1"/>
                    </pic:cNvPicPr>
                  </pic:nvPicPr>
                  <pic:blipFill>
                    <a:blip r:embed="rId16"/>
                    <a:stretch>
                      <a:fillRect/>
                    </a:stretch>
                  </pic:blipFill>
                  <pic:spPr>
                    <a:xfrm>
                      <a:off x="0" y="0"/>
                      <a:ext cx="4575175" cy="3947160"/>
                    </a:xfrm>
                    <a:prstGeom prst="rect">
                      <a:avLst/>
                    </a:prstGeom>
                  </pic:spPr>
                </pic:pic>
              </a:graphicData>
            </a:graphic>
          </wp:inline>
        </w:drawing>
      </w:r>
    </w:p>
    <w:p w14:paraId="23A235AF" w14:textId="77777777" w:rsidR="007E727D" w:rsidRDefault="00000000">
      <w:pPr>
        <w:pStyle w:val="Heading2"/>
        <w:rPr>
          <w:b w:val="0"/>
          <w:bCs/>
          <w:lang w:bidi="ar"/>
        </w:rPr>
      </w:pPr>
      <w:r>
        <w:rPr>
          <w:lang w:bidi="ar"/>
        </w:rPr>
        <w:t>Figure. S</w:t>
      </w:r>
      <w:r>
        <w:rPr>
          <w:rFonts w:hint="eastAsia"/>
          <w:lang w:bidi="ar"/>
        </w:rPr>
        <w:t>5</w:t>
      </w:r>
      <w:r>
        <w:rPr>
          <w:lang w:bidi="ar"/>
        </w:rPr>
        <w:t xml:space="preserve">. Interaction between α-diversity and PFOA concentrations across cores. </w:t>
      </w:r>
      <w:r>
        <w:rPr>
          <w:b w:val="0"/>
          <w:bCs/>
          <w:lang w:bidi="ar"/>
        </w:rPr>
        <w:t xml:space="preserve">A: ACE index; B: Chao1 index; C: Simpson index; D: Shannon index. </w:t>
      </w:r>
      <w:r>
        <w:rPr>
          <w:b w:val="0"/>
          <w:bCs/>
        </w:rPr>
        <w:t>The colors indicate the various cores (C1-C4).</w:t>
      </w:r>
    </w:p>
    <w:p w14:paraId="20F233BF" w14:textId="77777777" w:rsidR="007E727D" w:rsidRDefault="007E727D">
      <w:pPr>
        <w:spacing w:after="100" w:afterAutospacing="1"/>
        <w:jc w:val="left"/>
        <w:rPr>
          <w:rFonts w:ascii="Times New Roman" w:hAnsi="Times New Roman" w:cs="Times New Roman"/>
          <w:spacing w:val="8"/>
          <w:kern w:val="0"/>
          <w:sz w:val="22"/>
          <w:szCs w:val="22"/>
          <w:lang w:bidi="ar"/>
        </w:rPr>
      </w:pPr>
    </w:p>
    <w:p w14:paraId="06B7F092" w14:textId="77777777" w:rsidR="007E727D" w:rsidRDefault="007E727D">
      <w:pPr>
        <w:spacing w:after="100" w:afterAutospacing="1"/>
        <w:jc w:val="left"/>
        <w:rPr>
          <w:rFonts w:ascii="Times New Roman" w:hAnsi="Times New Roman" w:cs="Times New Roman"/>
          <w:spacing w:val="8"/>
          <w:kern w:val="0"/>
          <w:sz w:val="22"/>
          <w:szCs w:val="22"/>
          <w:lang w:bidi="ar"/>
        </w:rPr>
      </w:pPr>
    </w:p>
    <w:p w14:paraId="5994BDC5" w14:textId="77777777" w:rsidR="007E727D" w:rsidRDefault="007E727D">
      <w:pPr>
        <w:spacing w:after="100" w:afterAutospacing="1"/>
        <w:jc w:val="left"/>
        <w:rPr>
          <w:rFonts w:ascii="Times New Roman" w:hAnsi="Times New Roman" w:cs="Times New Roman"/>
          <w:spacing w:val="8"/>
          <w:kern w:val="0"/>
          <w:sz w:val="22"/>
          <w:szCs w:val="22"/>
          <w:lang w:bidi="ar"/>
        </w:rPr>
      </w:pPr>
    </w:p>
    <w:p w14:paraId="3A411944" w14:textId="77777777" w:rsidR="007E727D" w:rsidRDefault="007E727D">
      <w:pPr>
        <w:spacing w:after="100" w:afterAutospacing="1"/>
        <w:jc w:val="left"/>
        <w:rPr>
          <w:rFonts w:ascii="Times New Roman" w:hAnsi="Times New Roman" w:cs="Times New Roman"/>
          <w:spacing w:val="8"/>
          <w:kern w:val="0"/>
          <w:sz w:val="22"/>
          <w:szCs w:val="22"/>
          <w:lang w:bidi="ar"/>
        </w:rPr>
      </w:pPr>
    </w:p>
    <w:p w14:paraId="6E73125A" w14:textId="77777777" w:rsidR="007E727D" w:rsidRDefault="007E727D">
      <w:pPr>
        <w:spacing w:after="100" w:afterAutospacing="1"/>
        <w:jc w:val="left"/>
        <w:rPr>
          <w:rFonts w:ascii="Times New Roman" w:hAnsi="Times New Roman" w:cs="Times New Roman"/>
          <w:spacing w:val="8"/>
          <w:kern w:val="0"/>
          <w:sz w:val="22"/>
          <w:szCs w:val="22"/>
          <w:lang w:bidi="ar"/>
        </w:rPr>
      </w:pPr>
    </w:p>
    <w:p w14:paraId="4F93FFEE" w14:textId="77777777" w:rsidR="007E727D" w:rsidRDefault="00000000">
      <w:pPr>
        <w:spacing w:line="360" w:lineRule="auto"/>
        <w:rPr>
          <w:rFonts w:ascii="Times New Roman" w:hAnsi="Times New Roman" w:cs="Times New Roman"/>
          <w:spacing w:val="8"/>
          <w:kern w:val="0"/>
          <w:sz w:val="20"/>
          <w:szCs w:val="20"/>
          <w:lang w:bidi="ar"/>
        </w:rPr>
      </w:pPr>
      <w:r>
        <w:rPr>
          <w:rFonts w:ascii="Times New Roman" w:hAnsi="Times New Roman" w:cs="Times New Roman"/>
          <w:noProof/>
          <w:spacing w:val="8"/>
          <w:kern w:val="0"/>
          <w:sz w:val="20"/>
          <w:szCs w:val="20"/>
          <w:lang w:bidi="ar"/>
        </w:rPr>
        <w:lastRenderedPageBreak/>
        <w:drawing>
          <wp:inline distT="0" distB="0" distL="114300" distR="114300" wp14:anchorId="354E47B5" wp14:editId="1721B1B7">
            <wp:extent cx="4968240" cy="2306955"/>
            <wp:effectExtent l="0" t="0" r="3810" b="7620"/>
            <wp:docPr id="7" name="图片 7" descr="16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s"/>
                    <pic:cNvPicPr>
                      <a:picLocks noChangeAspect="1"/>
                    </pic:cNvPicPr>
                  </pic:nvPicPr>
                  <pic:blipFill>
                    <a:blip r:embed="rId17"/>
                    <a:stretch>
                      <a:fillRect/>
                    </a:stretch>
                  </pic:blipFill>
                  <pic:spPr>
                    <a:xfrm>
                      <a:off x="0" y="0"/>
                      <a:ext cx="4968240" cy="2306955"/>
                    </a:xfrm>
                    <a:prstGeom prst="rect">
                      <a:avLst/>
                    </a:prstGeom>
                  </pic:spPr>
                </pic:pic>
              </a:graphicData>
            </a:graphic>
          </wp:inline>
        </w:drawing>
      </w:r>
    </w:p>
    <w:p w14:paraId="7BCE2340" w14:textId="30238375" w:rsidR="007E727D" w:rsidRDefault="00000000">
      <w:pPr>
        <w:pStyle w:val="Heading2"/>
        <w:rPr>
          <w:b w:val="0"/>
          <w:bCs/>
          <w:lang w:bidi="ar"/>
        </w:rPr>
      </w:pPr>
      <w:r>
        <w:rPr>
          <w:rFonts w:hint="eastAsia"/>
          <w:lang w:bidi="ar"/>
        </w:rPr>
        <w:t xml:space="preserve">Figure. S6. NMDS plots of microbial community structures </w:t>
      </w:r>
      <w:r>
        <w:rPr>
          <w:bCs/>
          <w:szCs w:val="21"/>
        </w:rPr>
        <w:t>under different</w:t>
      </w:r>
      <w:r>
        <w:rPr>
          <w:rFonts w:hint="eastAsia"/>
          <w:bCs/>
          <w:szCs w:val="21"/>
        </w:rPr>
        <w:t xml:space="preserve"> </w:t>
      </w:r>
      <w:r>
        <w:rPr>
          <w:bCs/>
          <w:szCs w:val="21"/>
        </w:rPr>
        <w:t>treatment conditions</w:t>
      </w:r>
      <w:r>
        <w:rPr>
          <w:b w:val="0"/>
          <w:szCs w:val="21"/>
        </w:rPr>
        <w:t>: raw (original samples), Control (0 ng</w:t>
      </w:r>
      <w:r>
        <w:rPr>
          <w:rFonts w:hint="eastAsia"/>
          <w:b w:val="0"/>
          <w:szCs w:val="21"/>
        </w:rPr>
        <w:t>/</w:t>
      </w:r>
      <w:r>
        <w:rPr>
          <w:b w:val="0"/>
          <w:szCs w:val="21"/>
        </w:rPr>
        <w:t>g) and PFOA</w:t>
      </w:r>
      <w:r>
        <w:rPr>
          <w:rFonts w:hint="eastAsia"/>
          <w:b w:val="0"/>
          <w:szCs w:val="21"/>
        </w:rPr>
        <w:t xml:space="preserve"> </w:t>
      </w:r>
      <w:r>
        <w:rPr>
          <w:b w:val="0"/>
          <w:szCs w:val="21"/>
        </w:rPr>
        <w:t>concentrations (2-5000 ng/g)</w:t>
      </w:r>
      <w:r>
        <w:rPr>
          <w:rFonts w:hint="eastAsia"/>
          <w:b w:val="0"/>
          <w:bCs/>
          <w:lang w:bidi="ar"/>
        </w:rPr>
        <w:t xml:space="preserve"> (A) and among sediment cores (B)</w:t>
      </w:r>
      <w:r>
        <w:rPr>
          <w:b w:val="0"/>
          <w:bCs/>
          <w:lang w:bidi="ar"/>
        </w:rPr>
        <w:t xml:space="preserve">. </w:t>
      </w:r>
      <w:r>
        <w:rPr>
          <w:b w:val="0"/>
          <w:bCs/>
        </w:rPr>
        <w:t>The colors indicate the various cores (C1-C4).</w:t>
      </w:r>
    </w:p>
    <w:p w14:paraId="2E2B4DA1" w14:textId="77777777" w:rsidR="007E727D" w:rsidRDefault="007E727D">
      <w:pPr>
        <w:spacing w:line="360" w:lineRule="auto"/>
        <w:rPr>
          <w:rFonts w:ascii="Times New Roman" w:hAnsi="Times New Roman" w:cs="Times New Roman"/>
          <w:spacing w:val="8"/>
          <w:kern w:val="0"/>
          <w:sz w:val="20"/>
          <w:szCs w:val="20"/>
          <w:lang w:bidi="ar"/>
        </w:rPr>
      </w:pPr>
    </w:p>
    <w:p w14:paraId="4E4DEB3C" w14:textId="77777777" w:rsidR="007E727D" w:rsidRDefault="007E727D">
      <w:pPr>
        <w:spacing w:line="360" w:lineRule="auto"/>
        <w:rPr>
          <w:rFonts w:ascii="Times New Roman" w:hAnsi="Times New Roman" w:cs="Times New Roman"/>
          <w:spacing w:val="8"/>
          <w:kern w:val="0"/>
          <w:sz w:val="20"/>
          <w:szCs w:val="20"/>
          <w:lang w:bidi="ar"/>
        </w:rPr>
      </w:pPr>
    </w:p>
    <w:p w14:paraId="1E463D28" w14:textId="77777777" w:rsidR="007E727D" w:rsidRDefault="007E727D">
      <w:pPr>
        <w:spacing w:line="360" w:lineRule="auto"/>
        <w:rPr>
          <w:rFonts w:ascii="Times New Roman" w:hAnsi="Times New Roman" w:cs="Times New Roman"/>
          <w:spacing w:val="8"/>
          <w:kern w:val="0"/>
          <w:sz w:val="20"/>
          <w:szCs w:val="20"/>
          <w:lang w:bidi="ar"/>
        </w:rPr>
      </w:pPr>
    </w:p>
    <w:p w14:paraId="07A4F1A4" w14:textId="77777777" w:rsidR="007E727D" w:rsidRDefault="007E727D">
      <w:pPr>
        <w:spacing w:line="360" w:lineRule="auto"/>
        <w:rPr>
          <w:rFonts w:ascii="Times New Roman" w:hAnsi="Times New Roman" w:cs="Times New Roman"/>
          <w:spacing w:val="8"/>
          <w:kern w:val="0"/>
          <w:sz w:val="20"/>
          <w:szCs w:val="20"/>
          <w:lang w:bidi="ar"/>
        </w:rPr>
      </w:pPr>
    </w:p>
    <w:p w14:paraId="5DD6C657" w14:textId="77777777" w:rsidR="007E727D" w:rsidRDefault="007E727D">
      <w:pPr>
        <w:spacing w:line="360" w:lineRule="auto"/>
        <w:rPr>
          <w:rFonts w:ascii="Times New Roman" w:hAnsi="Times New Roman" w:cs="Times New Roman"/>
          <w:spacing w:val="8"/>
          <w:kern w:val="0"/>
          <w:sz w:val="20"/>
          <w:szCs w:val="20"/>
          <w:lang w:bidi="ar"/>
        </w:rPr>
      </w:pPr>
    </w:p>
    <w:p w14:paraId="1383E66D" w14:textId="77777777" w:rsidR="007E727D" w:rsidRDefault="00000000">
      <w:pPr>
        <w:spacing w:line="480" w:lineRule="auto"/>
        <w:rPr>
          <w:rFonts w:ascii="Times New Roman" w:hAnsi="Times New Roman" w:cs="Times New Roman"/>
          <w:spacing w:val="8"/>
          <w:kern w:val="0"/>
          <w:sz w:val="22"/>
          <w:szCs w:val="22"/>
          <w:lang w:bidi="ar"/>
        </w:rPr>
      </w:pPr>
      <w:r>
        <w:rPr>
          <w:rFonts w:ascii="Times New Roman" w:hAnsi="Times New Roman" w:cs="Times New Roman"/>
          <w:noProof/>
          <w:sz w:val="22"/>
          <w:szCs w:val="22"/>
        </w:rPr>
        <w:lastRenderedPageBreak/>
        <w:drawing>
          <wp:inline distT="0" distB="0" distL="0" distR="0" wp14:anchorId="02AB847D" wp14:editId="09065C12">
            <wp:extent cx="4966970" cy="4341495"/>
            <wp:effectExtent l="0" t="0" r="5080" b="1905"/>
            <wp:docPr id="739855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5536" name="图片 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66970" cy="4341495"/>
                    </a:xfrm>
                    <a:prstGeom prst="rect">
                      <a:avLst/>
                    </a:prstGeom>
                  </pic:spPr>
                </pic:pic>
              </a:graphicData>
            </a:graphic>
          </wp:inline>
        </w:drawing>
      </w:r>
    </w:p>
    <w:p w14:paraId="462BAFE0" w14:textId="77777777" w:rsidR="007E727D" w:rsidRDefault="00000000">
      <w:pPr>
        <w:pStyle w:val="Heading2"/>
        <w:rPr>
          <w:lang w:bidi="ar"/>
        </w:rPr>
      </w:pPr>
      <w:r>
        <w:rPr>
          <w:rFonts w:hint="eastAsia"/>
          <w:lang w:bidi="ar"/>
        </w:rPr>
        <w:t>Figure. S7. LEfSe analysis of key biomarkers in different groups</w:t>
      </w:r>
      <w:r>
        <w:rPr>
          <w:lang w:bidi="ar"/>
        </w:rPr>
        <w:t>.</w:t>
      </w:r>
    </w:p>
    <w:p w14:paraId="1506FAC5" w14:textId="4B8BDA29" w:rsidR="007E727D" w:rsidRDefault="00000000">
      <w:pPr>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The phylogenetic relationship among amplicon sequence variances are given by a cladogram with the identified key biomarkers highlighted (B); Results from LEfSe analysis highlighting taxa associated with various treatments: raw (original samples), Control (0 ng</w:t>
      </w:r>
      <w:r>
        <w:rPr>
          <w:rFonts w:ascii="Times New Roman" w:hAnsi="Times New Roman" w:cs="Times New Roman" w:hint="eastAsia"/>
          <w:spacing w:val="8"/>
          <w:kern w:val="0"/>
          <w:sz w:val="22"/>
          <w:szCs w:val="22"/>
          <w:lang w:bidi="ar"/>
        </w:rPr>
        <w:t>/</w:t>
      </w:r>
      <w:r>
        <w:rPr>
          <w:rFonts w:ascii="Times New Roman" w:hAnsi="Times New Roman" w:cs="Times New Roman"/>
          <w:spacing w:val="8"/>
          <w:kern w:val="0"/>
          <w:sz w:val="22"/>
          <w:szCs w:val="22"/>
          <w:lang w:bidi="ar"/>
        </w:rPr>
        <w:t>g) and PFOA</w:t>
      </w:r>
      <w:r>
        <w:rPr>
          <w:rFonts w:ascii="Times New Roman" w:hAnsi="Times New Roman" w:cs="Times New Roman" w:hint="eastAsia"/>
          <w:spacing w:val="8"/>
          <w:kern w:val="0"/>
          <w:sz w:val="22"/>
          <w:szCs w:val="22"/>
          <w:lang w:bidi="ar"/>
        </w:rPr>
        <w:t xml:space="preserve"> </w:t>
      </w:r>
      <w:r>
        <w:rPr>
          <w:rFonts w:ascii="Times New Roman" w:hAnsi="Times New Roman" w:cs="Times New Roman"/>
          <w:spacing w:val="8"/>
          <w:kern w:val="0"/>
          <w:sz w:val="22"/>
          <w:szCs w:val="22"/>
          <w:lang w:bidi="ar"/>
        </w:rPr>
        <w:t>concentrations (2-5000 ng/g).</w:t>
      </w:r>
    </w:p>
    <w:p w14:paraId="47CF1B9A" w14:textId="77777777" w:rsidR="007E727D" w:rsidRDefault="007E727D">
      <w:pPr>
        <w:spacing w:line="360" w:lineRule="auto"/>
        <w:rPr>
          <w:rFonts w:ascii="Times New Roman" w:hAnsi="Times New Roman" w:cs="Times New Roman"/>
          <w:spacing w:val="8"/>
          <w:kern w:val="0"/>
          <w:sz w:val="20"/>
          <w:szCs w:val="20"/>
          <w:lang w:bidi="ar"/>
        </w:rPr>
      </w:pPr>
    </w:p>
    <w:p w14:paraId="6F62BA16" w14:textId="77777777" w:rsidR="007E727D" w:rsidRDefault="007E727D">
      <w:pPr>
        <w:spacing w:line="360" w:lineRule="auto"/>
        <w:rPr>
          <w:rFonts w:ascii="Times New Roman" w:hAnsi="Times New Roman" w:cs="Times New Roman"/>
          <w:spacing w:val="8"/>
          <w:kern w:val="0"/>
          <w:sz w:val="20"/>
          <w:szCs w:val="20"/>
          <w:lang w:bidi="ar"/>
        </w:rPr>
      </w:pPr>
    </w:p>
    <w:p w14:paraId="3989C159" w14:textId="77777777" w:rsidR="007E727D" w:rsidRDefault="00000000">
      <w:pPr>
        <w:spacing w:line="480" w:lineRule="auto"/>
        <w:rPr>
          <w:rFonts w:ascii="Times New Roman" w:hAnsi="Times New Roman" w:cs="Times New Roman"/>
          <w:spacing w:val="8"/>
          <w:kern w:val="0"/>
          <w:sz w:val="22"/>
          <w:szCs w:val="22"/>
          <w:lang w:bidi="ar"/>
        </w:rPr>
      </w:pPr>
      <w:r>
        <w:rPr>
          <w:rFonts w:ascii="Times New Roman" w:hAnsi="Times New Roman" w:cs="Times New Roman"/>
          <w:noProof/>
          <w:spacing w:val="8"/>
          <w:kern w:val="0"/>
          <w:sz w:val="22"/>
          <w:szCs w:val="22"/>
          <w:lang w:bidi="ar"/>
        </w:rPr>
        <w:lastRenderedPageBreak/>
        <w:drawing>
          <wp:inline distT="0" distB="0" distL="0" distR="0" wp14:anchorId="5406DBE8" wp14:editId="262F3B0D">
            <wp:extent cx="5274310" cy="4871720"/>
            <wp:effectExtent l="0" t="0" r="2540" b="5080"/>
            <wp:docPr id="7663816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81668" name="图片 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4871720"/>
                    </a:xfrm>
                    <a:prstGeom prst="rect">
                      <a:avLst/>
                    </a:prstGeom>
                  </pic:spPr>
                </pic:pic>
              </a:graphicData>
            </a:graphic>
          </wp:inline>
        </w:drawing>
      </w:r>
    </w:p>
    <w:p w14:paraId="74CB47A0" w14:textId="12C5A375" w:rsidR="007E727D" w:rsidRDefault="00000000">
      <w:pPr>
        <w:pStyle w:val="Heading2"/>
        <w:rPr>
          <w:b w:val="0"/>
          <w:lang w:bidi="ar"/>
        </w:rPr>
      </w:pPr>
      <w:r>
        <w:rPr>
          <w:rFonts w:hint="eastAsia"/>
          <w:lang w:bidi="ar"/>
        </w:rPr>
        <w:t xml:space="preserve">Figure. S8. </w:t>
      </w:r>
      <w:r>
        <w:rPr>
          <w:rFonts w:hint="eastAsia"/>
          <w:lang w:bidi="ar"/>
        </w:rPr>
        <w:t>α</w:t>
      </w:r>
      <w:r>
        <w:rPr>
          <w:rFonts w:hint="eastAsia"/>
          <w:lang w:bidi="ar"/>
        </w:rPr>
        <w:t>-diversity of CH</w:t>
      </w:r>
      <w:r w:rsidRPr="00D33EEA">
        <w:rPr>
          <w:vertAlign w:val="subscript"/>
          <w:lang w:bidi="ar"/>
        </w:rPr>
        <w:t>4</w:t>
      </w:r>
      <w:r>
        <w:rPr>
          <w:rFonts w:hint="eastAsia"/>
          <w:lang w:bidi="ar"/>
        </w:rPr>
        <w:t>-related microbial communities</w:t>
      </w:r>
      <w:r>
        <w:rPr>
          <w:lang w:bidi="ar"/>
        </w:rPr>
        <w:t xml:space="preserve"> </w:t>
      </w:r>
      <w:r>
        <w:rPr>
          <w:b w:val="0"/>
          <w:szCs w:val="21"/>
        </w:rPr>
        <w:t>under different</w:t>
      </w:r>
      <w:r>
        <w:rPr>
          <w:rFonts w:hint="eastAsia"/>
          <w:b w:val="0"/>
          <w:szCs w:val="21"/>
        </w:rPr>
        <w:t xml:space="preserve"> </w:t>
      </w:r>
      <w:r>
        <w:rPr>
          <w:b w:val="0"/>
          <w:szCs w:val="21"/>
        </w:rPr>
        <w:t>treatment conditions: raw (original samples), Control (0 ng</w:t>
      </w:r>
      <w:r>
        <w:rPr>
          <w:rFonts w:hint="eastAsia"/>
          <w:b w:val="0"/>
          <w:szCs w:val="21"/>
        </w:rPr>
        <w:t>/</w:t>
      </w:r>
      <w:r>
        <w:rPr>
          <w:b w:val="0"/>
          <w:szCs w:val="21"/>
        </w:rPr>
        <w:t>g) and PFOA</w:t>
      </w:r>
      <w:r>
        <w:rPr>
          <w:rFonts w:hint="eastAsia"/>
          <w:b w:val="0"/>
          <w:szCs w:val="21"/>
        </w:rPr>
        <w:t xml:space="preserve"> </w:t>
      </w:r>
      <w:r>
        <w:rPr>
          <w:b w:val="0"/>
          <w:szCs w:val="21"/>
        </w:rPr>
        <w:t>concentrations (2-5000 ng/g)</w:t>
      </w:r>
    </w:p>
    <w:p w14:paraId="3587AC3A" w14:textId="77777777" w:rsidR="007E727D" w:rsidRDefault="00000000">
      <w:pPr>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 xml:space="preserve">A: Chao1 index of methanogenic communities; </w:t>
      </w:r>
    </w:p>
    <w:p w14:paraId="30E70483" w14:textId="77777777" w:rsidR="007E727D" w:rsidRDefault="00000000">
      <w:pPr>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 xml:space="preserve">B: Shannon index of methanogenic communities; </w:t>
      </w:r>
    </w:p>
    <w:p w14:paraId="29A4EE75" w14:textId="77777777" w:rsidR="007E727D" w:rsidRDefault="00000000">
      <w:pPr>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 xml:space="preserve">C: Chao1 index of methanotrophic communities; </w:t>
      </w:r>
    </w:p>
    <w:p w14:paraId="375CC251" w14:textId="77777777" w:rsidR="007E727D" w:rsidRDefault="00000000">
      <w:pPr>
        <w:rPr>
          <w:rFonts w:ascii="Times New Roman" w:hAnsi="Times New Roman" w:cs="Times New Roman"/>
          <w:spacing w:val="8"/>
          <w:kern w:val="0"/>
          <w:sz w:val="22"/>
          <w:szCs w:val="22"/>
          <w:lang w:bidi="ar"/>
        </w:rPr>
      </w:pPr>
      <w:r>
        <w:rPr>
          <w:rFonts w:ascii="Times New Roman" w:hAnsi="Times New Roman" w:cs="Times New Roman"/>
          <w:spacing w:val="8"/>
          <w:kern w:val="0"/>
          <w:sz w:val="22"/>
          <w:szCs w:val="22"/>
          <w:lang w:bidi="ar"/>
        </w:rPr>
        <w:t>D: Shannon index of methanotrophic communities.</w:t>
      </w:r>
    </w:p>
    <w:p w14:paraId="7C975FA9" w14:textId="77777777" w:rsidR="007E727D" w:rsidRDefault="007E727D">
      <w:pPr>
        <w:spacing w:line="480" w:lineRule="auto"/>
        <w:jc w:val="center"/>
        <w:rPr>
          <w:rFonts w:ascii="Times New Roman" w:hAnsi="Times New Roman" w:cs="Times New Roman"/>
          <w:sz w:val="22"/>
          <w:szCs w:val="22"/>
        </w:rPr>
      </w:pPr>
    </w:p>
    <w:p w14:paraId="563DC61D" w14:textId="77777777" w:rsidR="007E727D" w:rsidRDefault="00000000">
      <w:pPr>
        <w:spacing w:line="480" w:lineRule="auto"/>
        <w:jc w:val="center"/>
        <w:rPr>
          <w:rFonts w:ascii="Times New Roman" w:hAnsi="Times New Roman" w:cs="Times New Roman"/>
          <w:sz w:val="22"/>
          <w:szCs w:val="22"/>
        </w:rPr>
      </w:pPr>
      <w:r>
        <w:rPr>
          <w:rFonts w:ascii="Times New Roman" w:hAnsi="Times New Roman" w:cs="Times New Roman" w:hint="eastAsia"/>
          <w:noProof/>
          <w:sz w:val="22"/>
          <w:szCs w:val="22"/>
        </w:rPr>
        <w:lastRenderedPageBreak/>
        <w:drawing>
          <wp:inline distT="0" distB="0" distL="114300" distR="114300" wp14:anchorId="7CF91BDD" wp14:editId="7BAEEBB0">
            <wp:extent cx="5269230" cy="4648200"/>
            <wp:effectExtent l="0" t="0" r="7620" b="0"/>
            <wp:docPr id="9" name="图片 9" descr="mcrApm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mcrApmoA"/>
                    <pic:cNvPicPr>
                      <a:picLocks noChangeAspect="1"/>
                    </pic:cNvPicPr>
                  </pic:nvPicPr>
                  <pic:blipFill>
                    <a:blip r:embed="rId20"/>
                    <a:stretch>
                      <a:fillRect/>
                    </a:stretch>
                  </pic:blipFill>
                  <pic:spPr>
                    <a:xfrm>
                      <a:off x="0" y="0"/>
                      <a:ext cx="5269230" cy="4648200"/>
                    </a:xfrm>
                    <a:prstGeom prst="rect">
                      <a:avLst/>
                    </a:prstGeom>
                  </pic:spPr>
                </pic:pic>
              </a:graphicData>
            </a:graphic>
          </wp:inline>
        </w:drawing>
      </w:r>
    </w:p>
    <w:p w14:paraId="1AE619C8" w14:textId="364E4F07" w:rsidR="007E727D" w:rsidRDefault="00000000">
      <w:pPr>
        <w:pStyle w:val="Heading2"/>
        <w:rPr>
          <w:b w:val="0"/>
          <w:bCs/>
          <w:lang w:bidi="ar"/>
        </w:rPr>
      </w:pPr>
      <w:r>
        <w:rPr>
          <w:rFonts w:hint="eastAsia"/>
          <w:lang w:bidi="ar"/>
        </w:rPr>
        <w:t>Figure. S9. NMDS ordinations of methanogenic</w:t>
      </w:r>
      <w:r>
        <w:rPr>
          <w:lang w:bidi="ar"/>
        </w:rPr>
        <w:t xml:space="preserve"> </w:t>
      </w:r>
      <w:r>
        <w:rPr>
          <w:rFonts w:hint="eastAsia"/>
          <w:lang w:bidi="ar"/>
        </w:rPr>
        <w:t>and methanotrophic</w:t>
      </w:r>
      <w:r>
        <w:rPr>
          <w:lang w:bidi="ar"/>
        </w:rPr>
        <w:t xml:space="preserve"> </w:t>
      </w:r>
      <w:r>
        <w:rPr>
          <w:rFonts w:hint="eastAsia"/>
          <w:lang w:bidi="ar"/>
        </w:rPr>
        <w:t xml:space="preserve">community structures </w:t>
      </w:r>
      <w:r>
        <w:rPr>
          <w:bCs/>
          <w:szCs w:val="21"/>
        </w:rPr>
        <w:t>under different</w:t>
      </w:r>
      <w:r>
        <w:rPr>
          <w:rFonts w:hint="eastAsia"/>
          <w:bCs/>
          <w:szCs w:val="21"/>
        </w:rPr>
        <w:t xml:space="preserve"> </w:t>
      </w:r>
      <w:r>
        <w:rPr>
          <w:bCs/>
          <w:szCs w:val="21"/>
        </w:rPr>
        <w:t>treatment conditions</w:t>
      </w:r>
      <w:r>
        <w:rPr>
          <w:b w:val="0"/>
          <w:szCs w:val="21"/>
        </w:rPr>
        <w:t>: raw (original samples), Control (0 ng</w:t>
      </w:r>
      <w:r>
        <w:rPr>
          <w:rFonts w:hint="eastAsia"/>
          <w:b w:val="0"/>
          <w:szCs w:val="21"/>
        </w:rPr>
        <w:t>/</w:t>
      </w:r>
      <w:r>
        <w:rPr>
          <w:b w:val="0"/>
          <w:szCs w:val="21"/>
        </w:rPr>
        <w:t>g) and PFOA</w:t>
      </w:r>
      <w:r>
        <w:rPr>
          <w:rFonts w:hint="eastAsia"/>
          <w:b w:val="0"/>
          <w:szCs w:val="21"/>
        </w:rPr>
        <w:t xml:space="preserve"> </w:t>
      </w:r>
      <w:r>
        <w:rPr>
          <w:b w:val="0"/>
          <w:szCs w:val="21"/>
        </w:rPr>
        <w:t>concentrations (2-5000 ng/g)</w:t>
      </w:r>
      <w:r>
        <w:rPr>
          <w:rFonts w:hint="eastAsia"/>
          <w:b w:val="0"/>
          <w:bCs/>
          <w:lang w:bidi="ar"/>
        </w:rPr>
        <w:t xml:space="preserve"> and among sediment cores (</w:t>
      </w:r>
      <w:r>
        <w:rPr>
          <w:b w:val="0"/>
          <w:bCs/>
        </w:rPr>
        <w:t>C1-C4).</w:t>
      </w:r>
    </w:p>
    <w:p w14:paraId="0877DFEE" w14:textId="77777777" w:rsidR="007E727D" w:rsidRDefault="00000000">
      <w:pPr>
        <w:rPr>
          <w:rFonts w:ascii="Times New Roman" w:hAnsi="Times New Roman" w:cs="Times New Roman"/>
        </w:rPr>
      </w:pPr>
      <w:r>
        <w:rPr>
          <w:rFonts w:ascii="Times New Roman" w:hAnsi="Times New Roman" w:cs="Times New Roman"/>
        </w:rPr>
        <w:t xml:space="preserve">A: Methanogenic communities grouped by PFOA concentrations; </w:t>
      </w:r>
    </w:p>
    <w:p w14:paraId="79D671DE" w14:textId="77777777" w:rsidR="007E727D" w:rsidRDefault="00000000">
      <w:pPr>
        <w:rPr>
          <w:rFonts w:ascii="Times New Roman" w:hAnsi="Times New Roman" w:cs="Times New Roman"/>
        </w:rPr>
      </w:pPr>
      <w:r>
        <w:rPr>
          <w:rFonts w:ascii="Times New Roman" w:hAnsi="Times New Roman" w:cs="Times New Roman"/>
        </w:rPr>
        <w:t xml:space="preserve">B: Methanogenic communities grouped by sediment cores; </w:t>
      </w:r>
    </w:p>
    <w:p w14:paraId="32DB4BA2" w14:textId="77777777" w:rsidR="007E727D" w:rsidRDefault="00000000">
      <w:pPr>
        <w:rPr>
          <w:rFonts w:ascii="Times New Roman" w:hAnsi="Times New Roman" w:cs="Times New Roman"/>
        </w:rPr>
      </w:pPr>
      <w:r>
        <w:rPr>
          <w:rFonts w:ascii="Times New Roman" w:hAnsi="Times New Roman" w:cs="Times New Roman"/>
        </w:rPr>
        <w:t xml:space="preserve">C: Methanotrophic communities grouped by PFOA concentrations; </w:t>
      </w:r>
    </w:p>
    <w:p w14:paraId="21F1549A" w14:textId="77777777" w:rsidR="007E727D" w:rsidRDefault="00000000">
      <w:pPr>
        <w:rPr>
          <w:rFonts w:ascii="Times New Roman" w:hAnsi="Times New Roman" w:cs="Times New Roman"/>
        </w:rPr>
      </w:pPr>
      <w:r>
        <w:rPr>
          <w:rFonts w:ascii="Times New Roman" w:hAnsi="Times New Roman" w:cs="Times New Roman"/>
        </w:rPr>
        <w:t>D: Methanotrophic communities grouped by sediment cores.</w:t>
      </w:r>
    </w:p>
    <w:p w14:paraId="42476E1D" w14:textId="77777777" w:rsidR="007E727D" w:rsidRDefault="007E727D">
      <w:pPr>
        <w:spacing w:line="360" w:lineRule="auto"/>
        <w:rPr>
          <w:rFonts w:ascii="Times New Roman" w:hAnsi="Times New Roman" w:cs="Times New Roman"/>
          <w:spacing w:val="8"/>
          <w:kern w:val="0"/>
          <w:sz w:val="20"/>
          <w:szCs w:val="20"/>
          <w:lang w:bidi="ar"/>
        </w:rPr>
      </w:pPr>
    </w:p>
    <w:sectPr w:rsidR="007E727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B69DE" w14:textId="77777777" w:rsidR="00662CFD" w:rsidRDefault="00662CFD"/>
  </w:endnote>
  <w:endnote w:type="continuationSeparator" w:id="0">
    <w:p w14:paraId="1F7DD685" w14:textId="77777777" w:rsidR="00662CFD" w:rsidRDefault="00662C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A6CC3" w14:textId="77777777" w:rsidR="00662CFD" w:rsidRDefault="00662CFD"/>
  </w:footnote>
  <w:footnote w:type="continuationSeparator" w:id="0">
    <w:p w14:paraId="5F21C084" w14:textId="77777777" w:rsidR="00662CFD" w:rsidRDefault="00662C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C840A"/>
    <w:multiLevelType w:val="singleLevel"/>
    <w:tmpl w:val="056C840A"/>
    <w:lvl w:ilvl="0">
      <w:start w:val="2"/>
      <w:numFmt w:val="decimal"/>
      <w:suff w:val="space"/>
      <w:lvlText w:val="%1."/>
      <w:lvlJc w:val="left"/>
    </w:lvl>
  </w:abstractNum>
  <w:num w:numId="1" w16cid:durableId="983702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MzMjczMzAxMzA2MzdQ0lEKTi0uzszPAykwqgUALl1PlSwAAAA="/>
    <w:docVar w:name="commondata" w:val="eyJoZGlkIjoiNjgyNDcwMzc0ZTQxNDI5NzY4ZWU0M2EzYjZiMTI4NDgifQ=="/>
  </w:docVars>
  <w:rsids>
    <w:rsidRoot w:val="19F41AC7"/>
    <w:rsid w:val="00037AB8"/>
    <w:rsid w:val="000423C2"/>
    <w:rsid w:val="000A6FAB"/>
    <w:rsid w:val="000C6E9B"/>
    <w:rsid w:val="000E2B8C"/>
    <w:rsid w:val="00123E47"/>
    <w:rsid w:val="00131BE7"/>
    <w:rsid w:val="00164BFC"/>
    <w:rsid w:val="001709E2"/>
    <w:rsid w:val="00172363"/>
    <w:rsid w:val="0017754C"/>
    <w:rsid w:val="00184F2E"/>
    <w:rsid w:val="001E682A"/>
    <w:rsid w:val="002162BC"/>
    <w:rsid w:val="002252BF"/>
    <w:rsid w:val="002273AA"/>
    <w:rsid w:val="00255821"/>
    <w:rsid w:val="00287D3A"/>
    <w:rsid w:val="002A1EA7"/>
    <w:rsid w:val="002E0622"/>
    <w:rsid w:val="00305CE7"/>
    <w:rsid w:val="003133F7"/>
    <w:rsid w:val="00342159"/>
    <w:rsid w:val="003576D3"/>
    <w:rsid w:val="003A0EB5"/>
    <w:rsid w:val="003B71F3"/>
    <w:rsid w:val="003D4442"/>
    <w:rsid w:val="00404B6D"/>
    <w:rsid w:val="00432D75"/>
    <w:rsid w:val="00461E12"/>
    <w:rsid w:val="00484589"/>
    <w:rsid w:val="004E1DA8"/>
    <w:rsid w:val="004F19D7"/>
    <w:rsid w:val="005026C3"/>
    <w:rsid w:val="00510D52"/>
    <w:rsid w:val="00546E14"/>
    <w:rsid w:val="0055443B"/>
    <w:rsid w:val="00564FDC"/>
    <w:rsid w:val="005B0F6A"/>
    <w:rsid w:val="005B2588"/>
    <w:rsid w:val="005C0A5E"/>
    <w:rsid w:val="005C4946"/>
    <w:rsid w:val="005E66BC"/>
    <w:rsid w:val="005F75DA"/>
    <w:rsid w:val="00603A40"/>
    <w:rsid w:val="006059BF"/>
    <w:rsid w:val="00622AE0"/>
    <w:rsid w:val="006322A0"/>
    <w:rsid w:val="00656567"/>
    <w:rsid w:val="00662CFD"/>
    <w:rsid w:val="006B19F2"/>
    <w:rsid w:val="006B3A2F"/>
    <w:rsid w:val="006C2C89"/>
    <w:rsid w:val="0070046D"/>
    <w:rsid w:val="00724480"/>
    <w:rsid w:val="0076449E"/>
    <w:rsid w:val="007900A5"/>
    <w:rsid w:val="007B16E1"/>
    <w:rsid w:val="007E727D"/>
    <w:rsid w:val="00810A02"/>
    <w:rsid w:val="008257AB"/>
    <w:rsid w:val="008344E1"/>
    <w:rsid w:val="00862E88"/>
    <w:rsid w:val="00864931"/>
    <w:rsid w:val="008868DE"/>
    <w:rsid w:val="008B38C6"/>
    <w:rsid w:val="00922142"/>
    <w:rsid w:val="009233D4"/>
    <w:rsid w:val="0093052B"/>
    <w:rsid w:val="0094045F"/>
    <w:rsid w:val="00996803"/>
    <w:rsid w:val="009B2E29"/>
    <w:rsid w:val="009E3505"/>
    <w:rsid w:val="009E7DF9"/>
    <w:rsid w:val="00A153E6"/>
    <w:rsid w:val="00A202A8"/>
    <w:rsid w:val="00A2499B"/>
    <w:rsid w:val="00A33256"/>
    <w:rsid w:val="00A350A1"/>
    <w:rsid w:val="00A41B07"/>
    <w:rsid w:val="00A43C01"/>
    <w:rsid w:val="00A655EF"/>
    <w:rsid w:val="00A85C52"/>
    <w:rsid w:val="00A879B6"/>
    <w:rsid w:val="00A96CA9"/>
    <w:rsid w:val="00AA5C48"/>
    <w:rsid w:val="00AA7AFF"/>
    <w:rsid w:val="00AB1FBE"/>
    <w:rsid w:val="00AD497F"/>
    <w:rsid w:val="00B05589"/>
    <w:rsid w:val="00B0693D"/>
    <w:rsid w:val="00B15B29"/>
    <w:rsid w:val="00B3159C"/>
    <w:rsid w:val="00B433A6"/>
    <w:rsid w:val="00B501D9"/>
    <w:rsid w:val="00B73446"/>
    <w:rsid w:val="00B83485"/>
    <w:rsid w:val="00B90441"/>
    <w:rsid w:val="00BB1E2F"/>
    <w:rsid w:val="00BB3788"/>
    <w:rsid w:val="00BF4262"/>
    <w:rsid w:val="00C04652"/>
    <w:rsid w:val="00C124CF"/>
    <w:rsid w:val="00C17B96"/>
    <w:rsid w:val="00C31DB4"/>
    <w:rsid w:val="00C4438F"/>
    <w:rsid w:val="00C60162"/>
    <w:rsid w:val="00C61278"/>
    <w:rsid w:val="00C6502A"/>
    <w:rsid w:val="00C852A0"/>
    <w:rsid w:val="00C92CEA"/>
    <w:rsid w:val="00CA44CA"/>
    <w:rsid w:val="00CB26FD"/>
    <w:rsid w:val="00CC56FD"/>
    <w:rsid w:val="00CF30E9"/>
    <w:rsid w:val="00D02BAD"/>
    <w:rsid w:val="00D125ED"/>
    <w:rsid w:val="00D31799"/>
    <w:rsid w:val="00D33EEA"/>
    <w:rsid w:val="00DB677F"/>
    <w:rsid w:val="00E1216D"/>
    <w:rsid w:val="00E503F9"/>
    <w:rsid w:val="00E70F49"/>
    <w:rsid w:val="00E83D46"/>
    <w:rsid w:val="00E955AE"/>
    <w:rsid w:val="00E95EAA"/>
    <w:rsid w:val="00ED41CE"/>
    <w:rsid w:val="00F130A3"/>
    <w:rsid w:val="00F13E03"/>
    <w:rsid w:val="00F447AA"/>
    <w:rsid w:val="00F527AE"/>
    <w:rsid w:val="00FC32EC"/>
    <w:rsid w:val="01891B53"/>
    <w:rsid w:val="02375370"/>
    <w:rsid w:val="02546042"/>
    <w:rsid w:val="029307AF"/>
    <w:rsid w:val="02B726F0"/>
    <w:rsid w:val="030671D3"/>
    <w:rsid w:val="03196F07"/>
    <w:rsid w:val="0361265C"/>
    <w:rsid w:val="04001E75"/>
    <w:rsid w:val="043164D2"/>
    <w:rsid w:val="0449381C"/>
    <w:rsid w:val="04F374C7"/>
    <w:rsid w:val="05573D16"/>
    <w:rsid w:val="058B0F58"/>
    <w:rsid w:val="05C23970"/>
    <w:rsid w:val="0610671A"/>
    <w:rsid w:val="06175254"/>
    <w:rsid w:val="06450013"/>
    <w:rsid w:val="06C83B4C"/>
    <w:rsid w:val="0765096C"/>
    <w:rsid w:val="07A70F85"/>
    <w:rsid w:val="07DA5D7D"/>
    <w:rsid w:val="084A1910"/>
    <w:rsid w:val="088272FC"/>
    <w:rsid w:val="08A92ADB"/>
    <w:rsid w:val="08C6006F"/>
    <w:rsid w:val="09AF4121"/>
    <w:rsid w:val="09C556F2"/>
    <w:rsid w:val="09DE0562"/>
    <w:rsid w:val="0A0E0CD4"/>
    <w:rsid w:val="0A6F38B0"/>
    <w:rsid w:val="0A7E1D45"/>
    <w:rsid w:val="0A9F23E7"/>
    <w:rsid w:val="0B6727D9"/>
    <w:rsid w:val="0C1C1A45"/>
    <w:rsid w:val="0C306CDD"/>
    <w:rsid w:val="0C7358DA"/>
    <w:rsid w:val="0CC06645"/>
    <w:rsid w:val="0D1150F2"/>
    <w:rsid w:val="0D46576A"/>
    <w:rsid w:val="0D894C89"/>
    <w:rsid w:val="0E5434E9"/>
    <w:rsid w:val="0E71409B"/>
    <w:rsid w:val="0E796AAB"/>
    <w:rsid w:val="0ED40CCB"/>
    <w:rsid w:val="0EED1247"/>
    <w:rsid w:val="0EF76605"/>
    <w:rsid w:val="0F231C5E"/>
    <w:rsid w:val="0F7D22E5"/>
    <w:rsid w:val="0FFA3C1C"/>
    <w:rsid w:val="0FFD5E0B"/>
    <w:rsid w:val="109C2F25"/>
    <w:rsid w:val="10A2232D"/>
    <w:rsid w:val="10F468BD"/>
    <w:rsid w:val="118075A7"/>
    <w:rsid w:val="11E626AA"/>
    <w:rsid w:val="13516249"/>
    <w:rsid w:val="137454F5"/>
    <w:rsid w:val="13D44784"/>
    <w:rsid w:val="14F014A0"/>
    <w:rsid w:val="15363948"/>
    <w:rsid w:val="16817C95"/>
    <w:rsid w:val="168E50BE"/>
    <w:rsid w:val="169923E1"/>
    <w:rsid w:val="17045380"/>
    <w:rsid w:val="170A6E3A"/>
    <w:rsid w:val="17180EB0"/>
    <w:rsid w:val="1780534F"/>
    <w:rsid w:val="179901BE"/>
    <w:rsid w:val="17C0399D"/>
    <w:rsid w:val="187529D9"/>
    <w:rsid w:val="18811E6E"/>
    <w:rsid w:val="19191C06"/>
    <w:rsid w:val="19235889"/>
    <w:rsid w:val="19306C64"/>
    <w:rsid w:val="19776400"/>
    <w:rsid w:val="19B94B48"/>
    <w:rsid w:val="19E716B5"/>
    <w:rsid w:val="19F41AC7"/>
    <w:rsid w:val="1A19691B"/>
    <w:rsid w:val="1A4729C7"/>
    <w:rsid w:val="1A7C004F"/>
    <w:rsid w:val="1ACF1D10"/>
    <w:rsid w:val="1B527002"/>
    <w:rsid w:val="1B6D488E"/>
    <w:rsid w:val="1BBB7CAD"/>
    <w:rsid w:val="1C202C5C"/>
    <w:rsid w:val="1C387FA6"/>
    <w:rsid w:val="1C4F3541"/>
    <w:rsid w:val="1C6840AB"/>
    <w:rsid w:val="1D0600A4"/>
    <w:rsid w:val="1D332DC8"/>
    <w:rsid w:val="1D5E3A3C"/>
    <w:rsid w:val="1D6825FB"/>
    <w:rsid w:val="1E391DB3"/>
    <w:rsid w:val="1E803E86"/>
    <w:rsid w:val="1E854FF8"/>
    <w:rsid w:val="1E890F8D"/>
    <w:rsid w:val="1ED63AA6"/>
    <w:rsid w:val="1F121C14"/>
    <w:rsid w:val="1FDF0393"/>
    <w:rsid w:val="1FEB3581"/>
    <w:rsid w:val="200A3A07"/>
    <w:rsid w:val="20256A93"/>
    <w:rsid w:val="20F63442"/>
    <w:rsid w:val="218D141D"/>
    <w:rsid w:val="219556B3"/>
    <w:rsid w:val="21957C48"/>
    <w:rsid w:val="21E55FC7"/>
    <w:rsid w:val="237A0EA4"/>
    <w:rsid w:val="237C2E6E"/>
    <w:rsid w:val="23A14683"/>
    <w:rsid w:val="25132A75"/>
    <w:rsid w:val="253258DD"/>
    <w:rsid w:val="256B319A"/>
    <w:rsid w:val="25C74149"/>
    <w:rsid w:val="25C82446"/>
    <w:rsid w:val="25E0427B"/>
    <w:rsid w:val="25FF7D86"/>
    <w:rsid w:val="260D47A4"/>
    <w:rsid w:val="26263565"/>
    <w:rsid w:val="26553968"/>
    <w:rsid w:val="268404BC"/>
    <w:rsid w:val="269609D7"/>
    <w:rsid w:val="26AD25D3"/>
    <w:rsid w:val="26D02F65"/>
    <w:rsid w:val="272C6959"/>
    <w:rsid w:val="27A40BE5"/>
    <w:rsid w:val="27E67AFE"/>
    <w:rsid w:val="282F63C6"/>
    <w:rsid w:val="28C9248A"/>
    <w:rsid w:val="28F12BCC"/>
    <w:rsid w:val="29324F91"/>
    <w:rsid w:val="293E5DCA"/>
    <w:rsid w:val="297840D8"/>
    <w:rsid w:val="299A667D"/>
    <w:rsid w:val="2ADC686D"/>
    <w:rsid w:val="2B2A31B0"/>
    <w:rsid w:val="2B8F5708"/>
    <w:rsid w:val="2BAD5B8F"/>
    <w:rsid w:val="2C1A3224"/>
    <w:rsid w:val="2C251BC9"/>
    <w:rsid w:val="2C273B93"/>
    <w:rsid w:val="2C6B4037"/>
    <w:rsid w:val="2D1138FA"/>
    <w:rsid w:val="2D517119"/>
    <w:rsid w:val="2D8A1297"/>
    <w:rsid w:val="2DC32520"/>
    <w:rsid w:val="2DF126AA"/>
    <w:rsid w:val="2E0C1292"/>
    <w:rsid w:val="2E3771FB"/>
    <w:rsid w:val="2E7F3812"/>
    <w:rsid w:val="2F866E22"/>
    <w:rsid w:val="2FBE648A"/>
    <w:rsid w:val="2FD8767E"/>
    <w:rsid w:val="2FFA017A"/>
    <w:rsid w:val="306F4229"/>
    <w:rsid w:val="30A56449"/>
    <w:rsid w:val="30B4039B"/>
    <w:rsid w:val="31AA6DF8"/>
    <w:rsid w:val="320C7AB3"/>
    <w:rsid w:val="32505363"/>
    <w:rsid w:val="337F31C8"/>
    <w:rsid w:val="33BA52ED"/>
    <w:rsid w:val="34012F1B"/>
    <w:rsid w:val="34480B4A"/>
    <w:rsid w:val="346C2A8B"/>
    <w:rsid w:val="356419B4"/>
    <w:rsid w:val="35647C06"/>
    <w:rsid w:val="35977F67"/>
    <w:rsid w:val="35DA3A24"/>
    <w:rsid w:val="35F05083"/>
    <w:rsid w:val="35F74A58"/>
    <w:rsid w:val="36201D7F"/>
    <w:rsid w:val="36D37351"/>
    <w:rsid w:val="37227431"/>
    <w:rsid w:val="37732382"/>
    <w:rsid w:val="37E56149"/>
    <w:rsid w:val="386817BB"/>
    <w:rsid w:val="38997BC6"/>
    <w:rsid w:val="38C033A5"/>
    <w:rsid w:val="397B6AFE"/>
    <w:rsid w:val="3A6F017D"/>
    <w:rsid w:val="3A886068"/>
    <w:rsid w:val="3A9E3272"/>
    <w:rsid w:val="3AAD5BAB"/>
    <w:rsid w:val="3B807607"/>
    <w:rsid w:val="3BB35830"/>
    <w:rsid w:val="3BBA0580"/>
    <w:rsid w:val="3BDF14CC"/>
    <w:rsid w:val="3C6F136A"/>
    <w:rsid w:val="3D2832C7"/>
    <w:rsid w:val="3D5B3B5C"/>
    <w:rsid w:val="3D69306B"/>
    <w:rsid w:val="3D891EC0"/>
    <w:rsid w:val="3DAE7C70"/>
    <w:rsid w:val="3DBB413B"/>
    <w:rsid w:val="3DED69DB"/>
    <w:rsid w:val="3E30750E"/>
    <w:rsid w:val="3E8105FB"/>
    <w:rsid w:val="3EBC016B"/>
    <w:rsid w:val="3EE6113C"/>
    <w:rsid w:val="3F214472"/>
    <w:rsid w:val="401C5365"/>
    <w:rsid w:val="40420B44"/>
    <w:rsid w:val="40642868"/>
    <w:rsid w:val="407E22C6"/>
    <w:rsid w:val="4081341A"/>
    <w:rsid w:val="40AA2996"/>
    <w:rsid w:val="4103456E"/>
    <w:rsid w:val="41055DF9"/>
    <w:rsid w:val="41234819"/>
    <w:rsid w:val="41354204"/>
    <w:rsid w:val="41434B73"/>
    <w:rsid w:val="416F3BBA"/>
    <w:rsid w:val="41DA15EE"/>
    <w:rsid w:val="42416B41"/>
    <w:rsid w:val="42417CBC"/>
    <w:rsid w:val="43371E77"/>
    <w:rsid w:val="43394480"/>
    <w:rsid w:val="43AD665B"/>
    <w:rsid w:val="43D85A47"/>
    <w:rsid w:val="43F87E97"/>
    <w:rsid w:val="440D4156"/>
    <w:rsid w:val="453727C7"/>
    <w:rsid w:val="4557299B"/>
    <w:rsid w:val="455C4456"/>
    <w:rsid w:val="457E6174"/>
    <w:rsid w:val="458A5D74"/>
    <w:rsid w:val="46341BDB"/>
    <w:rsid w:val="46963997"/>
    <w:rsid w:val="46AC4F69"/>
    <w:rsid w:val="47053842"/>
    <w:rsid w:val="47431AC0"/>
    <w:rsid w:val="48474F49"/>
    <w:rsid w:val="485C742F"/>
    <w:rsid w:val="48C206D1"/>
    <w:rsid w:val="48E1714C"/>
    <w:rsid w:val="49145536"/>
    <w:rsid w:val="49493CCA"/>
    <w:rsid w:val="497E0E3E"/>
    <w:rsid w:val="49887D00"/>
    <w:rsid w:val="4A581AD8"/>
    <w:rsid w:val="4AAE0945"/>
    <w:rsid w:val="4B0557AD"/>
    <w:rsid w:val="4B83098E"/>
    <w:rsid w:val="4BD44D46"/>
    <w:rsid w:val="4C465518"/>
    <w:rsid w:val="4C59349D"/>
    <w:rsid w:val="4CCB6EF7"/>
    <w:rsid w:val="4D003D52"/>
    <w:rsid w:val="4D1A0E7E"/>
    <w:rsid w:val="4D5659DD"/>
    <w:rsid w:val="4E1C0C26"/>
    <w:rsid w:val="4E4168DE"/>
    <w:rsid w:val="4F9F7B2E"/>
    <w:rsid w:val="4FBA24A4"/>
    <w:rsid w:val="4FD23C92"/>
    <w:rsid w:val="4FD25A40"/>
    <w:rsid w:val="50016325"/>
    <w:rsid w:val="50447942"/>
    <w:rsid w:val="507E482E"/>
    <w:rsid w:val="509205B0"/>
    <w:rsid w:val="50D43E40"/>
    <w:rsid w:val="51462888"/>
    <w:rsid w:val="51976CDE"/>
    <w:rsid w:val="51CB6BEB"/>
    <w:rsid w:val="51F07EE3"/>
    <w:rsid w:val="5268443A"/>
    <w:rsid w:val="52C46F5E"/>
    <w:rsid w:val="535765C3"/>
    <w:rsid w:val="538452A3"/>
    <w:rsid w:val="545C7FCE"/>
    <w:rsid w:val="54A0435F"/>
    <w:rsid w:val="54F16968"/>
    <w:rsid w:val="55167559"/>
    <w:rsid w:val="55393E6B"/>
    <w:rsid w:val="55717AA9"/>
    <w:rsid w:val="55801A9A"/>
    <w:rsid w:val="55C7591B"/>
    <w:rsid w:val="55FE58CB"/>
    <w:rsid w:val="560C1580"/>
    <w:rsid w:val="56372AA1"/>
    <w:rsid w:val="57AD28EF"/>
    <w:rsid w:val="57C739B1"/>
    <w:rsid w:val="57E26A3C"/>
    <w:rsid w:val="57E75E01"/>
    <w:rsid w:val="586308D4"/>
    <w:rsid w:val="58BD4DB3"/>
    <w:rsid w:val="58DD0FB2"/>
    <w:rsid w:val="592B4413"/>
    <w:rsid w:val="59CA6C37"/>
    <w:rsid w:val="5A511C57"/>
    <w:rsid w:val="5A820063"/>
    <w:rsid w:val="5A8A2F2B"/>
    <w:rsid w:val="5AA050D8"/>
    <w:rsid w:val="5AA4447D"/>
    <w:rsid w:val="5B5714EF"/>
    <w:rsid w:val="5B804F69"/>
    <w:rsid w:val="5B9C33A6"/>
    <w:rsid w:val="5BA97648"/>
    <w:rsid w:val="5BB52AE4"/>
    <w:rsid w:val="5BC86087"/>
    <w:rsid w:val="5BD70683"/>
    <w:rsid w:val="5BF846A1"/>
    <w:rsid w:val="5C043425"/>
    <w:rsid w:val="5C164F06"/>
    <w:rsid w:val="5C836815"/>
    <w:rsid w:val="5CD96D5E"/>
    <w:rsid w:val="5D041203"/>
    <w:rsid w:val="5DB6074F"/>
    <w:rsid w:val="5DEF3C61"/>
    <w:rsid w:val="5E122B27"/>
    <w:rsid w:val="5E5E1807"/>
    <w:rsid w:val="5E6C52B2"/>
    <w:rsid w:val="5EA336D3"/>
    <w:rsid w:val="5F1514A5"/>
    <w:rsid w:val="5F1A2F60"/>
    <w:rsid w:val="5F3D09FC"/>
    <w:rsid w:val="5F9C7819"/>
    <w:rsid w:val="5FE12603"/>
    <w:rsid w:val="606F2E37"/>
    <w:rsid w:val="60812E5E"/>
    <w:rsid w:val="611A7247"/>
    <w:rsid w:val="6145071A"/>
    <w:rsid w:val="616C7377"/>
    <w:rsid w:val="61870689"/>
    <w:rsid w:val="626B7BBE"/>
    <w:rsid w:val="627806C9"/>
    <w:rsid w:val="63312626"/>
    <w:rsid w:val="636D5D54"/>
    <w:rsid w:val="63D01E3F"/>
    <w:rsid w:val="64265F03"/>
    <w:rsid w:val="64412D3D"/>
    <w:rsid w:val="64836EB1"/>
    <w:rsid w:val="64AC28AC"/>
    <w:rsid w:val="64D67929"/>
    <w:rsid w:val="651D04D7"/>
    <w:rsid w:val="65F04A1A"/>
    <w:rsid w:val="66560D21"/>
    <w:rsid w:val="66EC5990"/>
    <w:rsid w:val="671E1113"/>
    <w:rsid w:val="67C41CBB"/>
    <w:rsid w:val="68111877"/>
    <w:rsid w:val="6865349E"/>
    <w:rsid w:val="6885769C"/>
    <w:rsid w:val="68D0643D"/>
    <w:rsid w:val="690345F1"/>
    <w:rsid w:val="693E5292"/>
    <w:rsid w:val="69540E1C"/>
    <w:rsid w:val="6A010FA4"/>
    <w:rsid w:val="6A5A06B4"/>
    <w:rsid w:val="6A6D03E7"/>
    <w:rsid w:val="6A7C1419"/>
    <w:rsid w:val="6A8676FB"/>
    <w:rsid w:val="6A8F4802"/>
    <w:rsid w:val="6AA8390D"/>
    <w:rsid w:val="6AC43F0F"/>
    <w:rsid w:val="6B480E55"/>
    <w:rsid w:val="6BD21626"/>
    <w:rsid w:val="6BD41279"/>
    <w:rsid w:val="6BE26BB3"/>
    <w:rsid w:val="6BF9053F"/>
    <w:rsid w:val="6C3F4006"/>
    <w:rsid w:val="6C6622DF"/>
    <w:rsid w:val="6D282CEC"/>
    <w:rsid w:val="6D321474"/>
    <w:rsid w:val="6D837F22"/>
    <w:rsid w:val="6E520E8A"/>
    <w:rsid w:val="6E810905"/>
    <w:rsid w:val="6E976A42"/>
    <w:rsid w:val="6EAB3BD4"/>
    <w:rsid w:val="6EE24726"/>
    <w:rsid w:val="6EED1AF7"/>
    <w:rsid w:val="6F1928EC"/>
    <w:rsid w:val="6F2F0361"/>
    <w:rsid w:val="6FB4729C"/>
    <w:rsid w:val="704A2F79"/>
    <w:rsid w:val="707149AA"/>
    <w:rsid w:val="70B51498"/>
    <w:rsid w:val="70F945A3"/>
    <w:rsid w:val="71121CE9"/>
    <w:rsid w:val="7370719A"/>
    <w:rsid w:val="73FB6A64"/>
    <w:rsid w:val="745F4B0A"/>
    <w:rsid w:val="74AA048A"/>
    <w:rsid w:val="752124FA"/>
    <w:rsid w:val="759058D2"/>
    <w:rsid w:val="76870A83"/>
    <w:rsid w:val="76F8372F"/>
    <w:rsid w:val="772D6E8E"/>
    <w:rsid w:val="777032C5"/>
    <w:rsid w:val="77BF5FFA"/>
    <w:rsid w:val="78085BF3"/>
    <w:rsid w:val="782549E8"/>
    <w:rsid w:val="783512AF"/>
    <w:rsid w:val="785A23FA"/>
    <w:rsid w:val="78E51A91"/>
    <w:rsid w:val="78EE48AF"/>
    <w:rsid w:val="78FD327E"/>
    <w:rsid w:val="7ACF47A6"/>
    <w:rsid w:val="7B242D44"/>
    <w:rsid w:val="7B5D0004"/>
    <w:rsid w:val="7BC14128"/>
    <w:rsid w:val="7D311748"/>
    <w:rsid w:val="7D4A6037"/>
    <w:rsid w:val="7D4C0330"/>
    <w:rsid w:val="7D8F646F"/>
    <w:rsid w:val="7DB40D4B"/>
    <w:rsid w:val="7E336C40"/>
    <w:rsid w:val="7EB72EE7"/>
    <w:rsid w:val="7EDA196C"/>
    <w:rsid w:val="7F323556"/>
    <w:rsid w:val="7F9B734D"/>
    <w:rsid w:val="7FA44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D710E"/>
  <w15:docId w15:val="{78DDDB26-DEA7-664C-BF39-2E130F401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Preformatted"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eastAsia="zh-CN"/>
    </w:rPr>
  </w:style>
  <w:style w:type="paragraph" w:styleId="Heading1">
    <w:name w:val="heading 1"/>
    <w:basedOn w:val="Normal"/>
    <w:next w:val="Normal"/>
    <w:autoRedefine/>
    <w:qFormat/>
    <w:pPr>
      <w:keepNext/>
      <w:keepLines/>
      <w:spacing w:before="340" w:after="330" w:line="576" w:lineRule="auto"/>
      <w:outlineLvl w:val="0"/>
    </w:pPr>
    <w:rPr>
      <w:b/>
      <w:kern w:val="44"/>
      <w:sz w:val="44"/>
    </w:rPr>
  </w:style>
  <w:style w:type="paragraph" w:styleId="Heading2">
    <w:name w:val="heading 2"/>
    <w:basedOn w:val="Normal"/>
    <w:next w:val="Normal"/>
    <w:autoRedefine/>
    <w:unhideWhenUsed/>
    <w:qFormat/>
    <w:pPr>
      <w:keepNext/>
      <w:keepLines/>
      <w:spacing w:beforeLines="50" w:before="156" w:afterLines="50" w:after="156"/>
      <w:outlineLvl w:val="1"/>
    </w:pPr>
    <w:rPr>
      <w:rFonts w:ascii="Times New Roman" w:eastAsia="SimHei" w:hAnsi="Times New Roman" w:cs="Times New Roman"/>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autoRedefine/>
    <w:qFormat/>
    <w:pPr>
      <w:jc w:val="left"/>
    </w:pPr>
  </w:style>
  <w:style w:type="paragraph" w:styleId="Footer">
    <w:name w:val="footer"/>
    <w:basedOn w:val="Normal"/>
    <w:link w:val="FooterChar"/>
    <w:autoRedefine/>
    <w:qFormat/>
    <w:pPr>
      <w:tabs>
        <w:tab w:val="center" w:pos="4153"/>
        <w:tab w:val="right" w:pos="8306"/>
      </w:tabs>
      <w:snapToGrid w:val="0"/>
      <w:jc w:val="left"/>
    </w:pPr>
    <w:rPr>
      <w:sz w:val="18"/>
      <w:szCs w:val="18"/>
    </w:rPr>
  </w:style>
  <w:style w:type="paragraph" w:styleId="Header">
    <w:name w:val="header"/>
    <w:basedOn w:val="Normal"/>
    <w:link w:val="HeaderChar"/>
    <w:autoRedefine/>
    <w:qFormat/>
    <w:pPr>
      <w:tabs>
        <w:tab w:val="center" w:pos="4153"/>
        <w:tab w:val="right" w:pos="8306"/>
      </w:tabs>
      <w:snapToGrid w:val="0"/>
      <w:jc w:val="center"/>
    </w:pPr>
    <w:rPr>
      <w:sz w:val="18"/>
      <w:szCs w:val="18"/>
    </w:rPr>
  </w:style>
  <w:style w:type="paragraph" w:styleId="HTMLPreformatted">
    <w:name w:val="HTML Preformatted"/>
    <w:basedOn w:val="Normal"/>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cs="SimSun"/>
      <w:kern w:val="0"/>
      <w:sz w:val="24"/>
    </w:rPr>
  </w:style>
  <w:style w:type="paragraph" w:styleId="NormalWeb">
    <w:name w:val="Normal (Web)"/>
    <w:basedOn w:val="Normal"/>
    <w:uiPriority w:val="99"/>
    <w:qFormat/>
    <w:pPr>
      <w:spacing w:beforeAutospacing="1" w:afterAutospacing="1"/>
      <w:jc w:val="left"/>
    </w:pPr>
    <w:rPr>
      <w:rFonts w:cs="Times New Roman"/>
      <w:kern w:val="0"/>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Hyperlink">
    <w:name w:val="Hyperlink"/>
    <w:basedOn w:val="DefaultParagraphFont"/>
    <w:autoRedefine/>
    <w:qFormat/>
    <w:rPr>
      <w:color w:val="0000FF"/>
      <w:u w:val="single"/>
    </w:rPr>
  </w:style>
  <w:style w:type="character" w:styleId="CommentReference">
    <w:name w:val="annotation reference"/>
    <w:basedOn w:val="DefaultParagraphFont"/>
    <w:qFormat/>
    <w:rPr>
      <w:sz w:val="21"/>
      <w:szCs w:val="21"/>
    </w:rPr>
  </w:style>
  <w:style w:type="paragraph" w:styleId="ListParagraph">
    <w:name w:val="List Paragraph"/>
    <w:basedOn w:val="Normal"/>
    <w:autoRedefine/>
    <w:uiPriority w:val="99"/>
    <w:unhideWhenUsed/>
    <w:qFormat/>
    <w:pPr>
      <w:ind w:firstLineChars="200" w:firstLine="420"/>
    </w:pPr>
  </w:style>
  <w:style w:type="character" w:customStyle="1" w:styleId="HeaderChar">
    <w:name w:val="Header Char"/>
    <w:basedOn w:val="DefaultParagraphFont"/>
    <w:link w:val="Header"/>
    <w:autoRedefine/>
    <w:qFormat/>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autoRedefine/>
    <w:qFormat/>
    <w:rPr>
      <w:rFonts w:asciiTheme="minorHAnsi" w:eastAsiaTheme="minorEastAsia" w:hAnsiTheme="minorHAnsi" w:cstheme="minorBidi"/>
      <w:kern w:val="2"/>
      <w:sz w:val="18"/>
      <w:szCs w:val="18"/>
    </w:rPr>
  </w:style>
  <w:style w:type="paragraph" w:customStyle="1" w:styleId="a">
    <w:name w:val="图表内容"/>
    <w:basedOn w:val="Normal"/>
    <w:qFormat/>
    <w:pPr>
      <w:spacing w:line="120" w:lineRule="auto"/>
      <w:jc w:val="center"/>
    </w:pPr>
    <w:rPr>
      <w:b/>
    </w:rPr>
  </w:style>
  <w:style w:type="paragraph" w:customStyle="1" w:styleId="1">
    <w:name w:val="书目1"/>
    <w:basedOn w:val="Normal"/>
    <w:next w:val="Normal"/>
    <w:uiPriority w:val="37"/>
    <w:unhideWhenUsed/>
    <w:qFormat/>
  </w:style>
  <w:style w:type="paragraph" w:customStyle="1" w:styleId="10">
    <w:name w:val="修订1"/>
    <w:hidden/>
    <w:uiPriority w:val="99"/>
    <w:unhideWhenUsed/>
    <w:qFormat/>
    <w:rPr>
      <w:rFonts w:asciiTheme="minorHAnsi" w:eastAsiaTheme="minorEastAsia" w:hAnsiTheme="minorHAnsi" w:cstheme="minorBidi"/>
      <w:kern w:val="2"/>
      <w:sz w:val="21"/>
      <w:szCs w:val="24"/>
      <w:lang w:eastAsia="zh-CN"/>
    </w:rPr>
  </w:style>
  <w:style w:type="paragraph" w:customStyle="1" w:styleId="Revision1">
    <w:name w:val="Revision1"/>
    <w:hidden/>
    <w:uiPriority w:val="99"/>
    <w:unhideWhenUsed/>
    <w:qFormat/>
    <w:rPr>
      <w:rFonts w:asciiTheme="minorHAnsi" w:eastAsiaTheme="minorEastAsia" w:hAnsiTheme="minorHAnsi" w:cstheme="minorBidi"/>
      <w:kern w:val="2"/>
      <w:sz w:val="21"/>
      <w:szCs w:val="24"/>
      <w:lang w:eastAsia="zh-CN"/>
    </w:rPr>
  </w:style>
  <w:style w:type="paragraph" w:customStyle="1" w:styleId="2">
    <w:name w:val="修订2"/>
    <w:hidden/>
    <w:uiPriority w:val="99"/>
    <w:unhideWhenUsed/>
    <w:qFormat/>
    <w:rPr>
      <w:rFonts w:asciiTheme="minorHAnsi" w:eastAsiaTheme="minorEastAsia" w:hAnsiTheme="minorHAnsi" w:cstheme="minorBidi"/>
      <w:kern w:val="2"/>
      <w:sz w:val="21"/>
      <w:szCs w:val="24"/>
      <w:lang w:eastAsia="zh-CN"/>
    </w:rPr>
  </w:style>
  <w:style w:type="paragraph" w:customStyle="1" w:styleId="20">
    <w:name w:val="书目2"/>
    <w:basedOn w:val="Normal"/>
    <w:next w:val="Normal"/>
    <w:uiPriority w:val="37"/>
    <w:unhideWhenUsed/>
    <w:qFormat/>
  </w:style>
  <w:style w:type="paragraph" w:customStyle="1" w:styleId="Bibliography1">
    <w:name w:val="Bibliography1"/>
    <w:basedOn w:val="Normal"/>
    <w:next w:val="Normal"/>
    <w:uiPriority w:val="37"/>
    <w:unhideWhenUsed/>
    <w:qFormat/>
  </w:style>
  <w:style w:type="paragraph" w:customStyle="1" w:styleId="Revision2">
    <w:name w:val="Revision2"/>
    <w:hidden/>
    <w:uiPriority w:val="99"/>
    <w:unhideWhenUsed/>
    <w:qFormat/>
    <w:rPr>
      <w:rFonts w:asciiTheme="minorHAnsi" w:eastAsiaTheme="minorEastAsia" w:hAnsiTheme="minorHAnsi" w:cstheme="minorBidi"/>
      <w:kern w:val="2"/>
      <w:sz w:val="21"/>
      <w:szCs w:val="24"/>
      <w:lang w:eastAsia="zh-CN"/>
    </w:rPr>
  </w:style>
  <w:style w:type="paragraph" w:customStyle="1" w:styleId="Revision3">
    <w:name w:val="Revision3"/>
    <w:hidden/>
    <w:uiPriority w:val="99"/>
    <w:unhideWhenUsed/>
    <w:qFormat/>
    <w:rPr>
      <w:rFonts w:asciiTheme="minorHAnsi" w:eastAsiaTheme="minorEastAsia" w:hAnsiTheme="minorHAnsi" w:cstheme="minorBidi"/>
      <w:kern w:val="2"/>
      <w:sz w:val="21"/>
      <w:szCs w:val="24"/>
      <w:lang w:eastAsia="zh-CN"/>
    </w:rPr>
  </w:style>
  <w:style w:type="paragraph" w:styleId="Revision">
    <w:name w:val="Revision"/>
    <w:hidden/>
    <w:uiPriority w:val="99"/>
    <w:unhideWhenUsed/>
    <w:rsid w:val="00D33EEA"/>
    <w:rPr>
      <w:rFonts w:asciiTheme="minorHAnsi" w:eastAsiaTheme="minorEastAsia" w:hAnsiTheme="minorHAnsi" w:cstheme="minorBidi"/>
      <w:kern w:val="2"/>
      <w:sz w:val="21"/>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jpeg"/><Relationship Id="rId18" Type="http://schemas.openxmlformats.org/officeDocument/2006/relationships/image" Target="media/image9.tif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2.wmf"/><Relationship Id="rId19" Type="http://schemas.openxmlformats.org/officeDocument/2006/relationships/image" Target="media/image10.tif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BD6DF-E055-4F08-A60C-DB1FE7AD2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7695</Words>
  <Characters>43866</Characters>
  <Application>Microsoft Office Word</Application>
  <DocSecurity>0</DocSecurity>
  <Lines>365</Lines>
  <Paragraphs>102</Paragraphs>
  <ScaleCrop>false</ScaleCrop>
  <Company/>
  <LinksUpToDate>false</LinksUpToDate>
  <CharactersWithSpaces>51459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言妹子</dc:creator>
  <cp:lastModifiedBy>Alexander Eiler</cp:lastModifiedBy>
  <cp:revision>5</cp:revision>
  <dcterms:created xsi:type="dcterms:W3CDTF">2026-03-25T14:19:00Z</dcterms:created>
  <dcterms:modified xsi:type="dcterms:W3CDTF">2026-07-24T14:54:00Z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39BA01DBB9224406B36BEEBCA59DFCD1_11</vt:lpwstr>
  </property>
  <property fmtid="{D5CDD505-2E9C-101B-9397-08002B2CF9AE}" pid="4" name="MTWinEqns">
    <vt:bool>true</vt:bool>
  </property>
  <property fmtid="{D5CDD505-2E9C-101B-9397-08002B2CF9AE}" pid="5" name="KSOTemplateDocerSaveRecord">
    <vt:lpwstr>eyJoZGlkIjoiYzc0ZTlkMmQ4YmFjODJiY2YzMGEwODc2ZjNlNjMwOWIiLCJ1c2VySWQiOiIxMDI4NzAwMTIzIn0=</vt:lpwstr>
  </property>
  <property fmtid="{D5CDD505-2E9C-101B-9397-08002B2CF9AE}" pid="6" name="ZOTERO_PREF_1">
    <vt:lpwstr>&lt;data data-version="3" zotero-version="8.0.4"&gt;&lt;session id="7PBxhaLi"/&gt;&lt;style id="http://www.zotero.org/styles/elsevier-vancouver-author-date" hasBibliography="1" bibliographyStyleHasBeenSet="1"/&gt;&lt;prefs&gt;&lt;pref name="fieldType" value="Field"/&gt;&lt;/prefs&gt;&lt;/data&gt;</vt:lpwstr>
  </property>
</Properties>
</file>