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4F0000">
      <w:pPr>
        <w:spacing w:after="0"/>
        <w:rPr>
          <w:rFonts w:hint="default"/>
          <w:b/>
          <w:bCs/>
          <w:sz w:val="24"/>
          <w:szCs w:val="24"/>
          <w:highlight w:val="none"/>
        </w:rPr>
      </w:pPr>
      <w:r>
        <w:rPr>
          <w:rFonts w:hint="default"/>
          <w:b/>
          <w:bCs/>
          <w:sz w:val="24"/>
          <w:szCs w:val="24"/>
          <w:highlight w:val="none"/>
        </w:rPr>
        <w:t>Table 1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default"/>
          <w:b/>
          <w:bCs/>
          <w:sz w:val="24"/>
          <w:szCs w:val="24"/>
          <w:highlight w:val="none"/>
        </w:rPr>
        <w:t xml:space="preserve"> 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Clinical timeline of the case</w:t>
      </w:r>
      <w:r>
        <w:rPr>
          <w:rFonts w:hint="default"/>
          <w:b/>
          <w:bCs/>
          <w:sz w:val="24"/>
          <w:szCs w:val="24"/>
          <w:highlight w:val="none"/>
        </w:rPr>
        <w:t xml:space="preserve">.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4802"/>
      </w:tblGrid>
      <w:tr w14:paraId="71AF8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23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E1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>Time</w:t>
            </w:r>
          </w:p>
        </w:tc>
        <w:tc>
          <w:tcPr>
            <w:tcW w:w="72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40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>Clinical event</w:t>
            </w:r>
          </w:p>
        </w:tc>
      </w:tr>
      <w:tr w14:paraId="38722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single" w:color="auto" w:sz="12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65A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9 years before admission</w:t>
            </w:r>
          </w:p>
        </w:tc>
        <w:tc>
          <w:tcPr>
            <w:tcW w:w="7200" w:type="dxa"/>
            <w:tcBorders>
              <w:top w:val="single" w:color="auto" w:sz="12" w:space="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418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Hypertension diagnosed (159/90 mmHg); irbesartan and metoprolol prescribed.</w:t>
            </w:r>
          </w:p>
        </w:tc>
      </w:tr>
      <w:tr w14:paraId="73A9C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56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7 years before admission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0B7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Post-micturition hypertensive paroxysms began, initially occurring approximately once every 2 weeks.</w:t>
            </w:r>
          </w:p>
        </w:tc>
      </w:tr>
      <w:tr w14:paraId="75A4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1A7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2 years before admission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47D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Borderline plasma normetanephrine elevation; positive upright ARR; adrenal MRI abnormalities; bladder ultrasonography negative.</w:t>
            </w:r>
          </w:p>
        </w:tc>
      </w:tr>
      <w:tr w14:paraId="1B99A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3A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1 year before admission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2D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Repeat upright ARR was positive; a prior 25-mg captopril challenge test did not meet the local positive criterion, and planned retesting was not completed.</w:t>
            </w:r>
          </w:p>
        </w:tc>
      </w:tr>
      <w:tr w14:paraId="7997B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63E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1 month before admission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8E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Two to three daily post-micturition attacks with headache, palpitations, chest symptoms, diaphoresis, and pallor.</w:t>
            </w:r>
          </w:p>
        </w:tc>
      </w:tr>
      <w:tr w14:paraId="5BBDC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5F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Index admission</w:t>
            </w:r>
          </w:p>
        </w:tc>
        <w:tc>
          <w:tcPr>
            <w:tcW w:w="72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CD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Trigger-synchronized catecholamine sampling, CTA, iodine-123 metaiodobenzylguanidine (</w:t>
            </w:r>
            <w:r>
              <w:rPr>
                <w:rFonts w:hint="eastAsia"/>
                <w:sz w:val="21"/>
                <w:szCs w:val="21"/>
                <w:vertAlign w:val="superscript"/>
              </w:rPr>
              <w:t>123</w:t>
            </w:r>
            <w:r>
              <w:rPr>
                <w:rFonts w:hint="eastAsia"/>
                <w:sz w:val="21"/>
                <w:szCs w:val="21"/>
              </w:rPr>
              <w:t>I-MIBG) scintigraphy, PA confirmatory testing, AVS, and genetic testing were completed.</w:t>
            </w:r>
          </w:p>
        </w:tc>
      </w:tr>
      <w:tr w14:paraId="799B8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0B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During hospitalization</w:t>
            </w:r>
          </w:p>
        </w:tc>
        <w:tc>
          <w:tcPr>
            <w:tcW w:w="7200" w:type="dxa"/>
            <w:tcBorders>
              <w:bottom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AD3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Transurethral thulium laser tumor enucleation; pathology confirmed BPG; PA treated medically.</w:t>
            </w:r>
          </w:p>
        </w:tc>
      </w:tr>
      <w:tr w14:paraId="3B589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4A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Approximately 3 months after surgery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7A5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1"/>
                <w:szCs w:val="21"/>
              </w:rPr>
            </w:pPr>
            <w:r>
              <w:rPr>
                <w:rFonts w:hint="eastAsia"/>
              </w:rPr>
              <w:t>No recurrent attacks; blood pressure approximately 110/80 mmHg during spironolactone 20 mg/day; postoperative catecholamine-related measurements within reference ranges.</w:t>
            </w:r>
          </w:p>
        </w:tc>
      </w:tr>
      <w:tr w14:paraId="681EE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2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E3C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After spironolactone withdrawal for approximately 2 months</w:t>
            </w:r>
          </w:p>
        </w:tc>
        <w:tc>
          <w:tcPr>
            <w:tcW w:w="7200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D91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</w:pPr>
            <w:r>
              <w:rPr>
                <w:rFonts w:hint="eastAsia"/>
              </w:rPr>
              <w:t xml:space="preserve">The aldosterone concentration was 11.0 ng/dL and the direct renin concentration was 1.4 μIU/mL, yielding an ARR of 7.9, which remained above the local positive cutoff of </w:t>
            </w:r>
            <w:r>
              <w:rPr>
                <w:rFonts w:hint="eastAsia"/>
                <w:lang w:val="en-US" w:eastAsia="zh-CN"/>
              </w:rPr>
              <w:t>2.0</w:t>
            </w:r>
            <w:r>
              <w:rPr>
                <w:rFonts w:hint="eastAsia"/>
              </w:rPr>
              <w:t>. Continued evaluation for PA was therefore planned.</w:t>
            </w:r>
          </w:p>
        </w:tc>
      </w:tr>
    </w:tbl>
    <w:p w14:paraId="01F2A56E"/>
    <w:p w14:paraId="6ED52A07"/>
    <w:p w14:paraId="6DA0F2FC">
      <w:r>
        <w:br w:type="page"/>
      </w:r>
    </w:p>
    <w:p w14:paraId="72667265">
      <w:pPr>
        <w:spacing w:after="0"/>
        <w:rPr>
          <w:rFonts w:hint="default"/>
          <w:b/>
          <w:bCs/>
          <w:sz w:val="24"/>
          <w:szCs w:val="24"/>
          <w:highlight w:val="none"/>
          <w:lang w:val="en-US" w:eastAsia="en-US"/>
        </w:rPr>
      </w:pPr>
      <w:r>
        <w:rPr>
          <w:rFonts w:hint="default"/>
          <w:b/>
          <w:bCs/>
          <w:sz w:val="24"/>
          <w:szCs w:val="24"/>
          <w:highlight w:val="none"/>
        </w:rPr>
        <w:t>Table 2. Serial catecholamine and metanephrine assessments</w:t>
      </w:r>
    </w:p>
    <w:p w14:paraId="596628F9">
      <w:pPr>
        <w:spacing w:after="0"/>
        <w:rPr>
          <w:rFonts w:hint="default"/>
          <w:b/>
          <w:bCs/>
          <w:sz w:val="24"/>
          <w:szCs w:val="24"/>
          <w:highlight w:val="none"/>
        </w:rPr>
      </w:pPr>
      <w:r>
        <w:rPr>
          <w:rFonts w:hint="default"/>
          <w:b/>
          <w:bCs/>
          <w:sz w:val="24"/>
          <w:szCs w:val="24"/>
          <w:highlight w:val="none"/>
        </w:rPr>
        <w:t>Panel A. Plasma measurements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1199"/>
        <w:gridCol w:w="1763"/>
        <w:gridCol w:w="1549"/>
        <w:gridCol w:w="1763"/>
        <w:gridCol w:w="1763"/>
      </w:tblGrid>
      <w:tr w14:paraId="146F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blHeader/>
          <w:jc w:val="center"/>
        </w:trPr>
        <w:tc>
          <w:tcPr>
            <w:tcW w:w="8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BBB7B7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543CD72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Admission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baseline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8F2A535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Post-micturition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assessment 1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E5DCB1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Non-triggered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repeat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20F0BD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Post-micturition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assessment 2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F92F18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Post-micturition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assessment 3</w:t>
            </w:r>
          </w:p>
        </w:tc>
      </w:tr>
      <w:tr w14:paraId="0E998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833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A03F7B8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Sampling context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88E961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Routine inpatient</w:t>
            </w: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 xml:space="preserve"> (upright)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2300CF7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Immediately after micturition</w:t>
            </w:r>
            <w:r>
              <w:rPr>
                <w:rFonts w:hint="eastAsia" w:cs="Times New Roman"/>
                <w:b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supine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C7FBB8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Routine repeat</w:t>
            </w:r>
            <w:r>
              <w:rPr>
                <w:rFonts w:ascii="Times New Roman" w:hAnsi="Times New Roman" w:eastAsia="Times New Roman"/>
                <w:b w:val="0"/>
                <w:sz w:val="24"/>
                <w:szCs w:val="24"/>
              </w:rPr>
              <w:t xml:space="preserve"> (upright)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34469F">
            <w:pPr>
              <w:spacing w:before="0" w:after="0" w:line="480" w:lineRule="auto"/>
              <w:jc w:val="center"/>
              <w:rPr>
                <w:rFonts w:hint="eastAsia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Immediately after micturition</w:t>
            </w:r>
            <w:r>
              <w:rPr>
                <w:rFonts w:hint="eastAsia" w:cs="Times New Roman"/>
                <w:b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supine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cs="Times New Roman"/>
                <w:b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33" w:type="pct"/>
            <w:tcBorders>
              <w:top w:val="single" w:color="auto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F771074">
            <w:pPr>
              <w:spacing w:before="0" w:after="0" w:line="480" w:lineRule="auto"/>
              <w:jc w:val="center"/>
              <w:rPr>
                <w:rFonts w:hint="defaul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Immediately after micturition</w:t>
            </w:r>
            <w:r>
              <w:rPr>
                <w:rFonts w:hint="eastAsia" w:cs="Times New Roman"/>
                <w:b w:val="0"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supine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)</w:t>
            </w:r>
          </w:p>
        </w:tc>
      </w:tr>
      <w:tr w14:paraId="32E93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BA7B5FD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Blood pressure (mmHg)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DC0A10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133/86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3BB7003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176/98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256B25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—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7C5F5C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140/99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52BB22F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167/95</w:t>
            </w:r>
          </w:p>
        </w:tc>
      </w:tr>
      <w:tr w14:paraId="4F9C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B20824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DA (pg/mL)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76E4A1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&lt;25.0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DAC7A7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&lt;25.0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91E0E03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&lt;25.0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F49D76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&lt;25.0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DBE502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&lt;25.0</w:t>
            </w:r>
          </w:p>
        </w:tc>
      </w:tr>
      <w:tr w14:paraId="4AAA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604D62F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E (pg/mL)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92E5BBB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&lt;50.0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C5950B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&lt;50.0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C88B809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&lt;50.0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449B024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73.8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1739A3E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54.8</w:t>
            </w:r>
          </w:p>
        </w:tc>
      </w:tr>
      <w:tr w14:paraId="6C7E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F544A92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NE (pg/mL)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24A9D5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459.4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AA74CEE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868.8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BF7B0BB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323.7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7591355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366.3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D31949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1529.0</w:t>
            </w:r>
          </w:p>
        </w:tc>
      </w:tr>
      <w:tr w14:paraId="60E42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46C5CE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MN (pg/mL)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FE3C1E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38.7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59549B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29.8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CAD930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39.9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DA79ADC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48.8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5570CF8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36.9</w:t>
            </w:r>
          </w:p>
        </w:tc>
      </w:tr>
      <w:tr w14:paraId="3798E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66077A0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NMN (pg/mL)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E379101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272.2*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0F3EB45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120.3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0EA86E6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223.4*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0A915EE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245.1*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A91B89F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300.5*</w:t>
            </w:r>
          </w:p>
        </w:tc>
      </w:tr>
      <w:tr w14:paraId="69775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8D678C9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3-MT (pg/mL)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EB2B33F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&lt;10.0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279CB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&lt;10.0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C835BD5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&lt;10.0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8A0D1C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&lt;10.0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4F9FBE9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&lt;10.0</w:t>
            </w:r>
          </w:p>
        </w:tc>
      </w:tr>
    </w:tbl>
    <w:p w14:paraId="42C91AA3">
      <w:pPr>
        <w:spacing w:before="0" w:after="0" w:line="480" w:lineRule="auto"/>
        <w:rPr>
          <w:rFonts w:ascii="Times New Roman" w:hAnsi="Times New Roman" w:eastAsia="宋体" w:cs="Times New Roman"/>
          <w:b/>
          <w:sz w:val="24"/>
          <w:szCs w:val="24"/>
        </w:rPr>
      </w:pPr>
    </w:p>
    <w:p w14:paraId="134D4D45">
      <w:pPr>
        <w:spacing w:before="0" w:after="0" w:line="480" w:lineRule="auto"/>
        <w:rPr>
          <w:rFonts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Panel B. Twenty-four-hour urinary measurements</w:t>
      </w: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3044"/>
        <w:gridCol w:w="3045"/>
      </w:tblGrid>
      <w:tr w14:paraId="0A59D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5724CA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66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9D6BAC3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Admission collection</w:t>
            </w:r>
          </w:p>
        </w:tc>
        <w:tc>
          <w:tcPr>
            <w:tcW w:w="166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 w:themeFill="background1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3B3785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Collection including micturition-related episodes</w:t>
            </w:r>
          </w:p>
        </w:tc>
      </w:tr>
      <w:tr w14:paraId="5910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single" w:color="000000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80AB716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Urine volume (mL/24 h)</w:t>
            </w:r>
          </w:p>
        </w:tc>
        <w:tc>
          <w:tcPr>
            <w:tcW w:w="1666" w:type="pct"/>
            <w:tcBorders>
              <w:top w:val="single" w:color="000000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C4293C1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2300</w:t>
            </w:r>
          </w:p>
        </w:tc>
        <w:tc>
          <w:tcPr>
            <w:tcW w:w="1666" w:type="pct"/>
            <w:tcBorders>
              <w:top w:val="single" w:color="000000" w:sz="12" w:space="0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6D18AF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3530</w:t>
            </w:r>
          </w:p>
        </w:tc>
      </w:tr>
      <w:tr w14:paraId="35CB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D11538A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DA (μg/24 h)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1DB3FDD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307.0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DCD76BF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444.0*</w:t>
            </w:r>
          </w:p>
        </w:tc>
      </w:tr>
      <w:tr w14:paraId="12864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51EABF11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E (μg/24 h)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5DEED2C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6.4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95BA55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10.5</w:t>
            </w:r>
          </w:p>
        </w:tc>
      </w:tr>
      <w:tr w14:paraId="4395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A8D3FF7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NE (μg/24 h)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D8D53E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37.2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26E698F7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49.9</w:t>
            </w:r>
          </w:p>
        </w:tc>
      </w:tr>
      <w:tr w14:paraId="545E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9CDF2EC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MN (μg/24 h)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764DE0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24.3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C406299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30.8</w:t>
            </w:r>
          </w:p>
        </w:tc>
      </w:tr>
      <w:tr w14:paraId="1E06D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F9CFADB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NMN (μg/24 h)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6DEDC41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73.7*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CF4A998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97.1*</w:t>
            </w:r>
          </w:p>
        </w:tc>
      </w:tr>
      <w:tr w14:paraId="500BC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66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DC34301">
            <w:pPr>
              <w:spacing w:before="0" w:after="0" w:line="48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3-MT (μg/24 h)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2B0E9D1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24.4</w:t>
            </w:r>
          </w:p>
        </w:tc>
        <w:tc>
          <w:tcPr>
            <w:tcW w:w="1666" w:type="pct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09E6C2F">
            <w:pPr>
              <w:spacing w:before="0" w:after="0" w:line="48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sz w:val="24"/>
                <w:szCs w:val="24"/>
              </w:rPr>
              <w:t>27.8</w:t>
            </w:r>
          </w:p>
        </w:tc>
      </w:tr>
    </w:tbl>
    <w:p w14:paraId="27010938">
      <w:pPr>
        <w:spacing w:before="0" w:after="0" w:line="480" w:lineRule="auto"/>
        <w:rPr>
          <w:sz w:val="21"/>
          <w:szCs w:val="21"/>
        </w:rPr>
      </w:pPr>
      <w:r>
        <w:rPr>
          <w:rFonts w:ascii="Times New Roman" w:hAnsi="Times New Roman" w:eastAsia="Times New Roman"/>
          <w:b w:val="0"/>
          <w:sz w:val="21"/>
          <w:szCs w:val="21"/>
        </w:rPr>
        <w:t>* Above the laboratory reference limit.</w:t>
      </w:r>
    </w:p>
    <w:p w14:paraId="05C1004A">
      <w:pPr>
        <w:spacing w:before="0" w:after="0" w:line="480" w:lineRule="auto"/>
        <w:rPr>
          <w:sz w:val="21"/>
          <w:szCs w:val="21"/>
        </w:rPr>
      </w:pPr>
      <w:r>
        <w:rPr>
          <w:rFonts w:ascii="Times New Roman" w:hAnsi="Times New Roman" w:eastAsia="Times New Roman"/>
          <w:b w:val="0"/>
          <w:sz w:val="21"/>
          <w:szCs w:val="21"/>
        </w:rPr>
        <w:t>Plasma reference limits: DA &lt;30 pg/mL; E &lt;110 pg/mL (supine) or &lt;140 pg/mL (upright); NE &lt;750 pg/mL (supine) or &lt;1700 pg/mL (upright); MN &lt;100 pg/mL; NMN &lt;162 pg/mL; and 3-MT &lt;17 pg/mL.</w:t>
      </w:r>
    </w:p>
    <w:p w14:paraId="2FB98BF8">
      <w:pPr>
        <w:spacing w:before="0" w:after="0" w:line="480" w:lineRule="auto"/>
        <w:rPr>
          <w:rFonts w:ascii="Times New Roman" w:hAnsi="Times New Roman" w:eastAsia="Times New Roman"/>
          <w:b w:val="0"/>
          <w:sz w:val="21"/>
          <w:szCs w:val="21"/>
        </w:rPr>
      </w:pPr>
      <w:r>
        <w:rPr>
          <w:rFonts w:ascii="Times New Roman" w:hAnsi="Times New Roman" w:eastAsia="Times New Roman"/>
          <w:b w:val="0"/>
          <w:sz w:val="21"/>
          <w:szCs w:val="21"/>
        </w:rPr>
        <w:t>Urinary reference ranges: DA 0–400 μg/24 h; E 0–20 μg/24 h; NE 0–80 μg/24 h; MN &lt;42.5 μg/24 h; NMN &lt;57.1 μg/24 h; and 3-MT &lt;63.8 μg/24 h.</w:t>
      </w:r>
    </w:p>
    <w:p w14:paraId="5B5CFBA9">
      <w:pPr>
        <w:spacing w:before="0" w:after="0" w:line="480" w:lineRule="auto"/>
        <w:jc w:val="both"/>
        <w:rPr>
          <w:sz w:val="21"/>
          <w:szCs w:val="21"/>
        </w:rPr>
      </w:pPr>
      <w:r>
        <w:rPr>
          <w:rFonts w:ascii="Times New Roman" w:hAnsi="Times New Roman" w:eastAsia="Times New Roman"/>
          <w:b w:val="0"/>
          <w:sz w:val="21"/>
          <w:szCs w:val="21"/>
        </w:rPr>
        <w:t>Blood pressure was measured concurrently with blood sampling in clinical practice. Minor differences between electronic timestamps reflect differences in record-entry times.</w:t>
      </w:r>
    </w:p>
    <w:p w14:paraId="40809728">
      <w:pPr>
        <w:spacing w:before="0" w:after="0" w:line="480" w:lineRule="auto"/>
        <w:jc w:val="both"/>
        <w:rPr>
          <w:sz w:val="21"/>
          <w:szCs w:val="21"/>
        </w:rPr>
      </w:pPr>
      <w:r>
        <w:rPr>
          <w:rFonts w:ascii="Times New Roman" w:hAnsi="Times New Roman" w:eastAsia="Times New Roman"/>
          <w:b w:val="0"/>
          <w:sz w:val="21"/>
          <w:szCs w:val="21"/>
        </w:rPr>
        <w:t>During a separate post-micturition episode, blood pressure reached 223/106 mmHg; no blood sample was obtained because the patient declined.</w:t>
      </w:r>
    </w:p>
    <w:p w14:paraId="24101D9F">
      <w:pPr>
        <w:spacing w:before="0" w:after="0" w:line="480" w:lineRule="auto"/>
        <w:jc w:val="both"/>
        <w:rPr>
          <w:sz w:val="21"/>
          <w:szCs w:val="21"/>
        </w:rPr>
      </w:pPr>
      <w:r>
        <w:rPr>
          <w:rFonts w:ascii="Times New Roman" w:hAnsi="Times New Roman" w:eastAsia="Times New Roman"/>
          <w:b w:val="0"/>
          <w:sz w:val="21"/>
          <w:szCs w:val="21"/>
        </w:rPr>
        <w:t>DA, dopamine; E, epinephrine; MN, metanephrine; NE, norepinephrine; NMN, normetanephrine; 3-MT, 3-methoxytyramine.</w:t>
      </w:r>
    </w:p>
    <w:p w14:paraId="22B92FD0">
      <w:r>
        <w:br w:type="page"/>
      </w:r>
    </w:p>
    <w:p w14:paraId="18B902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firstLine="0" w:firstLine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Table 3. ARR screening and confirmatory tests without medication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474"/>
        <w:gridCol w:w="1930"/>
        <w:gridCol w:w="1137"/>
        <w:gridCol w:w="1943"/>
      </w:tblGrid>
      <w:tr w14:paraId="1BB7F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17" w:type="pc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7CCCC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Test/condition</w:t>
            </w:r>
          </w:p>
        </w:tc>
        <w:tc>
          <w:tcPr>
            <w:tcW w:w="1350" w:type="pc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47472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Aldosterone (ng/dL)</w:t>
            </w:r>
          </w:p>
        </w:tc>
        <w:tc>
          <w:tcPr>
            <w:tcW w:w="1053" w:type="pc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78BC0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Renin (μIU/mL)</w:t>
            </w:r>
          </w:p>
        </w:tc>
        <w:tc>
          <w:tcPr>
            <w:tcW w:w="620" w:type="pc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3E101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  <w:szCs w:val="24"/>
              </w:rPr>
              <w:t>ARR</w:t>
            </w:r>
          </w:p>
        </w:tc>
        <w:tc>
          <w:tcPr>
            <w:tcW w:w="1057" w:type="pc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0B5A2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  <w:szCs w:val="24"/>
              </w:rPr>
              <w:t>K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cs="Times New Roman" w:eastAsiaTheme="majorEastAsia"/>
                <w:b/>
                <w:bCs/>
                <w:sz w:val="24"/>
                <w:szCs w:val="24"/>
              </w:rPr>
              <w:t>mmol/L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)</w:t>
            </w:r>
          </w:p>
        </w:tc>
      </w:tr>
      <w:tr w14:paraId="235F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0" w:type="pct"/>
            <w:gridSpan w:val="5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664B0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Admission screening</w:t>
            </w:r>
          </w:p>
        </w:tc>
      </w:tr>
      <w:tr w14:paraId="19ADF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D7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Upright, unrestricted diet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BD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7.6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7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0.5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6C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15.2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CE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3.83</w:t>
            </w:r>
          </w:p>
        </w:tc>
      </w:tr>
      <w:tr w14:paraId="5CEF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2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Saline infusion test</w:t>
            </w:r>
          </w:p>
        </w:tc>
      </w:tr>
      <w:tr w14:paraId="0DAE2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BB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Before saline infusion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95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6.6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5D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0.5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E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13.2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CB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3.68</w:t>
            </w:r>
          </w:p>
        </w:tc>
      </w:tr>
      <w:tr w14:paraId="2702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5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After saline infusion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C8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5.4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9C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＜</w:t>
            </w: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0.5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1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10.8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95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</w:p>
        </w:tc>
      </w:tr>
      <w:tr w14:paraId="338D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65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Captopril challenge test</w:t>
            </w:r>
          </w:p>
        </w:tc>
      </w:tr>
      <w:tr w14:paraId="267CB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58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Before captopril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9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13.1</w:t>
            </w:r>
          </w:p>
        </w:tc>
        <w:tc>
          <w:tcPr>
            <w:tcW w:w="10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D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&lt;0.5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17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26.2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7E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3.60</w:t>
            </w:r>
          </w:p>
        </w:tc>
      </w:tr>
      <w:tr w14:paraId="72C46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1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AE9A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After captopril</w:t>
            </w:r>
          </w:p>
        </w:tc>
        <w:tc>
          <w:tcPr>
            <w:tcW w:w="135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D08C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11.8</w:t>
            </w:r>
          </w:p>
        </w:tc>
        <w:tc>
          <w:tcPr>
            <w:tcW w:w="1053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4FD2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&lt;0.5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F7F7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  <w:t>23.6</w:t>
            </w:r>
          </w:p>
        </w:tc>
        <w:tc>
          <w:tcPr>
            <w:tcW w:w="1057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913A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sz w:val="24"/>
                <w:szCs w:val="24"/>
              </w:rPr>
            </w:pPr>
          </w:p>
        </w:tc>
      </w:tr>
    </w:tbl>
    <w:p w14:paraId="10E551D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firstLine="0" w:firstLineChars="0"/>
        <w:jc w:val="left"/>
        <w:textAlignment w:val="auto"/>
        <w:rPr>
          <w:rFonts w:hint="default" w:cs="Times New Roman"/>
          <w:sz w:val="21"/>
          <w:szCs w:val="21"/>
        </w:rPr>
      </w:pPr>
      <w:r>
        <w:rPr>
          <w:rFonts w:hint="default" w:cs="Times New Roman"/>
          <w:sz w:val="21"/>
          <w:szCs w:val="21"/>
        </w:rPr>
        <w:t>Plasma renin was measured using a direct renin concentration assay and expressed in μIU/mL. ARR was calculated as aldosterone (ng/dL)/direct renin (μIU/mL). The captopril challenge test was considered positive when post-captopril aldosterone was ≥11 ng/dL; saline infusion was considered positive when post-infusion aldosterone was ≥8.5 ng/dL, according to the local institutional protocol. ARR, aldosterone-to-renin ratio.</w:t>
      </w:r>
    </w:p>
    <w:p w14:paraId="3E67E772">
      <w:r>
        <w:br w:type="page"/>
      </w:r>
    </w:p>
    <w:p w14:paraId="38810D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firstLine="0" w:firstLineChars="0"/>
        <w:jc w:val="left"/>
        <w:textAlignment w:val="auto"/>
        <w:rPr>
          <w:sz w:val="24"/>
          <w:szCs w:val="24"/>
        </w:rPr>
      </w:pPr>
      <w:r>
        <w:rPr>
          <w:b/>
          <w:sz w:val="24"/>
          <w:szCs w:val="24"/>
        </w:rPr>
        <w:t xml:space="preserve">Table 4. Adrenal </w:t>
      </w:r>
      <w:bookmarkStart w:id="0" w:name="_GoBack"/>
      <w:r>
        <w:rPr>
          <w:b/>
          <w:sz w:val="24"/>
          <w:szCs w:val="24"/>
        </w:rPr>
        <w:t>venous sampling res</w:t>
      </w:r>
      <w:bookmarkEnd w:id="0"/>
      <w:r>
        <w:rPr>
          <w:b/>
          <w:sz w:val="24"/>
          <w:szCs w:val="24"/>
        </w:rPr>
        <w:t>ults</w:t>
      </w:r>
    </w:p>
    <w:tbl>
      <w:tblPr>
        <w:tblStyle w:val="2"/>
        <w:tblW w:w="4998" w:type="pct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82"/>
        <w:gridCol w:w="1584"/>
        <w:gridCol w:w="1297"/>
        <w:gridCol w:w="1441"/>
        <w:gridCol w:w="1767"/>
      </w:tblGrid>
      <w:tr w14:paraId="1CDDF2F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  <w:tblHeader/>
        </w:trPr>
        <w:tc>
          <w:tcPr>
            <w:tcW w:w="162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73939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Sampling site</w:t>
            </w:r>
          </w:p>
        </w:tc>
        <w:tc>
          <w:tcPr>
            <w:tcW w:w="89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0A350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Aldosterone (ng/dL)</w:t>
            </w:r>
          </w:p>
        </w:tc>
        <w:tc>
          <w:tcPr>
            <w:tcW w:w="73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344BD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Renin (μIU/mL)</w:t>
            </w:r>
          </w:p>
        </w:tc>
        <w:tc>
          <w:tcPr>
            <w:tcW w:w="81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47344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Cortisol (μg/dL)</w:t>
            </w:r>
          </w:p>
        </w:tc>
        <w:tc>
          <w:tcPr>
            <w:tcW w:w="92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vAlign w:val="center"/>
          </w:tcPr>
          <w:p w14:paraId="1114C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Cortisol-corrected aldosterone</w:t>
            </w:r>
          </w:p>
        </w:tc>
      </w:tr>
      <w:tr w14:paraId="75541A8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8" w:hRule="atLeast"/>
        </w:trPr>
        <w:tc>
          <w:tcPr>
            <w:tcW w:w="1621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78A77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Right adrenal vein 1</w:t>
            </w:r>
          </w:p>
        </w:tc>
        <w:tc>
          <w:tcPr>
            <w:tcW w:w="898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1D398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69.0</w:t>
            </w:r>
          </w:p>
        </w:tc>
        <w:tc>
          <w:tcPr>
            <w:tcW w:w="738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42B8E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497A4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19.3</w:t>
            </w:r>
          </w:p>
        </w:tc>
        <w:tc>
          <w:tcPr>
            <w:tcW w:w="922" w:type="pct"/>
            <w:tcBorders>
              <w:top w:val="single" w:color="000000" w:sz="12" w:space="0"/>
              <w:left w:val="nil"/>
              <w:bottom w:val="nil"/>
              <w:right w:val="nil"/>
            </w:tcBorders>
            <w:vAlign w:val="center"/>
          </w:tcPr>
          <w:p w14:paraId="72926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3.58</w:t>
            </w:r>
          </w:p>
        </w:tc>
      </w:tr>
      <w:tr w14:paraId="266C9F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15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Right adrenal vein 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B4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53.0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7B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B5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19.13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93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2.77</w:t>
            </w:r>
          </w:p>
        </w:tc>
      </w:tr>
      <w:tr w14:paraId="04B78E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 w:hRule="atLeast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62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Right adrenal vein 3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E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9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2D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14.16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87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2.46</w:t>
            </w:r>
          </w:p>
        </w:tc>
      </w:tr>
      <w:tr w14:paraId="449F643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3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Left adrenal vein confluence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31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6B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C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18.59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1E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4.31</w:t>
            </w:r>
          </w:p>
        </w:tc>
      </w:tr>
      <w:tr w14:paraId="512C15D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4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Superselective left adrenal vein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8E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59.0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17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A0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15.07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BC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3.92</w:t>
            </w:r>
          </w:p>
        </w:tc>
      </w:tr>
      <w:tr w14:paraId="7900E1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28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Left adrenal vein main trunk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C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74.6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AA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8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22.06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B1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3.38</w:t>
            </w:r>
          </w:p>
        </w:tc>
      </w:tr>
      <w:tr w14:paraId="6C26ABB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" w:hRule="atLeast"/>
        </w:trPr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DB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Proximal inferior vena cava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5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51.8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C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16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7.54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D4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6.87</w:t>
            </w:r>
          </w:p>
        </w:tc>
      </w:tr>
      <w:tr w14:paraId="5CB782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5" w:hRule="atLeast"/>
        </w:trPr>
        <w:tc>
          <w:tcPr>
            <w:tcW w:w="1621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14BBD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Distal inferior vena cava</w:t>
            </w:r>
          </w:p>
        </w:tc>
        <w:tc>
          <w:tcPr>
            <w:tcW w:w="898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4FE1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738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424A2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&lt;0.5</w:t>
            </w:r>
          </w:p>
        </w:tc>
        <w:tc>
          <w:tcPr>
            <w:tcW w:w="818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30D6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5.85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23A06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auto"/>
              <w:ind w:left="0" w:firstLine="0" w:firstLineChars="0"/>
              <w:jc w:val="center"/>
              <w:textAlignment w:val="auto"/>
              <w:rPr>
                <w:rFonts w:ascii="Times New Roman" w:hAnsi="Times New Roman" w:cs="Times New Roman" w:eastAsiaTheme="maj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color w:val="000000"/>
                <w:sz w:val="24"/>
                <w:szCs w:val="24"/>
              </w:rPr>
              <w:t>6.77</w:t>
            </w:r>
          </w:p>
        </w:tc>
      </w:tr>
    </w:tbl>
    <w:p w14:paraId="29B58B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firstLine="0" w:firstLineChars="0"/>
        <w:jc w:val="left"/>
        <w:textAlignment w:val="auto"/>
        <w:rPr>
          <w:sz w:val="21"/>
          <w:szCs w:val="21"/>
        </w:rPr>
      </w:pPr>
      <w:r>
        <w:rPr>
          <w:sz w:val="21"/>
          <w:szCs w:val="21"/>
        </w:rPr>
        <w:t>An SI ≥2 indicated selective cannulation. An LI &lt;2 indicated no lateralized aldosterone secretion. SI, selectivity index; LI, lateralization index.</w:t>
      </w:r>
    </w:p>
    <w:p w14:paraId="643FC181"/>
    <w:sectPr>
      <w:pgSz w:w="11906" w:h="16838"/>
      <w:pgMar w:top="1083" w:right="1800" w:bottom="1083" w:left="115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26AFA"/>
    <w:rsid w:val="6114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480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2026-07-27T13:27:30Z</dcterms:created>
  <dc:creator>38627</dc:creator>
  <cp:lastModifiedBy>YHM</cp:lastModifiedBy>
  <dcterms:modified xsi:type="dcterms:W3CDTF">2026-07-27T13:30:23Z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eyJoZGlkIjoiZGU3OTk1NTE4NTIzYTAzZjJiM2RkMjQzYTY1MmNmYjEiLCJ1c2VySWQiOiIzMzg4NTYwMTYifQ==</vt:lpwstr>
  </property>
  <property fmtid="{D5CDD505-2E9C-101B-9397-08002B2CF9AE}" pid="4" name="ICV">
    <vt:lpwstr>A16300123BB84E08B686CAAE3D4C896D_12</vt:lpwstr>
  </property>
</Properties>
</file>