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2F0A5" w14:textId="77777777" w:rsidR="00D97B11" w:rsidRPr="00D27737" w:rsidRDefault="00D97B11" w:rsidP="00D97B11">
      <w:pPr>
        <w:spacing w:before="240"/>
      </w:pPr>
      <w:r w:rsidRPr="00D27737">
        <w:rPr>
          <w:b/>
          <w:bCs/>
        </w:rPr>
        <w:t>Supplementary Information</w:t>
      </w:r>
    </w:p>
    <w:p w14:paraId="14F6DE3C" w14:textId="77777777" w:rsidR="00D97B11" w:rsidRPr="00D27737" w:rsidRDefault="00D97B11" w:rsidP="00D97B11">
      <w:r w:rsidRPr="00D27737">
        <w:t>The online supplementary material (Additional file 1) contains the tables and figures cited in the main text as S1–S6: detailed descriptive statistics of the coverage measures (S1); model fit and variance structure of the mixed models (S2); spatial autocorrelation and local clustering at k = 3 (S3); sensitivity of the global Moran's I to the neighbourhood definition, k = 3/4/5 (S4); the reference distributional family selected for each model (S5); and supporting figures, including unit × month heat maps and global Moran / LISA plots (S6).</w:t>
      </w:r>
    </w:p>
    <w:p w14:paraId="5DB853AD" w14:textId="77777777" w:rsidR="00D97B11" w:rsidRPr="00D27737" w:rsidRDefault="00D97B11" w:rsidP="00D97B11">
      <w:r w:rsidRPr="00D27737">
        <w:t>Additional file 1. Supplementary tables S1–S5 and supplementary figures S1–S6 (format: DOCX/PDF).</w:t>
      </w:r>
    </w:p>
    <w:p w14:paraId="036EF050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11"/>
    <w:rsid w:val="000C4033"/>
    <w:rsid w:val="00173ED8"/>
    <w:rsid w:val="002F50B1"/>
    <w:rsid w:val="004B42CB"/>
    <w:rsid w:val="005E3CA4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97B1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60350"/>
  <w15:chartTrackingRefBased/>
  <w15:docId w15:val="{7BFF13AF-1D9F-4952-A567-0D6DAC73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B11"/>
    <w:pPr>
      <w:spacing w:after="120" w:line="48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B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B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B1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B1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B1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B1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B1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B1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B1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B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B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B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B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B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B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B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B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B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7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B1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7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B1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7B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B1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7B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B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B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2026-08-21T13:39:00Z</dcterms:created>
  <dcterms:modified xsi:type="dcterms:W3CDTF">2026-08-21T13:39:00Z</dcterms:modified>
</cp:coreProperties>
</file>