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E7519" w14:textId="77777777" w:rsidR="00C23A68" w:rsidRDefault="00C23A68">
      <w:pPr>
        <w:autoSpaceDE w:val="0"/>
        <w:autoSpaceDN w:val="0"/>
        <w:spacing w:after="364" w:line="220" w:lineRule="exact"/>
      </w:pPr>
    </w:p>
    <w:p w14:paraId="0E7F0E03" w14:textId="77777777" w:rsidR="00C23A68" w:rsidRDefault="00000000">
      <w:pPr>
        <w:autoSpaceDE w:val="0"/>
        <w:autoSpaceDN w:val="0"/>
        <w:spacing w:after="0" w:line="240" w:lineRule="auto"/>
      </w:pPr>
      <w:r>
        <w:rPr>
          <w:rFonts w:ascii="Libre Baskerville" w:eastAsia="Libre Baskerville" w:hAnsi="Libre Baskerville"/>
          <w:b/>
          <w:color w:val="34322D"/>
          <w:sz w:val="45"/>
        </w:rPr>
        <w:t>Supplementary Material</w:t>
      </w:r>
    </w:p>
    <w:p w14:paraId="3B4938F8" w14:textId="77777777" w:rsidR="00C23A68" w:rsidRDefault="00000000">
      <w:pPr>
        <w:autoSpaceDE w:val="0"/>
        <w:autoSpaceDN w:val="0"/>
        <w:spacing w:before="606" w:after="0" w:line="259" w:lineRule="auto"/>
        <w:ind w:right="1152"/>
      </w:pPr>
      <w:r>
        <w:rPr>
          <w:rFonts w:ascii="Caladea" w:eastAsia="Caladea" w:hAnsi="Caladea"/>
          <w:b/>
          <w:color w:val="34322D"/>
          <w:sz w:val="36"/>
        </w:rPr>
        <w:t>Biophysical Multiscale Integration Model II (BMIM II): Multiplicative Gain, Cognitive Phase Transitions, and the Thermodynamic Landscape of Thought</w:t>
      </w:r>
    </w:p>
    <w:p w14:paraId="031B5E8F" w14:textId="77777777" w:rsidR="00C23A68" w:rsidRDefault="00000000">
      <w:pPr>
        <w:autoSpaceDE w:val="0"/>
        <w:autoSpaceDN w:val="0"/>
        <w:spacing w:before="172" w:after="0" w:line="233" w:lineRule="auto"/>
      </w:pPr>
      <w:r>
        <w:rPr>
          <w:rFonts w:ascii="Liberation Sans" w:eastAsia="Liberation Sans" w:hAnsi="Liberation Sans"/>
          <w:b/>
          <w:color w:val="34322D"/>
          <w:sz w:val="24"/>
        </w:rPr>
        <w:t>Francisco Dominguez Jones</w:t>
      </w:r>
    </w:p>
    <w:p w14:paraId="4C074CF8" w14:textId="77777777" w:rsidR="00C23A68" w:rsidRDefault="00000000">
      <w:pPr>
        <w:autoSpaceDE w:val="0"/>
        <w:autoSpaceDN w:val="0"/>
        <w:spacing w:before="196" w:after="0" w:line="233" w:lineRule="auto"/>
      </w:pPr>
      <w:r>
        <w:rPr>
          <w:rFonts w:ascii="Liberation Sans" w:eastAsia="Liberation Sans" w:hAnsi="Liberation Sans"/>
          <w:color w:val="34322D"/>
          <w:sz w:val="24"/>
        </w:rPr>
        <w:t>Hospital Universitario de Tortosa Verge de la Cinta, Tortosa, Spain</w:t>
      </w:r>
    </w:p>
    <w:p w14:paraId="4F20A8B3" w14:textId="77777777" w:rsidR="00C23A68" w:rsidRDefault="00C23A68">
      <w:pPr>
        <w:sectPr w:rsidR="00C23A68">
          <w:pgSz w:w="11918" w:h="16838"/>
          <w:pgMar w:top="584" w:right="814" w:bottom="1440" w:left="840" w:header="720" w:footer="720" w:gutter="0"/>
          <w:cols w:space="720"/>
          <w:docGrid w:linePitch="360"/>
        </w:sectPr>
      </w:pPr>
    </w:p>
    <w:p w14:paraId="32F4CD5E" w14:textId="77777777" w:rsidR="00C23A68" w:rsidRDefault="00C23A68">
      <w:pPr>
        <w:autoSpaceDE w:val="0"/>
        <w:autoSpaceDN w:val="0"/>
        <w:spacing w:after="376" w:line="220" w:lineRule="exact"/>
      </w:pPr>
    </w:p>
    <w:p w14:paraId="74777007" w14:textId="77777777" w:rsidR="00C23A68" w:rsidRDefault="00000000">
      <w:pPr>
        <w:autoSpaceDE w:val="0"/>
        <w:autoSpaceDN w:val="0"/>
        <w:spacing w:after="0" w:line="240" w:lineRule="auto"/>
      </w:pPr>
      <w:r>
        <w:rPr>
          <w:rFonts w:ascii="Caladea" w:eastAsia="Caladea" w:hAnsi="Caladea"/>
          <w:b/>
          <w:color w:val="34322D"/>
          <w:sz w:val="36"/>
        </w:rPr>
        <w:t>Supplementary Figure S1. Graphical Abstract</w:t>
      </w:r>
    </w:p>
    <w:p w14:paraId="2511B76D" w14:textId="77777777" w:rsidR="00C23A68" w:rsidRDefault="00C23A68">
      <w:pPr>
        <w:sectPr w:rsidR="00C23A68">
          <w:pgSz w:w="11918" w:h="16838"/>
          <w:pgMar w:top="596" w:right="1440" w:bottom="1440" w:left="840" w:header="720" w:footer="720" w:gutter="0"/>
          <w:cols w:space="720"/>
          <w:docGrid w:linePitch="360"/>
        </w:sectPr>
      </w:pPr>
    </w:p>
    <w:p w14:paraId="33B6A63E" w14:textId="77777777" w:rsidR="00C23A68" w:rsidRDefault="00C23A68">
      <w:pPr>
        <w:autoSpaceDE w:val="0"/>
        <w:autoSpaceDN w:val="0"/>
        <w:spacing w:after="486" w:line="220" w:lineRule="exact"/>
      </w:pPr>
    </w:p>
    <w:p w14:paraId="0114639B" w14:textId="77777777" w:rsidR="00C23A68" w:rsidRDefault="00000000">
      <w:pPr>
        <w:autoSpaceDE w:val="0"/>
        <w:autoSpaceDN w:val="0"/>
        <w:spacing w:after="0" w:line="240" w:lineRule="auto"/>
        <w:jc w:val="center"/>
      </w:pPr>
      <w:r>
        <w:rPr>
          <w:noProof/>
        </w:rPr>
        <w:drawing>
          <wp:inline distT="0" distB="0" distL="0" distR="0" wp14:anchorId="1741D586" wp14:editId="53A923AF">
            <wp:extent cx="6504940" cy="8676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6504940" cy="8676640"/>
                    </a:xfrm>
                    <a:prstGeom prst="rect">
                      <a:avLst/>
                    </a:prstGeom>
                  </pic:spPr>
                </pic:pic>
              </a:graphicData>
            </a:graphic>
          </wp:inline>
        </w:drawing>
      </w:r>
    </w:p>
    <w:p w14:paraId="063DE4F0" w14:textId="77777777" w:rsidR="00C23A68" w:rsidRDefault="00C23A68">
      <w:pPr>
        <w:sectPr w:rsidR="00C23A68">
          <w:pgSz w:w="11918" w:h="16838"/>
          <w:pgMar w:top="704" w:right="814" w:bottom="882" w:left="840" w:header="720" w:footer="720" w:gutter="0"/>
          <w:cols w:space="720"/>
          <w:docGrid w:linePitch="360"/>
        </w:sectPr>
      </w:pPr>
    </w:p>
    <w:p w14:paraId="0F848470" w14:textId="77777777" w:rsidR="00C23A68" w:rsidRDefault="00000000">
      <w:pPr>
        <w:autoSpaceDE w:val="0"/>
        <w:autoSpaceDN w:val="0"/>
        <w:spacing w:after="384" w:line="220" w:lineRule="exact"/>
      </w:pPr>
      <w:r>
        <w:rPr>
          <w:noProof/>
        </w:rPr>
        <w:lastRenderedPageBreak/>
        <w:drawing>
          <wp:anchor distT="0" distB="0" distL="0" distR="0" simplePos="0" relativeHeight="251658240" behindDoc="1" locked="0" layoutInCell="1" allowOverlap="1" wp14:anchorId="1ACADEA5" wp14:editId="73CC3342">
            <wp:simplePos x="0" y="0"/>
            <wp:positionH relativeFrom="page">
              <wp:posOffset>5600700</wp:posOffset>
            </wp:positionH>
            <wp:positionV relativeFrom="page">
              <wp:posOffset>2590800</wp:posOffset>
            </wp:positionV>
            <wp:extent cx="812800" cy="177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stretch>
                      <a:fillRect/>
                    </a:stretch>
                  </pic:blipFill>
                  <pic:spPr>
                    <a:xfrm>
                      <a:off x="0" y="0"/>
                      <a:ext cx="812800" cy="177800"/>
                    </a:xfrm>
                    <a:prstGeom prst="rect">
                      <a:avLst/>
                    </a:prstGeom>
                  </pic:spPr>
                </pic:pic>
              </a:graphicData>
            </a:graphic>
          </wp:anchor>
        </w:drawing>
      </w:r>
    </w:p>
    <w:p w14:paraId="69D972F7" w14:textId="77777777" w:rsidR="00C23A68" w:rsidRDefault="00000000">
      <w:pPr>
        <w:tabs>
          <w:tab w:val="left" w:pos="208"/>
          <w:tab w:val="left" w:pos="600"/>
          <w:tab w:val="left" w:pos="604"/>
          <w:tab w:val="left" w:pos="926"/>
          <w:tab w:val="left" w:pos="952"/>
          <w:tab w:val="left" w:pos="1054"/>
          <w:tab w:val="left" w:pos="1134"/>
          <w:tab w:val="left" w:pos="1262"/>
          <w:tab w:val="left" w:pos="1428"/>
          <w:tab w:val="left" w:pos="1654"/>
          <w:tab w:val="left" w:pos="1752"/>
          <w:tab w:val="left" w:pos="1892"/>
          <w:tab w:val="left" w:pos="1960"/>
          <w:tab w:val="left" w:pos="2064"/>
          <w:tab w:val="left" w:pos="2196"/>
          <w:tab w:val="left" w:pos="2330"/>
          <w:tab w:val="left" w:pos="3790"/>
          <w:tab w:val="left" w:pos="3998"/>
          <w:tab w:val="left" w:pos="4254"/>
          <w:tab w:val="left" w:pos="4394"/>
          <w:tab w:val="left" w:pos="4462"/>
          <w:tab w:val="left" w:pos="4602"/>
          <w:tab w:val="left" w:pos="4810"/>
          <w:tab w:val="left" w:pos="4854"/>
          <w:tab w:val="left" w:pos="4904"/>
          <w:tab w:val="left" w:pos="5206"/>
          <w:tab w:val="left" w:pos="5216"/>
          <w:tab w:val="left" w:pos="5256"/>
          <w:tab w:val="left" w:pos="5338"/>
          <w:tab w:val="left" w:pos="5388"/>
          <w:tab w:val="left" w:pos="5424"/>
          <w:tab w:val="left" w:pos="5670"/>
          <w:tab w:val="left" w:pos="5816"/>
          <w:tab w:val="left" w:pos="5878"/>
          <w:tab w:val="left" w:pos="6172"/>
          <w:tab w:val="left" w:pos="6228"/>
          <w:tab w:val="left" w:pos="6360"/>
          <w:tab w:val="left" w:pos="7418"/>
          <w:tab w:val="left" w:pos="7524"/>
          <w:tab w:val="left" w:pos="7732"/>
          <w:tab w:val="left" w:pos="8102"/>
          <w:tab w:val="left" w:pos="8194"/>
          <w:tab w:val="left" w:pos="8402"/>
          <w:tab w:val="left" w:pos="8794"/>
          <w:tab w:val="left" w:pos="9218"/>
          <w:tab w:val="left" w:pos="9250"/>
          <w:tab w:val="left" w:pos="9424"/>
          <w:tab w:val="left" w:pos="9818"/>
        </w:tabs>
        <w:autoSpaceDE w:val="0"/>
        <w:autoSpaceDN w:val="0"/>
        <w:spacing w:after="0" w:line="281" w:lineRule="auto"/>
      </w:pPr>
      <w:r>
        <w:rPr>
          <w:rFonts w:ascii="Liberation Sans" w:eastAsia="Liberation Sans" w:hAnsi="Liberation Sans"/>
          <w:b/>
          <w:color w:val="34322D"/>
          <w:sz w:val="24"/>
        </w:rPr>
        <w:t>Supplementary Figure S1. Graphical summary of the BMIM II framework.</w:t>
      </w:r>
      <w:r>
        <w:rPr>
          <w:rFonts w:ascii="Liberation Sans" w:eastAsia="Liberation Sans" w:hAnsi="Liberation Sans"/>
          <w:color w:val="34322D"/>
          <w:sz w:val="24"/>
        </w:rPr>
        <w:t xml:space="preserve"> This figure provides a comprehensive visual overview of the Biophysical Multiscale Integration Model II. The diagram is organized into three hierarchical levels. </w:t>
      </w:r>
      <w:r>
        <w:rPr>
          <w:rFonts w:ascii="Liberation Sans" w:eastAsia="Liberation Sans" w:hAnsi="Liberation Sans"/>
          <w:i/>
          <w:color w:val="34322D"/>
          <w:sz w:val="24"/>
        </w:rPr>
        <w:t>Top panel (INPUTS)</w:t>
      </w:r>
      <w:r>
        <w:rPr>
          <w:rFonts w:ascii="Liberation Sans" w:eastAsia="Liberation Sans" w:hAnsi="Liberation Sans"/>
          <w:color w:val="34322D"/>
          <w:sz w:val="24"/>
        </w:rPr>
        <w:t xml:space="preserve">: The three multiplicative gain channels—Endogenous Gain ( </w:t>
      </w:r>
      <w:r>
        <w:rPr>
          <w:rFonts w:ascii="KaTeX_Math" w:eastAsia="KaTeX_Math" w:hAnsi="KaTeX_Math"/>
          <w:i/>
          <w:color w:val="34322D"/>
          <w:w w:val="101"/>
          <w:sz w:val="26"/>
        </w:rPr>
        <w:t xml:space="preserve">G </w:t>
      </w:r>
      <w:r>
        <w:rPr>
          <w:rFonts w:ascii="KaTeX_Math" w:eastAsia="KaTeX_Math" w:hAnsi="KaTeX_Math"/>
          <w:i/>
          <w:color w:val="34322D"/>
          <w:w w:val="102"/>
          <w:sz w:val="18"/>
        </w:rPr>
        <w:t xml:space="preserve">endo </w:t>
      </w:r>
      <w:r>
        <w:rPr>
          <w:rFonts w:ascii="Liberation Sans" w:eastAsia="Liberation Sans" w:hAnsi="Liberation Sans"/>
          <w:color w:val="34322D"/>
          <w:sz w:val="24"/>
        </w:rPr>
        <w:t xml:space="preserve">, derived from the Ascending Reticular Activating System via EEG alpha/theta ratio), Exogenous Gain ( </w:t>
      </w:r>
      <w:r>
        <w:br/>
      </w:r>
      <w:r>
        <w:rPr>
          <w:rFonts w:ascii="KaTeX_Math" w:eastAsia="KaTeX_Math" w:hAnsi="KaTeX_Math"/>
          <w:i/>
          <w:color w:val="34322D"/>
          <w:w w:val="101"/>
          <w:sz w:val="26"/>
        </w:rPr>
        <w:t xml:space="preserve">G </w:t>
      </w:r>
      <w:r>
        <w:rPr>
          <w:rFonts w:ascii="KaTeX_Math" w:eastAsia="KaTeX_Math" w:hAnsi="KaTeX_Math"/>
          <w:i/>
          <w:color w:val="34322D"/>
          <w:w w:val="102"/>
          <w:sz w:val="18"/>
        </w:rPr>
        <w:t xml:space="preserve">exo </w:t>
      </w:r>
      <w:r>
        <w:rPr>
          <w:rFonts w:ascii="Liberation Sans" w:eastAsia="Liberation Sans" w:hAnsi="Liberation Sans"/>
          <w:color w:val="34322D"/>
          <w:sz w:val="24"/>
        </w:rPr>
        <w:t xml:space="preserve">, derived from the Locus Coeruleus-Norepinephrine system via infrared pupillometry), and Executive Gain ( </w:t>
      </w:r>
      <w:r>
        <w:rPr>
          <w:rFonts w:ascii="KaTeX_Math" w:eastAsia="KaTeX_Math" w:hAnsi="KaTeX_Math"/>
          <w:i/>
          <w:color w:val="34322D"/>
          <w:w w:val="101"/>
          <w:sz w:val="26"/>
        </w:rPr>
        <w:t xml:space="preserve">G </w:t>
      </w:r>
      <w:r>
        <w:rPr>
          <w:rFonts w:ascii="KaTeX_Math" w:eastAsia="KaTeX_Math" w:hAnsi="KaTeX_Math"/>
          <w:i/>
          <w:color w:val="34322D"/>
          <w:w w:val="102"/>
          <w:sz w:val="18"/>
        </w:rPr>
        <w:t xml:space="preserve">exec </w:t>
      </w:r>
      <w:r>
        <w:rPr>
          <w:rFonts w:ascii="Liberation Sans" w:eastAsia="Liberation Sans" w:hAnsi="Liberation Sans"/>
          <w:color w:val="34322D"/>
          <w:sz w:val="24"/>
        </w:rPr>
        <w:t xml:space="preserve">, derived from the Frontoparietal Network via gamma synchronization)—converge multiplicatively to yield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 </w:t>
      </w:r>
      <w:r>
        <w:rPr>
          <w:rFonts w:ascii="KaTeX_Math" w:eastAsia="KaTeX_Math" w:hAnsi="KaTeX_Math"/>
          <w:i/>
          <w:color w:val="34322D"/>
          <w:w w:val="101"/>
          <w:sz w:val="26"/>
        </w:rPr>
        <w:t xml:space="preserve">G </w:t>
      </w:r>
      <w:r>
        <w:rPr>
          <w:rFonts w:ascii="KaTeX_Math" w:eastAsia="KaTeX_Math" w:hAnsi="KaTeX_Math"/>
          <w:i/>
          <w:color w:val="34322D"/>
          <w:w w:val="102"/>
          <w:sz w:val="18"/>
        </w:rPr>
        <w:t>endo</w:t>
      </w:r>
      <w:r>
        <w:rPr>
          <w:rFonts w:ascii="KaTeX_Main" w:eastAsia="KaTeX_Main" w:hAnsi="KaTeX_Main"/>
          <w:color w:val="34322D"/>
          <w:w w:val="75"/>
          <w:sz w:val="2"/>
        </w:rPr>
        <w:t>​</w:t>
      </w:r>
      <w:r>
        <w:rPr>
          <w:rFonts w:ascii="KaTeX_Main" w:eastAsia="KaTeX_Main" w:hAnsi="KaTeX_Main"/>
          <w:color w:val="34322D"/>
          <w:w w:val="101"/>
          <w:sz w:val="26"/>
        </w:rPr>
        <w:t xml:space="preserve"> ×</w:t>
      </w:r>
      <w:r>
        <w:rPr>
          <w:rFonts w:ascii="KaTeX_Math" w:eastAsia="KaTeX_Math" w:hAnsi="KaTeX_Math"/>
          <w:i/>
          <w:color w:val="34322D"/>
          <w:w w:val="101"/>
          <w:sz w:val="26"/>
        </w:rPr>
        <w:t xml:space="preserve">G </w:t>
      </w:r>
      <w:r>
        <w:rPr>
          <w:rFonts w:ascii="KaTeX_Math" w:eastAsia="KaTeX_Math" w:hAnsi="KaTeX_Math"/>
          <w:i/>
          <w:color w:val="34322D"/>
          <w:w w:val="102"/>
          <w:sz w:val="18"/>
        </w:rPr>
        <w:t>exo</w:t>
      </w:r>
      <w:r>
        <w:rPr>
          <w:rFonts w:ascii="KaTeX_Main" w:eastAsia="KaTeX_Main" w:hAnsi="KaTeX_Main"/>
          <w:color w:val="34322D"/>
          <w:w w:val="75"/>
          <w:sz w:val="2"/>
        </w:rPr>
        <w:t>​</w:t>
      </w:r>
      <w:r>
        <w:rPr>
          <w:rFonts w:ascii="KaTeX_Main" w:eastAsia="KaTeX_Main" w:hAnsi="KaTeX_Main"/>
          <w:color w:val="34322D"/>
          <w:w w:val="101"/>
          <w:sz w:val="26"/>
        </w:rPr>
        <w:t xml:space="preserve"> ×</w:t>
      </w:r>
      <w:r>
        <w:rPr>
          <w:rFonts w:ascii="KaTeX_Math" w:eastAsia="KaTeX_Math" w:hAnsi="KaTeX_Math"/>
          <w:i/>
          <w:color w:val="34322D"/>
          <w:w w:val="101"/>
          <w:sz w:val="26"/>
        </w:rPr>
        <w:t xml:space="preserve">G </w:t>
      </w:r>
      <w:r>
        <w:rPr>
          <w:rFonts w:ascii="KaTeX_Math" w:eastAsia="KaTeX_Math" w:hAnsi="KaTeX_Math"/>
          <w:i/>
          <w:color w:val="34322D"/>
          <w:w w:val="102"/>
          <w:sz w:val="18"/>
        </w:rPr>
        <w:t xml:space="preserve">exec </w:t>
      </w:r>
      <w:r>
        <w:rPr>
          <w:rFonts w:ascii="Liberation Sans" w:eastAsia="Liberation Sans" w:hAnsi="Liberation Sans"/>
          <w:color w:val="34322D"/>
          <w:sz w:val="24"/>
        </w:rPr>
        <w:t xml:space="preserve">. </w:t>
      </w:r>
      <w:r>
        <w:rPr>
          <w:rFonts w:ascii="Liberation Sans" w:eastAsia="Liberation Sans" w:hAnsi="Liberation Sans"/>
          <w:i/>
          <w:color w:val="34322D"/>
          <w:sz w:val="24"/>
        </w:rPr>
        <w:t>Middle panel (PHASE TRANSITION)</w:t>
      </w:r>
      <w:r>
        <w:rPr>
          <w:rFonts w:ascii="Liberation Sans" w:eastAsia="Liberation Sans" w:hAnsi="Liberation Sans"/>
          <w:color w:val="34322D"/>
          <w:sz w:val="24"/>
        </w:rPr>
        <w:t xml:space="preserve">: The supercritical Hopf bifurcation diagram showing the emergence of the macroscopic order parameter </w:t>
      </w:r>
      <w:r>
        <w:rPr>
          <w:rFonts w:ascii="KaTeX_Main" w:eastAsia="KaTeX_Main" w:hAnsi="KaTeX_Main"/>
          <w:color w:val="34322D"/>
          <w:w w:val="101"/>
          <w:sz w:val="26"/>
        </w:rPr>
        <w:t xml:space="preserve">Ψ = </w:t>
      </w:r>
      <w:r>
        <w:tab/>
      </w:r>
      <w:r>
        <w:tab/>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br/>
      </w:r>
      <w:r>
        <w:rPr>
          <w:rFonts w:ascii="KaTeX_Main" w:eastAsia="KaTeX_Main" w:hAnsi="KaTeX_Main"/>
          <w:color w:val="34322D"/>
          <w:w w:val="75"/>
          <w:sz w:val="2"/>
        </w:rPr>
        <w:t>​</w:t>
      </w:r>
      <w:r>
        <w:rPr>
          <w:rFonts w:ascii="KaTeX_Main" w:eastAsia="KaTeX_Main" w:hAnsi="KaTeX_Main"/>
          <w:color w:val="34322D"/>
          <w:w w:val="101"/>
          <w:sz w:val="26"/>
        </w:rPr>
        <w:t xml:space="preserve"> −1</w:t>
      </w:r>
      <w:r>
        <w:rPr>
          <w:rFonts w:ascii="Liberation Sans" w:eastAsia="Liberation Sans" w:hAnsi="Liberation Sans"/>
          <w:color w:val="34322D"/>
          <w:sz w:val="24"/>
        </w:rPr>
        <w:t xml:space="preserve"> when the total gain exceeds the critical threshold </w:t>
      </w:r>
      <w:r>
        <w:rPr>
          <w:rFonts w:ascii="KaTeX_Math" w:eastAsia="KaTeX_Math" w:hAnsi="KaTeX_Math"/>
          <w:i/>
          <w:color w:val="34322D"/>
          <w:w w:val="101"/>
          <w:sz w:val="26"/>
        </w:rPr>
        <w:t xml:space="preserve">G </w:t>
      </w:r>
      <w:r>
        <w:rPr>
          <w:rFonts w:ascii="KaTeX_Math" w:eastAsia="KaTeX_Math" w:hAnsi="KaTeX_Math"/>
          <w:i/>
          <w:color w:val="34322D"/>
          <w:w w:val="102"/>
          <w:sz w:val="18"/>
        </w:rPr>
        <w:t>c</w:t>
      </w:r>
      <w:r>
        <w:rPr>
          <w:rFonts w:ascii="KaTeX_Main" w:eastAsia="KaTeX_Main" w:hAnsi="KaTeX_Main"/>
          <w:color w:val="34322D"/>
          <w:w w:val="75"/>
          <w:sz w:val="2"/>
        </w:rPr>
        <w:t>​</w:t>
      </w:r>
      <w:r>
        <w:rPr>
          <w:rFonts w:ascii="KaTeX_Main" w:eastAsia="KaTeX_Main" w:hAnsi="KaTeX_Main"/>
          <w:color w:val="34322D"/>
          <w:w w:val="101"/>
          <w:sz w:val="26"/>
        </w:rPr>
        <w:t xml:space="preserve"> = 1 </w:t>
      </w:r>
      <w:r>
        <w:rPr>
          <w:rFonts w:ascii="Liberation Sans" w:eastAsia="Liberation Sans" w:hAnsi="Liberation Sans"/>
          <w:color w:val="34322D"/>
          <w:sz w:val="24"/>
        </w:rPr>
        <w:t xml:space="preserve">. The Stuart-Landau oscillator equation governs the dynamics. </w:t>
      </w:r>
      <w:r>
        <w:rPr>
          <w:rFonts w:ascii="Liberation Sans" w:eastAsia="Liberation Sans" w:hAnsi="Liberation Sans"/>
          <w:i/>
          <w:color w:val="34322D"/>
          <w:sz w:val="24"/>
        </w:rPr>
        <w:t>Bottom panel (CLINICAL APPLICATIONS)</w:t>
      </w:r>
      <w:r>
        <w:rPr>
          <w:rFonts w:ascii="Liberation Sans" w:eastAsia="Liberation Sans" w:hAnsi="Liberation Sans"/>
          <w:color w:val="34322D"/>
          <w:sz w:val="24"/>
        </w:rPr>
        <w:t xml:space="preserve">: The four principal clinical states mapped onto the gain landscape—Coma (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≪1 </w:t>
      </w:r>
      <w:r>
        <w:rPr>
          <w:rFonts w:ascii="Liberation Sans" w:eastAsia="Liberation Sans" w:hAnsi="Liberation Sans"/>
          <w:color w:val="34322D"/>
          <w:sz w:val="24"/>
        </w:rPr>
        <w:t xml:space="preserve">), Minimally Conscious State (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≈0.45–1.10, encompassing MCS minus through MCS plus </w:t>
      </w:r>
      <w:r>
        <w:rPr>
          <w:rFonts w:ascii="Liberation Sans" w:eastAsia="Liberation Sans" w:hAnsi="Liberation Sans"/>
          <w:color w:val="34322D"/>
          <w:sz w:val="24"/>
        </w:rPr>
        <w:t xml:space="preserve">), full Consciousness (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&gt; 1 </w:t>
      </w:r>
      <w:r>
        <w:rPr>
          <w:rFonts w:ascii="Liberation Sans" w:eastAsia="Liberation Sans" w:hAnsi="Liberation Sans"/>
          <w:color w:val="34322D"/>
          <w:sz w:val="24"/>
        </w:rPr>
        <w:t xml:space="preserve">), and pathological hypersynchronization in Epilepsy (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≫1 </w:t>
      </w:r>
      <w:r>
        <w:rPr>
          <w:rFonts w:ascii="Liberation Sans" w:eastAsia="Liberation Sans" w:hAnsi="Liberation Sans"/>
          <w:color w:val="34322D"/>
          <w:sz w:val="24"/>
        </w:rPr>
        <w:t>)—with their corresponding EEG signatures and real-time monitoring capabilities.</w:t>
      </w:r>
    </w:p>
    <w:p w14:paraId="561C6A17" w14:textId="77777777" w:rsidR="00C23A68" w:rsidRDefault="00000000">
      <w:pPr>
        <w:autoSpaceDE w:val="0"/>
        <w:autoSpaceDN w:val="0"/>
        <w:spacing w:before="870" w:after="0" w:line="254" w:lineRule="auto"/>
        <w:ind w:right="288"/>
      </w:pPr>
      <w:r>
        <w:rPr>
          <w:rFonts w:ascii="Caladea" w:eastAsia="Caladea" w:hAnsi="Caladea"/>
          <w:b/>
          <w:color w:val="34322D"/>
          <w:sz w:val="36"/>
        </w:rPr>
        <w:t>Supplementary Figure S2. Complete Dynamical Framework of BMIM II</w:t>
      </w:r>
    </w:p>
    <w:p w14:paraId="1B1EEA25" w14:textId="77777777" w:rsidR="00C23A68" w:rsidRDefault="00000000">
      <w:pPr>
        <w:autoSpaceDE w:val="0"/>
        <w:autoSpaceDN w:val="0"/>
        <w:spacing w:before="376" w:after="0" w:line="240" w:lineRule="auto"/>
        <w:jc w:val="center"/>
      </w:pPr>
      <w:r>
        <w:rPr>
          <w:noProof/>
        </w:rPr>
        <w:drawing>
          <wp:inline distT="0" distB="0" distL="0" distR="0" wp14:anchorId="7BD76A93" wp14:editId="1220967F">
            <wp:extent cx="6506209"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6506209" cy="3657600"/>
                    </a:xfrm>
                    <a:prstGeom prst="rect">
                      <a:avLst/>
                    </a:prstGeom>
                  </pic:spPr>
                </pic:pic>
              </a:graphicData>
            </a:graphic>
          </wp:inline>
        </w:drawing>
      </w:r>
    </w:p>
    <w:p w14:paraId="0C09559A" w14:textId="77777777" w:rsidR="00C23A68" w:rsidRDefault="00000000">
      <w:pPr>
        <w:autoSpaceDE w:val="0"/>
        <w:autoSpaceDN w:val="0"/>
        <w:spacing w:before="382" w:after="0" w:line="274" w:lineRule="auto"/>
        <w:ind w:right="144"/>
      </w:pPr>
      <w:r>
        <w:rPr>
          <w:rFonts w:ascii="Liberation Sans" w:eastAsia="Liberation Sans" w:hAnsi="Liberation Sans"/>
          <w:b/>
          <w:color w:val="34322D"/>
          <w:sz w:val="24"/>
        </w:rPr>
        <w:t>Supplementary Figure S2. Complete dynamical framework of the Biophysical Multiscale Integration Model II.</w:t>
      </w:r>
      <w:r>
        <w:rPr>
          <w:rFonts w:ascii="Liberation Sans" w:eastAsia="Liberation Sans" w:hAnsi="Liberation Sans"/>
          <w:color w:val="34322D"/>
          <w:sz w:val="24"/>
        </w:rPr>
        <w:t xml:space="preserve"> This figure presents the full logical architecture of BMIM II organized into</w:t>
      </w:r>
    </w:p>
    <w:p w14:paraId="5D25A559" w14:textId="77777777" w:rsidR="00C23A68" w:rsidRDefault="00C23A68">
      <w:pPr>
        <w:sectPr w:rsidR="00C23A68">
          <w:pgSz w:w="11918" w:h="16838"/>
          <w:pgMar w:top="604" w:right="812" w:bottom="714" w:left="840" w:header="720" w:footer="720" w:gutter="0"/>
          <w:cols w:space="720"/>
          <w:docGrid w:linePitch="360"/>
        </w:sectPr>
      </w:pPr>
    </w:p>
    <w:p w14:paraId="08452E36" w14:textId="77777777" w:rsidR="00C23A68" w:rsidRDefault="00C23A68">
      <w:pPr>
        <w:autoSpaceDE w:val="0"/>
        <w:autoSpaceDN w:val="0"/>
        <w:spacing w:after="362" w:line="220" w:lineRule="exact"/>
      </w:pPr>
    </w:p>
    <w:p w14:paraId="610A9027" w14:textId="77777777" w:rsidR="00C23A68" w:rsidRDefault="00000000">
      <w:pPr>
        <w:tabs>
          <w:tab w:val="left" w:pos="654"/>
          <w:tab w:val="left" w:pos="862"/>
          <w:tab w:val="left" w:pos="1174"/>
          <w:tab w:val="left" w:pos="1258"/>
          <w:tab w:val="left" w:pos="1382"/>
          <w:tab w:val="left" w:pos="1774"/>
          <w:tab w:val="left" w:pos="2482"/>
          <w:tab w:val="left" w:pos="2686"/>
          <w:tab w:val="left" w:pos="4312"/>
          <w:tab w:val="left" w:pos="4456"/>
          <w:tab w:val="left" w:pos="4664"/>
          <w:tab w:val="left" w:pos="4758"/>
          <w:tab w:val="left" w:pos="4816"/>
          <w:tab w:val="left" w:pos="4830"/>
          <w:tab w:val="left" w:pos="5038"/>
          <w:tab w:val="left" w:pos="5110"/>
          <w:tab w:val="left" w:pos="5130"/>
          <w:tab w:val="left" w:pos="5242"/>
          <w:tab w:val="left" w:pos="5482"/>
          <w:tab w:val="left" w:pos="5614"/>
          <w:tab w:val="left" w:pos="6136"/>
          <w:tab w:val="left" w:pos="6938"/>
          <w:tab w:val="left" w:pos="7334"/>
          <w:tab w:val="left" w:pos="7734"/>
          <w:tab w:val="left" w:pos="8028"/>
          <w:tab w:val="left" w:pos="8230"/>
          <w:tab w:val="left" w:pos="8426"/>
          <w:tab w:val="left" w:pos="8438"/>
          <w:tab w:val="left" w:pos="8798"/>
          <w:tab w:val="left" w:pos="8800"/>
          <w:tab w:val="left" w:pos="8808"/>
          <w:tab w:val="left" w:pos="9006"/>
          <w:tab w:val="left" w:pos="9224"/>
          <w:tab w:val="left" w:pos="9356"/>
        </w:tabs>
        <w:autoSpaceDE w:val="0"/>
        <w:autoSpaceDN w:val="0"/>
        <w:spacing w:after="0" w:line="278" w:lineRule="auto"/>
      </w:pPr>
      <w:r>
        <w:rPr>
          <w:rFonts w:ascii="Liberation Sans" w:eastAsia="Liberation Sans" w:hAnsi="Liberation Sans"/>
          <w:color w:val="34322D"/>
          <w:sz w:val="24"/>
        </w:rPr>
        <w:t xml:space="preserve">four sequential panels from left to right. </w:t>
      </w:r>
      <w:r>
        <w:rPr>
          <w:rFonts w:ascii="Liberation Sans" w:eastAsia="Liberation Sans" w:hAnsi="Liberation Sans"/>
          <w:i/>
          <w:color w:val="34322D"/>
          <w:sz w:val="24"/>
        </w:rPr>
        <w:t>Panel 1 (Input &amp; Multiplicative Gain)</w:t>
      </w:r>
      <w:r>
        <w:rPr>
          <w:rFonts w:ascii="Liberation Sans" w:eastAsia="Liberation Sans" w:hAnsi="Liberation Sans"/>
          <w:color w:val="34322D"/>
          <w:sz w:val="24"/>
        </w:rPr>
        <w:t xml:space="preserve">: A cortical network of coupled Stuart-Landau oscillators receives three multiplicative gain channels—Endogenous Gain ( </w:t>
      </w:r>
      <w:r>
        <w:rPr>
          <w:rFonts w:ascii="KaTeX_Math" w:eastAsia="KaTeX_Math" w:hAnsi="KaTeX_Math"/>
          <w:i/>
          <w:color w:val="34322D"/>
          <w:w w:val="101"/>
          <w:sz w:val="26"/>
        </w:rPr>
        <w:t xml:space="preserve">G </w:t>
      </w:r>
      <w:r>
        <w:rPr>
          <w:rFonts w:ascii="KaTeX_Math" w:eastAsia="KaTeX_Math" w:hAnsi="KaTeX_Math"/>
          <w:i/>
          <w:color w:val="34322D"/>
          <w:w w:val="102"/>
          <w:sz w:val="18"/>
        </w:rPr>
        <w:t xml:space="preserve">endo </w:t>
      </w:r>
      <w:r>
        <w:rPr>
          <w:rFonts w:ascii="Liberation Sans" w:eastAsia="Liberation Sans" w:hAnsi="Liberation Sans"/>
          <w:color w:val="34322D"/>
          <w:sz w:val="24"/>
        </w:rPr>
        <w:t xml:space="preserve">, arousal), Exogenous Gain ( </w:t>
      </w:r>
      <w:r>
        <w:rPr>
          <w:rFonts w:ascii="KaTeX_Math" w:eastAsia="KaTeX_Math" w:hAnsi="KaTeX_Math"/>
          <w:i/>
          <w:color w:val="34322D"/>
          <w:w w:val="101"/>
          <w:sz w:val="26"/>
        </w:rPr>
        <w:t>G</w:t>
      </w:r>
      <w:r>
        <w:rPr>
          <w:rFonts w:ascii="KaTeX_Math" w:eastAsia="KaTeX_Math" w:hAnsi="KaTeX_Math"/>
          <w:i/>
          <w:color w:val="34322D"/>
          <w:w w:val="102"/>
          <w:sz w:val="18"/>
        </w:rPr>
        <w:t xml:space="preserve">exo </w:t>
      </w:r>
      <w:r>
        <w:rPr>
          <w:rFonts w:ascii="Liberation Sans" w:eastAsia="Liberation Sans" w:hAnsi="Liberation Sans"/>
          <w:color w:val="34322D"/>
          <w:sz w:val="24"/>
        </w:rPr>
        <w:t xml:space="preserve">, sensory), and Executive Gain ( </w:t>
      </w:r>
      <w:r>
        <w:rPr>
          <w:rFonts w:ascii="KaTeX_Math" w:eastAsia="KaTeX_Math" w:hAnsi="KaTeX_Math"/>
          <w:i/>
          <w:color w:val="34322D"/>
          <w:w w:val="101"/>
          <w:sz w:val="26"/>
        </w:rPr>
        <w:t xml:space="preserve">G </w:t>
      </w:r>
      <w:r>
        <w:rPr>
          <w:rFonts w:ascii="KaTeX_Math" w:eastAsia="KaTeX_Math" w:hAnsi="KaTeX_Math"/>
          <w:i/>
          <w:color w:val="34322D"/>
          <w:w w:val="102"/>
          <w:sz w:val="18"/>
        </w:rPr>
        <w:t xml:space="preserve">exec </w:t>
      </w:r>
      <w:r>
        <w:rPr>
          <w:rFonts w:ascii="Liberation Sans" w:eastAsia="Liberation Sans" w:hAnsi="Liberation Sans"/>
          <w:color w:val="34322D"/>
          <w:sz w:val="24"/>
        </w:rPr>
        <w:t xml:space="preserve">, attention)—whose product defines the tripartite bifurcation parameter </w:t>
      </w:r>
      <w:r>
        <w:rPr>
          <w:rFonts w:ascii="KaTeX_Math" w:eastAsia="KaTeX_Math" w:hAnsi="KaTeX_Math"/>
          <w:i/>
          <w:color w:val="34322D"/>
          <w:w w:val="101"/>
          <w:sz w:val="26"/>
        </w:rPr>
        <w:t>a</w:t>
      </w:r>
      <w:r>
        <w:rPr>
          <w:rFonts w:ascii="KaTeX_Main" w:eastAsia="KaTeX_Main" w:hAnsi="KaTeX_Main"/>
          <w:color w:val="34322D"/>
          <w:w w:val="101"/>
          <w:sz w:val="26"/>
        </w:rPr>
        <w:t xml:space="preserve"> = (</w:t>
      </w:r>
      <w:r>
        <w:rPr>
          <w:rFonts w:ascii="KaTeX_Math" w:eastAsia="KaTeX_Math" w:hAnsi="KaTeX_Math"/>
          <w:i/>
          <w:color w:val="34322D"/>
          <w:w w:val="101"/>
          <w:sz w:val="26"/>
        </w:rPr>
        <w:t xml:space="preserve">G </w:t>
      </w:r>
      <w:r>
        <w:rPr>
          <w:rFonts w:ascii="KaTeX_Math" w:eastAsia="KaTeX_Math" w:hAnsi="KaTeX_Math"/>
          <w:i/>
          <w:color w:val="34322D"/>
          <w:w w:val="102"/>
          <w:sz w:val="18"/>
        </w:rPr>
        <w:t>endo</w:t>
      </w:r>
      <w:r>
        <w:rPr>
          <w:rFonts w:ascii="KaTeX_Math" w:eastAsia="KaTeX_Math" w:hAnsi="KaTeX_Math"/>
          <w:i/>
          <w:color w:val="34322D"/>
          <w:w w:val="101"/>
          <w:sz w:val="26"/>
        </w:rPr>
        <w:t>G</w:t>
      </w:r>
      <w:r>
        <w:rPr>
          <w:rFonts w:ascii="KaTeX_Main" w:eastAsia="KaTeX_Main" w:hAnsi="KaTeX_Main"/>
          <w:color w:val="34322D"/>
          <w:w w:val="75"/>
          <w:sz w:val="2"/>
        </w:rPr>
        <w:t>​</w:t>
      </w:r>
      <w:r>
        <w:rPr>
          <w:rFonts w:ascii="KaTeX_Main" w:eastAsia="KaTeX_Main" w:hAnsi="KaTeX_Main"/>
          <w:color w:val="34322D"/>
          <w:w w:val="101"/>
          <w:sz w:val="26"/>
        </w:rPr>
        <w:t xml:space="preserve"> ⋅</w:t>
      </w:r>
      <w:r>
        <w:tab/>
      </w:r>
      <w:r>
        <w:rPr>
          <w:rFonts w:ascii="KaTeX_Math" w:eastAsia="KaTeX_Math" w:hAnsi="KaTeX_Math"/>
          <w:i/>
          <w:color w:val="34322D"/>
          <w:w w:val="102"/>
          <w:sz w:val="18"/>
        </w:rPr>
        <w:t>exo</w:t>
      </w:r>
      <w:r>
        <w:rPr>
          <w:rFonts w:ascii="KaTeX_Math" w:eastAsia="KaTeX_Math" w:hAnsi="KaTeX_Math"/>
          <w:i/>
          <w:color w:val="34322D"/>
          <w:w w:val="101"/>
          <w:sz w:val="26"/>
        </w:rPr>
        <w:t>G</w:t>
      </w:r>
      <w:r>
        <w:rPr>
          <w:rFonts w:ascii="KaTeX_Main" w:eastAsia="KaTeX_Main" w:hAnsi="KaTeX_Main"/>
          <w:color w:val="34322D"/>
          <w:w w:val="75"/>
          <w:sz w:val="2"/>
        </w:rPr>
        <w:t>​</w:t>
      </w:r>
      <w:r>
        <w:rPr>
          <w:rFonts w:ascii="KaTeX_Main" w:eastAsia="KaTeX_Main" w:hAnsi="KaTeX_Main"/>
          <w:color w:val="34322D"/>
          <w:w w:val="101"/>
          <w:sz w:val="26"/>
        </w:rPr>
        <w:t xml:space="preserve"> ⋅</w:t>
      </w:r>
      <w:r>
        <w:tab/>
      </w:r>
      <w:r>
        <w:tab/>
      </w:r>
      <w:r>
        <w:rPr>
          <w:rFonts w:ascii="KaTeX_Math" w:eastAsia="KaTeX_Math" w:hAnsi="KaTeX_Math"/>
          <w:i/>
          <w:color w:val="34322D"/>
          <w:w w:val="102"/>
          <w:sz w:val="18"/>
        </w:rPr>
        <w:t>exec</w:t>
      </w:r>
      <w:r>
        <w:rPr>
          <w:rFonts w:ascii="KaTeX_Main" w:eastAsia="KaTeX_Main" w:hAnsi="KaTeX_Main"/>
          <w:color w:val="34322D"/>
          <w:w w:val="75"/>
          <w:sz w:val="2"/>
        </w:rPr>
        <w:t>​</w:t>
      </w:r>
      <w:r>
        <w:rPr>
          <w:rFonts w:ascii="KaTeX_Main" w:eastAsia="KaTeX_Main" w:hAnsi="KaTeX_Main"/>
          <w:color w:val="34322D"/>
          <w:w w:val="101"/>
          <w:sz w:val="26"/>
        </w:rPr>
        <w:t xml:space="preserve">) −1 </w:t>
      </w:r>
      <w:r>
        <w:rPr>
          <w:rFonts w:ascii="Liberation Sans" w:eastAsia="Liberation Sans" w:hAnsi="Liberation Sans"/>
          <w:color w:val="34322D"/>
          <w:sz w:val="24"/>
        </w:rPr>
        <w:t>. The multiplicative operator (</w:t>
      </w:r>
      <w:r>
        <w:rPr>
          <w:rFonts w:ascii="KaTeX_Main" w:eastAsia="KaTeX_Main" w:hAnsi="KaTeX_Main"/>
          <w:color w:val="34322D"/>
          <w:w w:val="101"/>
          <w:sz w:val="26"/>
        </w:rPr>
        <w:t>⊗</w:t>
      </w:r>
      <w:r>
        <w:rPr>
          <w:rFonts w:ascii="Liberation Sans" w:eastAsia="Liberation Sans" w:hAnsi="Liberation Sans"/>
          <w:color w:val="34322D"/>
          <w:sz w:val="24"/>
        </w:rPr>
        <w:t xml:space="preserve">) ensures that if any single channel collapses to zero (e.g., brainstem death), the total gain is annihilated regardless of the other channels. </w:t>
      </w:r>
      <w:r>
        <w:rPr>
          <w:rFonts w:ascii="Liberation Sans" w:eastAsia="Liberation Sans" w:hAnsi="Liberation Sans"/>
          <w:i/>
          <w:color w:val="34322D"/>
          <w:sz w:val="24"/>
        </w:rPr>
        <w:t>Panel 2 (Biophysical Mechanism: Hopf Bifurcation)</w:t>
      </w:r>
      <w:r>
        <w:rPr>
          <w:rFonts w:ascii="Liberation Sans" w:eastAsia="Liberation Sans" w:hAnsi="Liberation Sans"/>
          <w:color w:val="34322D"/>
          <w:sz w:val="24"/>
        </w:rPr>
        <w:t xml:space="preserve">: The bifurcation diagram shows the order parameter </w:t>
      </w:r>
      <w:r>
        <w:rPr>
          <w:rFonts w:ascii="KaTeX_Main" w:eastAsia="KaTeX_Main" w:hAnsi="KaTeX_Main"/>
          <w:color w:val="34322D"/>
          <w:w w:val="101"/>
          <w:sz w:val="26"/>
        </w:rPr>
        <w:t>Ψ</w:t>
      </w:r>
      <w:r>
        <w:rPr>
          <w:rFonts w:ascii="Liberation Sans" w:eastAsia="Liberation Sans" w:hAnsi="Liberation Sans"/>
          <w:color w:val="34322D"/>
          <w:sz w:val="24"/>
        </w:rPr>
        <w:t xml:space="preserve"> as a function of </w:t>
      </w:r>
      <w:r>
        <w:rPr>
          <w:rFonts w:ascii="KaTeX_Math" w:eastAsia="KaTeX_Math" w:hAnsi="KaTeX_Math"/>
          <w:i/>
          <w:color w:val="34322D"/>
          <w:w w:val="101"/>
          <w:sz w:val="26"/>
        </w:rPr>
        <w:t xml:space="preserve">G </w:t>
      </w:r>
      <w:r>
        <w:rPr>
          <w:rFonts w:ascii="KaTeX_Math" w:eastAsia="KaTeX_Math" w:hAnsi="KaTeX_Math"/>
          <w:i/>
          <w:color w:val="34322D"/>
          <w:w w:val="102"/>
          <w:sz w:val="18"/>
        </w:rPr>
        <w:t xml:space="preserve">total </w:t>
      </w:r>
      <w:r>
        <w:rPr>
          <w:rFonts w:ascii="Liberation Sans" w:eastAsia="Liberation Sans" w:hAnsi="Liberation Sans"/>
          <w:color w:val="34322D"/>
          <w:sz w:val="24"/>
        </w:rPr>
        <w:t xml:space="preserve">. Below the critical threshold </w:t>
      </w:r>
      <w:r>
        <w:br/>
      </w:r>
      <w:r>
        <w:rPr>
          <w:rFonts w:ascii="KaTeX_Math" w:eastAsia="KaTeX_Math" w:hAnsi="KaTeX_Math"/>
          <w:i/>
          <w:color w:val="34322D"/>
          <w:w w:val="101"/>
          <w:sz w:val="26"/>
        </w:rPr>
        <w:t xml:space="preserve">G </w:t>
      </w:r>
      <w:r>
        <w:rPr>
          <w:rFonts w:ascii="KaTeX_Math" w:eastAsia="KaTeX_Math" w:hAnsi="KaTeX_Math"/>
          <w:i/>
          <w:color w:val="34322D"/>
          <w:w w:val="102"/>
          <w:sz w:val="18"/>
        </w:rPr>
        <w:t>c</w:t>
      </w:r>
      <w:r>
        <w:rPr>
          <w:rFonts w:ascii="KaTeX_Main" w:eastAsia="KaTeX_Main" w:hAnsi="KaTeX_Main"/>
          <w:color w:val="34322D"/>
          <w:w w:val="75"/>
          <w:sz w:val="2"/>
        </w:rPr>
        <w:t>​</w:t>
      </w:r>
      <w:r>
        <w:rPr>
          <w:rFonts w:ascii="KaTeX_Main" w:eastAsia="KaTeX_Main" w:hAnsi="KaTeX_Main"/>
          <w:color w:val="34322D"/>
          <w:w w:val="101"/>
          <w:sz w:val="26"/>
        </w:rPr>
        <w:t xml:space="preserve"> = 1 </w:t>
      </w:r>
      <w:r>
        <w:rPr>
          <w:rFonts w:ascii="Liberation Sans" w:eastAsia="Liberation Sans" w:hAnsi="Liberation Sans"/>
          <w:color w:val="34322D"/>
          <w:sz w:val="24"/>
        </w:rPr>
        <w:t xml:space="preserve">, the system remains at a stable fixed point (quiescent, no integrated thought). Above </w:t>
      </w:r>
      <w:r>
        <w:rPr>
          <w:rFonts w:ascii="KaTeX_Math" w:eastAsia="KaTeX_Math" w:hAnsi="KaTeX_Math"/>
          <w:i/>
          <w:color w:val="34322D"/>
          <w:w w:val="101"/>
          <w:sz w:val="26"/>
        </w:rPr>
        <w:t xml:space="preserve">G </w:t>
      </w:r>
      <w:r>
        <w:rPr>
          <w:rFonts w:ascii="KaTeX_Math" w:eastAsia="KaTeX_Math" w:hAnsi="KaTeX_Math"/>
          <w:i/>
          <w:color w:val="34322D"/>
          <w:w w:val="102"/>
          <w:sz w:val="18"/>
        </w:rPr>
        <w:t>c</w:t>
      </w:r>
      <w:r>
        <w:rPr>
          <w:rFonts w:ascii="KaTeX_Main" w:eastAsia="KaTeX_Main" w:hAnsi="KaTeX_Main"/>
          <w:color w:val="34322D"/>
          <w:w w:val="75"/>
          <w:sz w:val="2"/>
        </w:rPr>
        <w:t>​</w:t>
      </w:r>
      <w:r>
        <w:rPr>
          <w:rFonts w:ascii="KaTeX_Main" w:eastAsia="KaTeX_Main" w:hAnsi="KaTeX_Main"/>
          <w:color w:val="34322D"/>
          <w:w w:val="101"/>
          <w:sz w:val="26"/>
        </w:rPr>
        <w:t xml:space="preserve"> = 1 </w:t>
      </w:r>
      <w:r>
        <w:rPr>
          <w:rFonts w:ascii="Liberation Sans" w:eastAsia="Liberation Sans" w:hAnsi="Liberation Sans"/>
          <w:color w:val="34322D"/>
          <w:sz w:val="24"/>
        </w:rPr>
        <w:t>, a stable limit cycle emerges via supercritical Hopf bifurcation (cognitive ignition). The topographic gain landscape (lower inset) maps clinical states—Coma/UWS, MCS, Vigilance, and Epilepsy—onto the three-dimensional gain surface.</w:t>
      </w:r>
    </w:p>
    <w:p w14:paraId="6D490D65" w14:textId="77777777" w:rsidR="00C23A68" w:rsidRDefault="00000000">
      <w:pPr>
        <w:autoSpaceDE w:val="0"/>
        <w:autoSpaceDN w:val="0"/>
        <w:spacing w:before="92" w:after="28" w:line="274" w:lineRule="auto"/>
        <w:ind w:right="144"/>
      </w:pPr>
      <w:r>
        <w:rPr>
          <w:rFonts w:ascii="Liberation Sans" w:eastAsia="Liberation Sans" w:hAnsi="Liberation Sans"/>
          <w:i/>
          <w:color w:val="34322D"/>
          <w:sz w:val="24"/>
        </w:rPr>
        <w:t>Panel 3 (Outcome: Cognitive Ignition &amp; Order Parameter)</w:t>
      </w:r>
      <w:r>
        <w:rPr>
          <w:rFonts w:ascii="Liberation Sans" w:eastAsia="Liberation Sans" w:hAnsi="Liberation Sans"/>
          <w:color w:val="34322D"/>
          <w:sz w:val="24"/>
        </w:rPr>
        <w:t xml:space="preserve">: Panel 3A shows the temporal evolution of the order parameter </w:t>
      </w:r>
      <w:r>
        <w:rPr>
          <w:rFonts w:ascii="KaTeX_Main" w:eastAsia="KaTeX_Main" w:hAnsi="KaTeX_Main"/>
          <w:color w:val="34322D"/>
          <w:w w:val="101"/>
          <w:sz w:val="26"/>
        </w:rPr>
        <w:t>Ψ(</w:t>
      </w:r>
      <w:r>
        <w:rPr>
          <w:rFonts w:ascii="KaTeX_Math" w:eastAsia="KaTeX_Math" w:hAnsi="KaTeX_Math"/>
          <w:i/>
          <w:color w:val="34322D"/>
          <w:w w:val="101"/>
          <w:sz w:val="26"/>
        </w:rPr>
        <w:t>t</w:t>
      </w:r>
      <w:r>
        <w:rPr>
          <w:rFonts w:ascii="KaTeX_Main" w:eastAsia="KaTeX_Main" w:hAnsi="KaTeX_Main"/>
          <w:color w:val="34322D"/>
          <w:w w:val="101"/>
          <w:sz w:val="26"/>
        </w:rPr>
        <w:t>)</w:t>
      </w:r>
      <w:r>
        <w:rPr>
          <w:rFonts w:ascii="Liberation Sans" w:eastAsia="Liberation Sans" w:hAnsi="Liberation Sans"/>
          <w:color w:val="34322D"/>
          <w:sz w:val="24"/>
        </w:rPr>
        <w:t xml:space="preserve"> crossing the consciousness threshold (red dashed line) when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w:t>
      </w:r>
      <w:r>
        <w:rPr>
          <w:rFonts w:ascii="KaTeX_Math" w:eastAsia="KaTeX_Math" w:hAnsi="KaTeX_Math"/>
          <w:i/>
          <w:color w:val="34322D"/>
          <w:w w:val="101"/>
          <w:sz w:val="26"/>
        </w:rPr>
        <w:t>t</w:t>
      </w:r>
      <w:r>
        <w:rPr>
          <w:rFonts w:ascii="KaTeX_Main" w:eastAsia="KaTeX_Main" w:hAnsi="KaTeX_Main"/>
          <w:color w:val="34322D"/>
          <w:w w:val="101"/>
          <w:sz w:val="26"/>
        </w:rPr>
        <w:t>)</w:t>
      </w:r>
      <w:r>
        <w:rPr>
          <w:rFonts w:ascii="Liberation Sans" w:eastAsia="Liberation Sans" w:hAnsi="Liberation Sans"/>
          <w:color w:val="34322D"/>
          <w:sz w:val="24"/>
        </w:rPr>
        <w:t xml:space="preserve"> fluctuates above </w:t>
      </w:r>
      <w:r>
        <w:rPr>
          <w:rFonts w:ascii="KaTeX_Math" w:eastAsia="KaTeX_Math" w:hAnsi="KaTeX_Math"/>
          <w:i/>
          <w:color w:val="34322D"/>
          <w:w w:val="101"/>
          <w:sz w:val="26"/>
        </w:rPr>
        <w:t xml:space="preserve">G </w:t>
      </w:r>
      <w:r>
        <w:rPr>
          <w:rFonts w:ascii="KaTeX_Math" w:eastAsia="KaTeX_Math" w:hAnsi="KaTeX_Math"/>
          <w:i/>
          <w:color w:val="34322D"/>
          <w:w w:val="102"/>
          <w:sz w:val="18"/>
        </w:rPr>
        <w:t>c</w:t>
      </w:r>
      <w:r>
        <w:rPr>
          <w:rFonts w:ascii="KaTeX_Main" w:eastAsia="KaTeX_Main" w:hAnsi="KaTeX_Main"/>
          <w:color w:val="34322D"/>
          <w:w w:val="75"/>
          <w:sz w:val="2"/>
        </w:rPr>
        <w:t>​</w:t>
      </w:r>
      <w:r>
        <w:rPr>
          <w:rFonts w:ascii="KaTeX_Main" w:eastAsia="KaTeX_Main" w:hAnsi="KaTeX_Main"/>
          <w:color w:val="34322D"/>
          <w:w w:val="101"/>
          <w:sz w:val="26"/>
        </w:rPr>
        <w:t xml:space="preserve"> = 1 </w:t>
      </w:r>
      <w:r>
        <w:rPr>
          <w:rFonts w:ascii="Liberation Sans" w:eastAsia="Liberation Sans" w:hAnsi="Liberation Sans"/>
          <w:color w:val="34322D"/>
          <w:sz w:val="24"/>
        </w:rPr>
        <w:t xml:space="preserve">, representing the physical birth of integrated thought. Panel 3B illustrates the network-level transition from desynchronized clusters to a synchronized macroscopic state. </w:t>
      </w:r>
      <w:r>
        <w:rPr>
          <w:rFonts w:ascii="Liberation Sans" w:eastAsia="Liberation Sans" w:hAnsi="Liberation Sans"/>
          <w:i/>
          <w:color w:val="34322D"/>
          <w:sz w:val="24"/>
        </w:rPr>
        <w:t>Panel 4 (Pathophysiology &amp; Clinical Application)</w:t>
      </w:r>
      <w:r>
        <w:rPr>
          <w:rFonts w:ascii="Liberation Sans" w:eastAsia="Liberation Sans" w:hAnsi="Liberation Sans"/>
          <w:color w:val="34322D"/>
          <w:sz w:val="24"/>
        </w:rPr>
        <w:t>: The stochastic</w:t>
      </w:r>
    </w:p>
    <w:tbl>
      <w:tblPr>
        <w:tblW w:w="0" w:type="auto"/>
        <w:tblLayout w:type="fixed"/>
        <w:tblLook w:val="04A0" w:firstRow="1" w:lastRow="0" w:firstColumn="1" w:lastColumn="0" w:noHBand="0" w:noVBand="1"/>
      </w:tblPr>
      <w:tblGrid>
        <w:gridCol w:w="5980"/>
        <w:gridCol w:w="260"/>
        <w:gridCol w:w="3900"/>
      </w:tblGrid>
      <w:tr w:rsidR="00C23A68" w14:paraId="760A7432" w14:textId="77777777">
        <w:trPr>
          <w:trHeight w:hRule="exact" w:val="384"/>
        </w:trPr>
        <w:tc>
          <w:tcPr>
            <w:tcW w:w="5980" w:type="dxa"/>
            <w:tcMar>
              <w:left w:w="0" w:type="dxa"/>
              <w:right w:w="0" w:type="dxa"/>
            </w:tcMar>
          </w:tcPr>
          <w:p w14:paraId="2693C4BE" w14:textId="77777777" w:rsidR="00C23A68" w:rsidRDefault="00000000">
            <w:pPr>
              <w:autoSpaceDE w:val="0"/>
              <w:autoSpaceDN w:val="0"/>
              <w:spacing w:before="64" w:after="0" w:line="233" w:lineRule="auto"/>
              <w:jc w:val="center"/>
            </w:pPr>
            <w:r>
              <w:rPr>
                <w:rFonts w:ascii="Liberation Sans" w:eastAsia="Liberation Sans" w:hAnsi="Liberation Sans"/>
                <w:color w:val="34322D"/>
                <w:sz w:val="24"/>
              </w:rPr>
              <w:t>etiopathogenesis framework shows how noise intensity (</w:t>
            </w:r>
          </w:p>
        </w:tc>
        <w:tc>
          <w:tcPr>
            <w:tcW w:w="260" w:type="dxa"/>
            <w:tcMar>
              <w:left w:w="0" w:type="dxa"/>
              <w:right w:w="0" w:type="dxa"/>
            </w:tcMar>
          </w:tcPr>
          <w:p w14:paraId="0DEF79FA" w14:textId="77777777" w:rsidR="00C23A68" w:rsidRDefault="00000000">
            <w:pPr>
              <w:autoSpaceDE w:val="0"/>
              <w:autoSpaceDN w:val="0"/>
              <w:spacing w:before="26" w:after="0" w:line="283" w:lineRule="auto"/>
              <w:jc w:val="center"/>
            </w:pPr>
            <w:r>
              <w:rPr>
                <w:rFonts w:ascii="KaTeX_Math" w:eastAsia="KaTeX_Math" w:hAnsi="KaTeX_Math"/>
                <w:i/>
                <w:color w:val="34322D"/>
                <w:w w:val="101"/>
                <w:sz w:val="26"/>
              </w:rPr>
              <w:t>σ</w:t>
            </w:r>
            <w:r>
              <w:rPr>
                <w:rFonts w:ascii="KaTeX_Main" w:eastAsia="KaTeX_Main" w:hAnsi="KaTeX_Main"/>
                <w:color w:val="34322D"/>
                <w:w w:val="102"/>
                <w:sz w:val="18"/>
              </w:rPr>
              <w:t>2</w:t>
            </w:r>
          </w:p>
        </w:tc>
        <w:tc>
          <w:tcPr>
            <w:tcW w:w="3900" w:type="dxa"/>
            <w:tcMar>
              <w:left w:w="0" w:type="dxa"/>
              <w:right w:w="0" w:type="dxa"/>
            </w:tcMar>
          </w:tcPr>
          <w:p w14:paraId="37273434" w14:textId="77777777" w:rsidR="00C23A68" w:rsidRDefault="00000000">
            <w:pPr>
              <w:autoSpaceDE w:val="0"/>
              <w:autoSpaceDN w:val="0"/>
              <w:spacing w:before="64" w:after="0" w:line="233" w:lineRule="auto"/>
              <w:ind w:left="16"/>
            </w:pPr>
            <w:r>
              <w:rPr>
                <w:rFonts w:ascii="Liberation Sans" w:eastAsia="Liberation Sans" w:hAnsi="Liberation Sans"/>
                <w:color w:val="34322D"/>
                <w:sz w:val="24"/>
              </w:rPr>
              <w:t>) determines cognitive phenotype—</w:t>
            </w:r>
          </w:p>
        </w:tc>
      </w:tr>
    </w:tbl>
    <w:p w14:paraId="0A18A30B" w14:textId="77777777" w:rsidR="00C23A68" w:rsidRDefault="00000000">
      <w:pPr>
        <w:autoSpaceDE w:val="0"/>
        <w:autoSpaceDN w:val="0"/>
        <w:spacing w:before="40" w:after="0" w:line="274" w:lineRule="auto"/>
      </w:pPr>
      <w:r>
        <w:rPr>
          <w:rFonts w:ascii="Liberation Sans" w:eastAsia="Liberation Sans" w:hAnsi="Liberation Sans"/>
          <w:color w:val="34322D"/>
          <w:sz w:val="24"/>
        </w:rPr>
        <w:t xml:space="preserve">optimal noise produces flexible thought, low noise yields rigid thought (autism spectrum), and high noise generates chaotic dynamics (psychosis). The real-time bedside monitor </w:t>
      </w:r>
      <w:r>
        <w:br/>
      </w:r>
      <w:r>
        <w:rPr>
          <w:rFonts w:ascii="Liberation Sans" w:eastAsia="Liberation Sans" w:hAnsi="Liberation Sans"/>
          <w:color w:val="34322D"/>
          <w:sz w:val="24"/>
        </w:rPr>
        <w:t xml:space="preserve">(oscilloscope-based protocol) displays two channels: (1) computed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w:t>
      </w:r>
      <w:r>
        <w:rPr>
          <w:rFonts w:ascii="KaTeX_Math" w:eastAsia="KaTeX_Math" w:hAnsi="KaTeX_Math"/>
          <w:i/>
          <w:color w:val="34322D"/>
          <w:w w:val="101"/>
          <w:sz w:val="26"/>
        </w:rPr>
        <w:t>t</w:t>
      </w:r>
      <w:r>
        <w:rPr>
          <w:rFonts w:ascii="KaTeX_Main" w:eastAsia="KaTeX_Main" w:hAnsi="KaTeX_Main"/>
          <w:color w:val="34322D"/>
          <w:w w:val="101"/>
          <w:sz w:val="26"/>
        </w:rPr>
        <w:t>)</w:t>
      </w:r>
      <w:r>
        <w:rPr>
          <w:rFonts w:ascii="Liberation Sans" w:eastAsia="Liberation Sans" w:hAnsi="Liberation Sans"/>
          <w:color w:val="34322D"/>
          <w:sz w:val="24"/>
        </w:rPr>
        <w:t xml:space="preserve"> crossing the threshold </w:t>
      </w:r>
      <w:r>
        <w:rPr>
          <w:rFonts w:ascii="KaTeX_Math" w:eastAsia="KaTeX_Math" w:hAnsi="KaTeX_Math"/>
          <w:i/>
          <w:color w:val="34322D"/>
          <w:w w:val="101"/>
          <w:sz w:val="26"/>
        </w:rPr>
        <w:t xml:space="preserve">G </w:t>
      </w:r>
      <w:r>
        <w:rPr>
          <w:rFonts w:ascii="KaTeX_Math" w:eastAsia="KaTeX_Math" w:hAnsi="KaTeX_Math"/>
          <w:i/>
          <w:color w:val="34322D"/>
          <w:w w:val="102"/>
          <w:sz w:val="18"/>
        </w:rPr>
        <w:t>c</w:t>
      </w:r>
      <w:r>
        <w:rPr>
          <w:rFonts w:ascii="KaTeX_Main" w:eastAsia="KaTeX_Main" w:hAnsi="KaTeX_Main"/>
          <w:color w:val="34322D"/>
          <w:w w:val="75"/>
          <w:sz w:val="2"/>
        </w:rPr>
        <w:t>​</w:t>
      </w:r>
      <w:r>
        <w:rPr>
          <w:rFonts w:ascii="KaTeX_Main" w:eastAsia="KaTeX_Main" w:hAnsi="KaTeX_Main"/>
          <w:color w:val="34322D"/>
          <w:w w:val="101"/>
          <w:sz w:val="26"/>
        </w:rPr>
        <w:t xml:space="preserve"> = 1 </w:t>
      </w:r>
      <w:r>
        <w:rPr>
          <w:rFonts w:ascii="Liberation Sans" w:eastAsia="Liberation Sans" w:hAnsi="Liberation Sans"/>
          <w:color w:val="34322D"/>
          <w:sz w:val="24"/>
        </w:rPr>
        <w:t xml:space="preserve">, and (2) measured order parameter </w:t>
      </w:r>
      <w:r>
        <w:rPr>
          <w:rFonts w:ascii="KaTeX_Main" w:eastAsia="KaTeX_Main" w:hAnsi="KaTeX_Main"/>
          <w:color w:val="34322D"/>
          <w:w w:val="101"/>
          <w:sz w:val="26"/>
        </w:rPr>
        <w:t>Ψ(</w:t>
      </w:r>
      <w:r>
        <w:rPr>
          <w:rFonts w:ascii="KaTeX_Math" w:eastAsia="KaTeX_Math" w:hAnsi="KaTeX_Math"/>
          <w:i/>
          <w:color w:val="34322D"/>
          <w:w w:val="101"/>
          <w:sz w:val="26"/>
        </w:rPr>
        <w:t>t</w:t>
      </w:r>
      <w:r>
        <w:rPr>
          <w:rFonts w:ascii="KaTeX_Main" w:eastAsia="KaTeX_Main" w:hAnsi="KaTeX_Main"/>
          <w:color w:val="34322D"/>
          <w:w w:val="101"/>
          <w:sz w:val="26"/>
        </w:rPr>
        <w:t>)</w:t>
      </w:r>
      <w:r>
        <w:rPr>
          <w:rFonts w:ascii="Liberation Sans" w:eastAsia="Liberation Sans" w:hAnsi="Liberation Sans"/>
          <w:color w:val="34322D"/>
          <w:sz w:val="24"/>
        </w:rPr>
        <w:t xml:space="preserve"> showing oscillation collapse. Clinical markers include infrared pupillometry and gamma coherence from EEG.</w:t>
      </w:r>
    </w:p>
    <w:p w14:paraId="6E33A0A7" w14:textId="77777777" w:rsidR="00C23A68" w:rsidRDefault="00C23A68">
      <w:pPr>
        <w:sectPr w:rsidR="00C23A68">
          <w:pgSz w:w="11918" w:h="16838"/>
          <w:pgMar w:top="580" w:right="814" w:bottom="1440" w:left="840" w:header="720" w:footer="720" w:gutter="0"/>
          <w:cols w:space="720"/>
          <w:docGrid w:linePitch="360"/>
        </w:sectPr>
      </w:pPr>
    </w:p>
    <w:p w14:paraId="4DA727B2" w14:textId="77777777" w:rsidR="00C23A68" w:rsidRDefault="00000000">
      <w:pPr>
        <w:autoSpaceDE w:val="0"/>
        <w:autoSpaceDN w:val="0"/>
        <w:spacing w:after="376" w:line="220" w:lineRule="exact"/>
      </w:pPr>
      <w:r>
        <w:rPr>
          <w:noProof/>
        </w:rPr>
        <w:lastRenderedPageBreak/>
        <w:drawing>
          <wp:anchor distT="0" distB="0" distL="0" distR="0" simplePos="0" relativeHeight="251659264" behindDoc="1" locked="0" layoutInCell="1" allowOverlap="1" wp14:anchorId="073A3AD1" wp14:editId="5FEF0BA3">
            <wp:simplePos x="0" y="0"/>
            <wp:positionH relativeFrom="page">
              <wp:posOffset>3416300</wp:posOffset>
            </wp:positionH>
            <wp:positionV relativeFrom="page">
              <wp:posOffset>9004300</wp:posOffset>
            </wp:positionV>
            <wp:extent cx="2565400" cy="203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2565400" cy="203200"/>
                    </a:xfrm>
                    <a:prstGeom prst="rect">
                      <a:avLst/>
                    </a:prstGeom>
                  </pic:spPr>
                </pic:pic>
              </a:graphicData>
            </a:graphic>
          </wp:anchor>
        </w:drawing>
      </w:r>
    </w:p>
    <w:p w14:paraId="20AAA96A" w14:textId="77777777" w:rsidR="00C23A68" w:rsidRDefault="00000000">
      <w:pPr>
        <w:autoSpaceDE w:val="0"/>
        <w:autoSpaceDN w:val="0"/>
        <w:spacing w:after="0" w:line="254" w:lineRule="auto"/>
        <w:ind w:right="720"/>
      </w:pPr>
      <w:r>
        <w:rPr>
          <w:rFonts w:ascii="Caladea" w:eastAsia="Caladea" w:hAnsi="Caladea"/>
          <w:b/>
          <w:color w:val="34322D"/>
          <w:sz w:val="36"/>
        </w:rPr>
        <w:t>Supplementary Figure S3. Three-Dimensional Topographic Surface of the Order Parameter</w:t>
      </w:r>
    </w:p>
    <w:p w14:paraId="4E320180" w14:textId="77777777" w:rsidR="00C23A68" w:rsidRDefault="00000000">
      <w:pPr>
        <w:autoSpaceDE w:val="0"/>
        <w:autoSpaceDN w:val="0"/>
        <w:spacing w:before="374" w:after="0" w:line="240" w:lineRule="auto"/>
        <w:jc w:val="center"/>
      </w:pPr>
      <w:r>
        <w:rPr>
          <w:noProof/>
        </w:rPr>
        <w:drawing>
          <wp:inline distT="0" distB="0" distL="0" distR="0" wp14:anchorId="709E5064" wp14:editId="047F06EA">
            <wp:extent cx="6504940" cy="67640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6504940" cy="6764019"/>
                    </a:xfrm>
                    <a:prstGeom prst="rect">
                      <a:avLst/>
                    </a:prstGeom>
                  </pic:spPr>
                </pic:pic>
              </a:graphicData>
            </a:graphic>
          </wp:inline>
        </w:drawing>
      </w:r>
    </w:p>
    <w:p w14:paraId="6F707BF7" w14:textId="77777777" w:rsidR="00C23A68" w:rsidRDefault="00000000">
      <w:pPr>
        <w:tabs>
          <w:tab w:val="left" w:pos="1228"/>
          <w:tab w:val="left" w:pos="1432"/>
          <w:tab w:val="left" w:pos="2374"/>
          <w:tab w:val="left" w:pos="2582"/>
          <w:tab w:val="left" w:pos="2954"/>
          <w:tab w:val="left" w:pos="3306"/>
          <w:tab w:val="left" w:pos="3644"/>
          <w:tab w:val="left" w:pos="3958"/>
          <w:tab w:val="left" w:pos="4778"/>
          <w:tab w:val="left" w:pos="5904"/>
          <w:tab w:val="left" w:pos="6300"/>
          <w:tab w:val="left" w:pos="6830"/>
          <w:tab w:val="left" w:pos="7184"/>
          <w:tab w:val="left" w:pos="7656"/>
          <w:tab w:val="left" w:pos="8026"/>
          <w:tab w:val="left" w:pos="8584"/>
          <w:tab w:val="left" w:pos="8844"/>
          <w:tab w:val="left" w:pos="9534"/>
        </w:tabs>
        <w:autoSpaceDE w:val="0"/>
        <w:autoSpaceDN w:val="0"/>
        <w:spacing w:before="382" w:after="0" w:line="264" w:lineRule="auto"/>
        <w:ind w:right="144"/>
      </w:pPr>
      <w:r>
        <w:rPr>
          <w:rFonts w:ascii="Liberation Sans" w:eastAsia="Liberation Sans" w:hAnsi="Liberation Sans"/>
          <w:b/>
          <w:color w:val="34322D"/>
          <w:sz w:val="24"/>
        </w:rPr>
        <w:t xml:space="preserve">Supplementary Figure S3. Three-dimensional surface of the macroscopic order </w:t>
      </w:r>
      <w:r>
        <w:br/>
      </w:r>
      <w:r>
        <w:rPr>
          <w:rFonts w:ascii="Liberation Sans" w:eastAsia="Liberation Sans" w:hAnsi="Liberation Sans"/>
          <w:b/>
          <w:color w:val="34322D"/>
          <w:sz w:val="24"/>
        </w:rPr>
        <w:t xml:space="preserve">parameter </w:t>
      </w:r>
      <w:r>
        <w:rPr>
          <w:rFonts w:ascii="KaTeX_Main" w:eastAsia="KaTeX_Main" w:hAnsi="KaTeX_Main"/>
          <w:color w:val="34322D"/>
          <w:w w:val="101"/>
          <w:sz w:val="26"/>
        </w:rPr>
        <w:t>Ψ</w:t>
      </w:r>
      <w:r>
        <w:rPr>
          <w:rFonts w:ascii="Liberation Sans" w:eastAsia="Liberation Sans" w:hAnsi="Liberation Sans"/>
          <w:b/>
          <w:color w:val="34322D"/>
          <w:sz w:val="24"/>
        </w:rPr>
        <w:t xml:space="preserve"> as a function of endogenous and exogenous gain, with dynamic clinical trajectories.</w:t>
      </w:r>
      <w:r>
        <w:rPr>
          <w:rFonts w:ascii="Liberation Sans" w:eastAsia="Liberation Sans" w:hAnsi="Liberation Sans"/>
          <w:color w:val="34322D"/>
          <w:sz w:val="24"/>
        </w:rPr>
        <w:t xml:space="preserve"> The surface represents </w:t>
      </w:r>
      <w:r>
        <w:rPr>
          <w:rFonts w:ascii="KaTeX_Main" w:eastAsia="KaTeX_Main" w:hAnsi="KaTeX_Main"/>
          <w:color w:val="34322D"/>
          <w:w w:val="101"/>
          <w:sz w:val="26"/>
        </w:rPr>
        <w:t>Ψ = max(0,</w:t>
      </w:r>
      <w:r>
        <w:rPr>
          <w:rFonts w:ascii="KaTeX_Math" w:eastAsia="KaTeX_Math" w:hAnsi="KaTeX_Math"/>
          <w:i/>
          <w:color w:val="34322D"/>
          <w:w w:val="101"/>
          <w:sz w:val="26"/>
        </w:rPr>
        <w:t xml:space="preserve">G </w:t>
      </w:r>
      <w:r>
        <w:rPr>
          <w:rFonts w:ascii="KaTeX_Math" w:eastAsia="KaTeX_Math" w:hAnsi="KaTeX_Math"/>
          <w:i/>
          <w:color w:val="34322D"/>
          <w:w w:val="102"/>
          <w:sz w:val="18"/>
        </w:rPr>
        <w:t>endo</w:t>
      </w:r>
      <w:r>
        <w:rPr>
          <w:rFonts w:ascii="KaTeX_Main" w:eastAsia="KaTeX_Main" w:hAnsi="KaTeX_Main"/>
          <w:color w:val="34322D"/>
          <w:w w:val="75"/>
          <w:sz w:val="2"/>
        </w:rPr>
        <w:t>​</w:t>
      </w:r>
      <w:r>
        <w:rPr>
          <w:rFonts w:ascii="KaTeX_Main" w:eastAsia="KaTeX_Main" w:hAnsi="KaTeX_Main"/>
          <w:color w:val="34322D"/>
          <w:w w:val="101"/>
          <w:sz w:val="26"/>
        </w:rPr>
        <w:t xml:space="preserve"> ×</w:t>
      </w:r>
      <w:r>
        <w:rPr>
          <w:rFonts w:ascii="KaTeX_Math" w:eastAsia="KaTeX_Math" w:hAnsi="KaTeX_Math"/>
          <w:i/>
          <w:color w:val="34322D"/>
          <w:w w:val="101"/>
          <w:sz w:val="26"/>
        </w:rPr>
        <w:t xml:space="preserve"> G </w:t>
      </w:r>
      <w:r>
        <w:rPr>
          <w:rFonts w:ascii="KaTeX_Math" w:eastAsia="KaTeX_Math" w:hAnsi="KaTeX_Math"/>
          <w:i/>
          <w:color w:val="34322D"/>
          <w:w w:val="102"/>
          <w:sz w:val="18"/>
        </w:rPr>
        <w:t>exo</w:t>
      </w:r>
      <w:r>
        <w:rPr>
          <w:rFonts w:ascii="KaTeX_Main" w:eastAsia="KaTeX_Main" w:hAnsi="KaTeX_Main"/>
          <w:color w:val="34322D"/>
          <w:w w:val="101"/>
          <w:sz w:val="26"/>
        </w:rPr>
        <w:t>×</w:t>
      </w:r>
      <w:r>
        <w:rPr>
          <w:rFonts w:ascii="KaTeX_Math" w:eastAsia="KaTeX_Math" w:hAnsi="KaTeX_Math"/>
          <w:i/>
          <w:color w:val="34322D"/>
          <w:w w:val="101"/>
          <w:sz w:val="26"/>
        </w:rPr>
        <w:t xml:space="preserve"> G </w:t>
      </w:r>
      <w:r>
        <w:rPr>
          <w:rFonts w:ascii="KaTeX_Math" w:eastAsia="KaTeX_Math" w:hAnsi="KaTeX_Math"/>
          <w:i/>
          <w:color w:val="34322D"/>
          <w:w w:val="102"/>
          <w:sz w:val="18"/>
        </w:rPr>
        <w:t>exec</w:t>
      </w:r>
      <w:r>
        <w:rPr>
          <w:rFonts w:ascii="KaTeX_Main" w:eastAsia="KaTeX_Main" w:hAnsi="KaTeX_Main"/>
          <w:color w:val="34322D"/>
          <w:w w:val="75"/>
          <w:sz w:val="2"/>
        </w:rPr>
        <w:t>​</w:t>
      </w:r>
      <w:r>
        <w:rPr>
          <w:rFonts w:ascii="KaTeX_Main" w:eastAsia="KaTeX_Main" w:hAnsi="KaTeX_Main"/>
          <w:color w:val="34322D"/>
          <w:w w:val="101"/>
          <w:sz w:val="26"/>
        </w:rPr>
        <w:t xml:space="preserve"> −1)</w:t>
      </w:r>
      <w:r>
        <w:rPr>
          <w:rFonts w:ascii="Liberation Sans" w:eastAsia="Liberation Sans" w:hAnsi="Liberation Sans"/>
          <w:color w:val="34322D"/>
          <w:sz w:val="24"/>
        </w:rPr>
        <w:t xml:space="preserve"> computed for a fixed executive gain </w:t>
      </w:r>
      <w:r>
        <w:rPr>
          <w:rFonts w:ascii="KaTeX_Math" w:eastAsia="KaTeX_Math" w:hAnsi="KaTeX_Math"/>
          <w:i/>
          <w:color w:val="34322D"/>
          <w:w w:val="101"/>
          <w:sz w:val="26"/>
        </w:rPr>
        <w:t xml:space="preserve">G </w:t>
      </w:r>
      <w:r>
        <w:rPr>
          <w:rFonts w:ascii="KaTeX_Math" w:eastAsia="KaTeX_Math" w:hAnsi="KaTeX_Math"/>
          <w:i/>
          <w:color w:val="34322D"/>
          <w:w w:val="102"/>
          <w:sz w:val="18"/>
        </w:rPr>
        <w:t>exec</w:t>
      </w:r>
      <w:r>
        <w:rPr>
          <w:rFonts w:ascii="KaTeX_Main" w:eastAsia="KaTeX_Main" w:hAnsi="KaTeX_Main"/>
          <w:color w:val="34322D"/>
          <w:w w:val="75"/>
          <w:sz w:val="2"/>
        </w:rPr>
        <w:t>​</w:t>
      </w:r>
      <w:r>
        <w:rPr>
          <w:rFonts w:ascii="KaTeX_Main" w:eastAsia="KaTeX_Main" w:hAnsi="KaTeX_Main"/>
          <w:color w:val="34322D"/>
          <w:w w:val="101"/>
          <w:sz w:val="26"/>
        </w:rPr>
        <w:t xml:space="preserve"> = 1.0</w:t>
      </w:r>
      <w:r>
        <w:rPr>
          <w:rFonts w:ascii="Liberation Sans" w:eastAsia="Liberation Sans" w:hAnsi="Liberation Sans"/>
          <w:color w:val="34322D"/>
          <w:sz w:val="24"/>
        </w:rPr>
        <w:t xml:space="preserve"> (normalized). The color gradient encodes the amplitude of the order parameter: deep blue corresponds to the subcritical regime (Coma/UWS, </w:t>
      </w:r>
      <w:r>
        <w:rPr>
          <w:rFonts w:ascii="KaTeX_Main" w:eastAsia="KaTeX_Main" w:hAnsi="KaTeX_Main"/>
          <w:color w:val="34322D"/>
          <w:w w:val="101"/>
          <w:sz w:val="26"/>
        </w:rPr>
        <w:t xml:space="preserve">Ψ = 0 </w:t>
      </w:r>
      <w:r>
        <w:rPr>
          <w:rFonts w:ascii="Liberation Sans" w:eastAsia="Liberation Sans" w:hAnsi="Liberation Sans"/>
          <w:color w:val="34322D"/>
          <w:sz w:val="24"/>
        </w:rPr>
        <w:t>), cyan-green to the pericritical zone (MCS), yellow-orange to the supracritical regime</w:t>
      </w:r>
    </w:p>
    <w:p w14:paraId="4950A538" w14:textId="77777777" w:rsidR="00C23A68" w:rsidRDefault="00C23A68">
      <w:pPr>
        <w:sectPr w:rsidR="00C23A68">
          <w:pgSz w:w="11918" w:h="16838"/>
          <w:pgMar w:top="596" w:right="814" w:bottom="646" w:left="840" w:header="720" w:footer="720" w:gutter="0"/>
          <w:cols w:space="720"/>
          <w:docGrid w:linePitch="360"/>
        </w:sectPr>
      </w:pPr>
    </w:p>
    <w:p w14:paraId="35DF442A" w14:textId="77777777" w:rsidR="00C23A68" w:rsidRDefault="00000000">
      <w:pPr>
        <w:autoSpaceDE w:val="0"/>
        <w:autoSpaceDN w:val="0"/>
        <w:spacing w:after="352" w:line="220" w:lineRule="exact"/>
      </w:pPr>
      <w:r>
        <w:rPr>
          <w:noProof/>
        </w:rPr>
        <w:lastRenderedPageBreak/>
        <w:drawing>
          <wp:anchor distT="0" distB="0" distL="0" distR="0" simplePos="0" relativeHeight="251660288" behindDoc="1" locked="0" layoutInCell="1" allowOverlap="1" wp14:anchorId="1838F8C8" wp14:editId="5CACC5DB">
            <wp:simplePos x="0" y="0"/>
            <wp:positionH relativeFrom="page">
              <wp:posOffset>3289300</wp:posOffset>
            </wp:positionH>
            <wp:positionV relativeFrom="page">
              <wp:posOffset>7124700</wp:posOffset>
            </wp:positionV>
            <wp:extent cx="1473200" cy="203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1473200" cy="203200"/>
                    </a:xfrm>
                    <a:prstGeom prst="rect">
                      <a:avLst/>
                    </a:prstGeom>
                  </pic:spPr>
                </pic:pic>
              </a:graphicData>
            </a:graphic>
          </wp:anchor>
        </w:drawing>
      </w:r>
    </w:p>
    <w:p w14:paraId="5146CB89" w14:textId="77777777" w:rsidR="00C23A68" w:rsidRDefault="00000000">
      <w:pPr>
        <w:tabs>
          <w:tab w:val="left" w:pos="6164"/>
          <w:tab w:val="left" w:pos="6372"/>
          <w:tab w:val="left" w:pos="6630"/>
          <w:tab w:val="left" w:pos="6768"/>
          <w:tab w:val="left" w:pos="6896"/>
          <w:tab w:val="left" w:pos="7008"/>
          <w:tab w:val="left" w:pos="7090"/>
          <w:tab w:val="left" w:pos="7298"/>
          <w:tab w:val="left" w:pos="7592"/>
          <w:tab w:val="left" w:pos="7756"/>
          <w:tab w:val="left" w:pos="7944"/>
          <w:tab w:val="left" w:pos="8416"/>
          <w:tab w:val="left" w:pos="8788"/>
        </w:tabs>
        <w:autoSpaceDE w:val="0"/>
        <w:autoSpaceDN w:val="0"/>
        <w:spacing w:after="46" w:line="290" w:lineRule="auto"/>
      </w:pPr>
      <w:r>
        <w:rPr>
          <w:rFonts w:ascii="Liberation Sans" w:eastAsia="Liberation Sans" w:hAnsi="Liberation Sans"/>
          <w:color w:val="34322D"/>
          <w:sz w:val="24"/>
        </w:rPr>
        <w:t xml:space="preserve">(Vigilance/Delirium), and red to the hypercritical regime (Epilepsy, </w:t>
      </w:r>
      <w:r>
        <w:rPr>
          <w:rFonts w:ascii="KaTeX_Main" w:eastAsia="KaTeX_Main" w:hAnsi="KaTeX_Main"/>
          <w:color w:val="34322D"/>
          <w:w w:val="101"/>
          <w:sz w:val="26"/>
        </w:rPr>
        <w:t xml:space="preserve">Ψ ≫1 </w:t>
      </w:r>
      <w:r>
        <w:rPr>
          <w:rFonts w:ascii="Liberation Sans" w:eastAsia="Liberation Sans" w:hAnsi="Liberation Sans"/>
          <w:color w:val="34322D"/>
          <w:sz w:val="24"/>
        </w:rPr>
        <w:t xml:space="preserve">). The golden curve on the base plane represents the critical threshold hyperbola </w:t>
      </w:r>
      <w:r>
        <w:rPr>
          <w:rFonts w:ascii="KaTeX_Math" w:eastAsia="KaTeX_Math" w:hAnsi="KaTeX_Math"/>
          <w:i/>
          <w:color w:val="34322D"/>
          <w:w w:val="101"/>
          <w:sz w:val="26"/>
        </w:rPr>
        <w:t xml:space="preserve">G </w:t>
      </w:r>
      <w:r>
        <w:rPr>
          <w:rFonts w:ascii="KaTeX_Math" w:eastAsia="KaTeX_Math" w:hAnsi="KaTeX_Math"/>
          <w:i/>
          <w:color w:val="34322D"/>
          <w:w w:val="102"/>
          <w:sz w:val="18"/>
        </w:rPr>
        <w:t>endo</w:t>
      </w:r>
      <w:r>
        <w:rPr>
          <w:rFonts w:ascii="KaTeX_Main" w:eastAsia="KaTeX_Main" w:hAnsi="KaTeX_Main"/>
          <w:color w:val="34322D"/>
          <w:w w:val="75"/>
          <w:sz w:val="2"/>
        </w:rPr>
        <w:t>​</w:t>
      </w:r>
      <w:r>
        <w:rPr>
          <w:rFonts w:ascii="KaTeX_Main" w:eastAsia="KaTeX_Main" w:hAnsi="KaTeX_Main"/>
          <w:color w:val="34322D"/>
          <w:w w:val="101"/>
          <w:sz w:val="26"/>
        </w:rPr>
        <w:t xml:space="preserve"> ×</w:t>
      </w:r>
      <w:r>
        <w:rPr>
          <w:rFonts w:ascii="KaTeX_Math" w:eastAsia="KaTeX_Math" w:hAnsi="KaTeX_Math"/>
          <w:i/>
          <w:color w:val="34322D"/>
          <w:w w:val="101"/>
          <w:sz w:val="26"/>
        </w:rPr>
        <w:t xml:space="preserve">G </w:t>
      </w:r>
      <w:r>
        <w:rPr>
          <w:rFonts w:ascii="KaTeX_Math" w:eastAsia="KaTeX_Math" w:hAnsi="KaTeX_Math"/>
          <w:i/>
          <w:color w:val="34322D"/>
          <w:w w:val="102"/>
          <w:sz w:val="18"/>
        </w:rPr>
        <w:t>exo</w:t>
      </w:r>
      <w:r>
        <w:rPr>
          <w:rFonts w:ascii="KaTeX_Main" w:eastAsia="KaTeX_Main" w:hAnsi="KaTeX_Main"/>
          <w:color w:val="34322D"/>
          <w:w w:val="75"/>
          <w:sz w:val="2"/>
        </w:rPr>
        <w:t>​</w:t>
      </w:r>
      <w:r>
        <w:rPr>
          <w:rFonts w:ascii="KaTeX_Main" w:eastAsia="KaTeX_Main" w:hAnsi="KaTeX_Main"/>
          <w:color w:val="34322D"/>
          <w:w w:val="101"/>
          <w:sz w:val="26"/>
        </w:rPr>
        <w:t xml:space="preserve"> = 1/</w:t>
      </w:r>
      <w:r>
        <w:rPr>
          <w:rFonts w:ascii="KaTeX_Math" w:eastAsia="KaTeX_Math" w:hAnsi="KaTeX_Math"/>
          <w:i/>
          <w:color w:val="34322D"/>
          <w:w w:val="101"/>
          <w:sz w:val="26"/>
        </w:rPr>
        <w:t xml:space="preserve">G </w:t>
      </w:r>
      <w:r>
        <w:rPr>
          <w:rFonts w:ascii="KaTeX_Math" w:eastAsia="KaTeX_Math" w:hAnsi="KaTeX_Math"/>
          <w:i/>
          <w:color w:val="34322D"/>
          <w:w w:val="102"/>
          <w:sz w:val="18"/>
        </w:rPr>
        <w:t xml:space="preserve">exec </w:t>
      </w:r>
      <w:r>
        <w:rPr>
          <w:rFonts w:ascii="Liberation Sans" w:eastAsia="Liberation Sans" w:hAnsi="Liberation Sans"/>
          <w:color w:val="34322D"/>
          <w:sz w:val="24"/>
        </w:rPr>
        <w:t>, below which no sustained oscillation (and hence no integrated conscious processing) is possible. Stochastic texture on the surface simulates thermodynamic neural noise (</w:t>
      </w:r>
      <w:r>
        <w:rPr>
          <w:rFonts w:ascii="KaTeX_Math" w:eastAsia="KaTeX_Math" w:hAnsi="KaTeX_Math"/>
          <w:i/>
          <w:color w:val="34322D"/>
          <w:w w:val="101"/>
          <w:sz w:val="26"/>
        </w:rPr>
        <w:t>σ</w:t>
      </w:r>
      <w:r>
        <w:rPr>
          <w:rFonts w:ascii="KaTeX_Main" w:eastAsia="KaTeX_Main" w:hAnsi="KaTeX_Main"/>
          <w:color w:val="34322D"/>
          <w:w w:val="102"/>
          <w:sz w:val="18"/>
        </w:rPr>
        <w:t xml:space="preserve">2 </w:t>
      </w:r>
      <w:r>
        <w:br/>
      </w:r>
      <w:r>
        <w:rPr>
          <w:rFonts w:ascii="Liberation Sans" w:eastAsia="Liberation Sans" w:hAnsi="Liberation Sans"/>
          <w:color w:val="34322D"/>
          <w:sz w:val="24"/>
        </w:rPr>
        <w:t>), which is amplified near the critical threshold due to critical slowing down. Five representative clinical trajectories (white arrows) illustrate: (1) full recovery from coma to consciousness; (2) partial recovery stalling at MCS; (3) fluctuating delirium trajectory; (4) epileptic escalation with runaway gain; and (5) anesthetic induction (consciousness to coma). The multiplicative nature of the model is evident</w:t>
      </w:r>
    </w:p>
    <w:tbl>
      <w:tblPr>
        <w:tblW w:w="0" w:type="auto"/>
        <w:tblLayout w:type="fixed"/>
        <w:tblLook w:val="04A0" w:firstRow="1" w:lastRow="0" w:firstColumn="1" w:lastColumn="0" w:noHBand="0" w:noVBand="1"/>
      </w:tblPr>
      <w:tblGrid>
        <w:gridCol w:w="560"/>
        <w:gridCol w:w="3980"/>
        <w:gridCol w:w="560"/>
        <w:gridCol w:w="280"/>
        <w:gridCol w:w="2400"/>
        <w:gridCol w:w="320"/>
        <w:gridCol w:w="640"/>
        <w:gridCol w:w="300"/>
        <w:gridCol w:w="220"/>
        <w:gridCol w:w="300"/>
        <w:gridCol w:w="684"/>
      </w:tblGrid>
      <w:tr w:rsidR="00C23A68" w14:paraId="5B14DEF4" w14:textId="77777777">
        <w:trPr>
          <w:trHeight w:hRule="exact" w:val="364"/>
        </w:trPr>
        <w:tc>
          <w:tcPr>
            <w:tcW w:w="4540" w:type="dxa"/>
            <w:gridSpan w:val="2"/>
            <w:tcMar>
              <w:left w:w="0" w:type="dxa"/>
              <w:right w:w="0" w:type="dxa"/>
            </w:tcMar>
          </w:tcPr>
          <w:p w14:paraId="23FB1D2A" w14:textId="77777777" w:rsidR="00C23A68" w:rsidRDefault="00000000">
            <w:pPr>
              <w:autoSpaceDE w:val="0"/>
              <w:autoSpaceDN w:val="0"/>
              <w:spacing w:before="46" w:after="0" w:line="266" w:lineRule="auto"/>
              <w:jc w:val="center"/>
            </w:pPr>
            <w:r>
              <w:rPr>
                <w:rFonts w:ascii="Liberation Sans" w:eastAsia="Liberation Sans" w:hAnsi="Liberation Sans"/>
                <w:color w:val="34322D"/>
                <w:sz w:val="24"/>
              </w:rPr>
              <w:t xml:space="preserve">in the surface geometry: when either </w:t>
            </w:r>
            <w:r>
              <w:rPr>
                <w:rFonts w:ascii="KaTeX_Math" w:eastAsia="KaTeX_Math" w:hAnsi="KaTeX_Math"/>
                <w:i/>
                <w:color w:val="34322D"/>
                <w:w w:val="101"/>
                <w:sz w:val="26"/>
              </w:rPr>
              <w:t xml:space="preserve">G </w:t>
            </w:r>
            <w:r>
              <w:rPr>
                <w:rFonts w:ascii="KaTeX_Math" w:eastAsia="KaTeX_Math" w:hAnsi="KaTeX_Math"/>
                <w:i/>
                <w:color w:val="34322D"/>
                <w:w w:val="102"/>
                <w:sz w:val="18"/>
              </w:rPr>
              <w:t>endo</w:t>
            </w:r>
          </w:p>
        </w:tc>
        <w:tc>
          <w:tcPr>
            <w:tcW w:w="560" w:type="dxa"/>
            <w:tcMar>
              <w:left w:w="0" w:type="dxa"/>
              <w:right w:w="0" w:type="dxa"/>
            </w:tcMar>
          </w:tcPr>
          <w:p w14:paraId="739A984A" w14:textId="77777777" w:rsidR="00C23A68" w:rsidRDefault="00000000">
            <w:pPr>
              <w:autoSpaceDE w:val="0"/>
              <w:autoSpaceDN w:val="0"/>
              <w:spacing w:before="46" w:after="0" w:line="242" w:lineRule="auto"/>
              <w:jc w:val="center"/>
            </w:pPr>
            <w:r>
              <w:rPr>
                <w:rFonts w:ascii="Liberation Sans" w:eastAsia="Liberation Sans" w:hAnsi="Liberation Sans"/>
                <w:color w:val="34322D"/>
                <w:sz w:val="24"/>
              </w:rPr>
              <w:t xml:space="preserve"> or </w:t>
            </w:r>
            <w:r>
              <w:rPr>
                <w:rFonts w:ascii="KaTeX_Math" w:eastAsia="KaTeX_Math" w:hAnsi="KaTeX_Math"/>
                <w:i/>
                <w:color w:val="34322D"/>
                <w:w w:val="101"/>
                <w:sz w:val="26"/>
              </w:rPr>
              <w:t>G</w:t>
            </w:r>
          </w:p>
        </w:tc>
        <w:tc>
          <w:tcPr>
            <w:tcW w:w="280" w:type="dxa"/>
            <w:tcMar>
              <w:left w:w="0" w:type="dxa"/>
              <w:right w:w="0" w:type="dxa"/>
            </w:tcMar>
          </w:tcPr>
          <w:p w14:paraId="0CD14C64" w14:textId="77777777" w:rsidR="00C23A68" w:rsidRDefault="00000000">
            <w:pPr>
              <w:autoSpaceDE w:val="0"/>
              <w:autoSpaceDN w:val="0"/>
              <w:spacing w:before="168" w:after="0" w:line="233" w:lineRule="auto"/>
              <w:jc w:val="center"/>
            </w:pPr>
            <w:r>
              <w:rPr>
                <w:rFonts w:ascii="KaTeX_Math" w:eastAsia="KaTeX_Math" w:hAnsi="KaTeX_Math"/>
                <w:i/>
                <w:color w:val="34322D"/>
                <w:w w:val="102"/>
                <w:sz w:val="18"/>
              </w:rPr>
              <w:t>exo</w:t>
            </w:r>
          </w:p>
        </w:tc>
        <w:tc>
          <w:tcPr>
            <w:tcW w:w="4864" w:type="dxa"/>
            <w:gridSpan w:val="7"/>
            <w:tcMar>
              <w:left w:w="0" w:type="dxa"/>
              <w:right w:w="0" w:type="dxa"/>
            </w:tcMar>
          </w:tcPr>
          <w:p w14:paraId="546C5565" w14:textId="77777777" w:rsidR="00C23A68" w:rsidRDefault="00000000">
            <w:pPr>
              <w:autoSpaceDE w:val="0"/>
              <w:autoSpaceDN w:val="0"/>
              <w:spacing w:before="46" w:after="0" w:line="233" w:lineRule="auto"/>
              <w:ind w:left="22"/>
            </w:pPr>
            <w:r>
              <w:rPr>
                <w:rFonts w:ascii="Liberation Sans" w:eastAsia="Liberation Sans" w:hAnsi="Liberation Sans"/>
                <w:color w:val="34322D"/>
                <w:sz w:val="24"/>
              </w:rPr>
              <w:t xml:space="preserve"> approaches zero (brainstem death or</w:t>
            </w:r>
          </w:p>
        </w:tc>
      </w:tr>
      <w:tr w:rsidR="00C23A68" w14:paraId="6075C093" w14:textId="77777777">
        <w:trPr>
          <w:trHeight w:hRule="exact" w:val="340"/>
        </w:trPr>
        <w:tc>
          <w:tcPr>
            <w:tcW w:w="10244" w:type="dxa"/>
            <w:gridSpan w:val="11"/>
            <w:tcMar>
              <w:left w:w="0" w:type="dxa"/>
              <w:right w:w="0" w:type="dxa"/>
            </w:tcMar>
          </w:tcPr>
          <w:p w14:paraId="4ABA199F" w14:textId="77777777" w:rsidR="00C23A68" w:rsidRDefault="00000000">
            <w:pPr>
              <w:autoSpaceDE w:val="0"/>
              <w:autoSpaceDN w:val="0"/>
              <w:spacing w:before="22" w:after="0" w:line="223" w:lineRule="auto"/>
            </w:pPr>
            <w:r>
              <w:rPr>
                <w:rFonts w:ascii="Liberation Sans" w:eastAsia="Liberation Sans" w:hAnsi="Liberation Sans"/>
                <w:color w:val="34322D"/>
                <w:sz w:val="24"/>
              </w:rPr>
              <w:t xml:space="preserve">complete sensory deprivation), the surface remains flat at </w:t>
            </w:r>
            <w:r>
              <w:rPr>
                <w:rFonts w:ascii="KaTeX_Main" w:eastAsia="KaTeX_Main" w:hAnsi="KaTeX_Main"/>
                <w:color w:val="34322D"/>
                <w:w w:val="101"/>
                <w:sz w:val="26"/>
              </w:rPr>
              <w:t>Ψ = 0</w:t>
            </w:r>
            <w:r>
              <w:rPr>
                <w:rFonts w:ascii="Liberation Sans" w:eastAsia="Liberation Sans" w:hAnsi="Liberation Sans"/>
                <w:color w:val="34322D"/>
                <w:sz w:val="24"/>
              </w:rPr>
              <w:t xml:space="preserve"> regardless of the other gain</w:t>
            </w:r>
          </w:p>
        </w:tc>
      </w:tr>
      <w:tr w:rsidR="00C23A68" w14:paraId="3009DABC" w14:textId="77777777">
        <w:trPr>
          <w:trHeight w:hRule="exact" w:val="380"/>
        </w:trPr>
        <w:tc>
          <w:tcPr>
            <w:tcW w:w="7780" w:type="dxa"/>
            <w:gridSpan w:val="5"/>
            <w:tcMar>
              <w:left w:w="0" w:type="dxa"/>
              <w:right w:w="0" w:type="dxa"/>
            </w:tcMar>
          </w:tcPr>
          <w:p w14:paraId="2069C31C" w14:textId="77777777" w:rsidR="00C23A68" w:rsidRDefault="00000000">
            <w:pPr>
              <w:autoSpaceDE w:val="0"/>
              <w:autoSpaceDN w:val="0"/>
              <w:spacing w:before="62" w:after="0" w:line="266" w:lineRule="auto"/>
              <w:jc w:val="center"/>
            </w:pPr>
            <w:r>
              <w:rPr>
                <w:rFonts w:ascii="Liberation Sans" w:eastAsia="Liberation Sans" w:hAnsi="Liberation Sans"/>
                <w:color w:val="34322D"/>
                <w:sz w:val="24"/>
              </w:rPr>
              <w:t xml:space="preserve">value—a direct mathematical consequence of the product structure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p>
        </w:tc>
        <w:tc>
          <w:tcPr>
            <w:tcW w:w="320" w:type="dxa"/>
            <w:tcMar>
              <w:left w:w="0" w:type="dxa"/>
              <w:right w:w="0" w:type="dxa"/>
            </w:tcMar>
          </w:tcPr>
          <w:p w14:paraId="146EDEBE" w14:textId="77777777" w:rsidR="00C23A68" w:rsidRDefault="00000000">
            <w:pPr>
              <w:autoSpaceDE w:val="0"/>
              <w:autoSpaceDN w:val="0"/>
              <w:spacing w:before="42" w:after="0" w:line="223" w:lineRule="auto"/>
              <w:jc w:val="center"/>
            </w:pPr>
            <w:r>
              <w:rPr>
                <w:rFonts w:ascii="KaTeX_Main" w:eastAsia="KaTeX_Main" w:hAnsi="KaTeX_Main"/>
                <w:color w:val="34322D"/>
                <w:w w:val="75"/>
                <w:sz w:val="2"/>
              </w:rPr>
              <w:t>​</w:t>
            </w:r>
            <w:r>
              <w:rPr>
                <w:rFonts w:ascii="KaTeX_Main" w:eastAsia="KaTeX_Main" w:hAnsi="KaTeX_Main"/>
                <w:color w:val="34322D"/>
                <w:w w:val="101"/>
                <w:sz w:val="26"/>
              </w:rPr>
              <w:t xml:space="preserve"> =</w:t>
            </w:r>
          </w:p>
        </w:tc>
        <w:tc>
          <w:tcPr>
            <w:tcW w:w="640" w:type="dxa"/>
            <w:tcMar>
              <w:left w:w="0" w:type="dxa"/>
              <w:right w:w="0" w:type="dxa"/>
            </w:tcMar>
          </w:tcPr>
          <w:p w14:paraId="7C63E321" w14:textId="77777777" w:rsidR="00C23A68" w:rsidRDefault="00000000">
            <w:pPr>
              <w:autoSpaceDE w:val="0"/>
              <w:autoSpaceDN w:val="0"/>
              <w:spacing w:before="78" w:after="0" w:line="257" w:lineRule="auto"/>
              <w:jc w:val="center"/>
            </w:pPr>
            <w:r>
              <w:rPr>
                <w:rFonts w:ascii="KaTeX_Math" w:eastAsia="KaTeX_Math" w:hAnsi="KaTeX_Math"/>
                <w:i/>
                <w:color w:val="34322D"/>
                <w:w w:val="101"/>
                <w:sz w:val="26"/>
              </w:rPr>
              <w:t xml:space="preserve">G </w:t>
            </w:r>
            <w:r>
              <w:rPr>
                <w:rFonts w:ascii="KaTeX_Math" w:eastAsia="KaTeX_Math" w:hAnsi="KaTeX_Math"/>
                <w:i/>
                <w:color w:val="34322D"/>
                <w:w w:val="102"/>
                <w:sz w:val="18"/>
              </w:rPr>
              <w:t>endo</w:t>
            </w:r>
          </w:p>
        </w:tc>
        <w:tc>
          <w:tcPr>
            <w:tcW w:w="300" w:type="dxa"/>
            <w:tcMar>
              <w:left w:w="0" w:type="dxa"/>
              <w:right w:w="0" w:type="dxa"/>
            </w:tcMar>
          </w:tcPr>
          <w:p w14:paraId="1F0D6D77" w14:textId="77777777" w:rsidR="00C23A68" w:rsidRDefault="00000000">
            <w:pPr>
              <w:autoSpaceDE w:val="0"/>
              <w:autoSpaceDN w:val="0"/>
              <w:spacing w:before="42" w:after="0" w:line="223" w:lineRule="auto"/>
              <w:jc w:val="center"/>
            </w:pPr>
            <w:r>
              <w:rPr>
                <w:rFonts w:ascii="KaTeX_Main" w:eastAsia="KaTeX_Main" w:hAnsi="KaTeX_Main"/>
                <w:color w:val="34322D"/>
                <w:w w:val="75"/>
                <w:sz w:val="2"/>
              </w:rPr>
              <w:t>​</w:t>
            </w:r>
            <w:r>
              <w:rPr>
                <w:rFonts w:ascii="KaTeX_Main" w:eastAsia="KaTeX_Main" w:hAnsi="KaTeX_Main"/>
                <w:color w:val="34322D"/>
                <w:w w:val="101"/>
                <w:sz w:val="26"/>
              </w:rPr>
              <w:t xml:space="preserve"> ×</w:t>
            </w:r>
          </w:p>
        </w:tc>
        <w:tc>
          <w:tcPr>
            <w:tcW w:w="220" w:type="dxa"/>
            <w:tcMar>
              <w:left w:w="0" w:type="dxa"/>
              <w:right w:w="0" w:type="dxa"/>
            </w:tcMar>
          </w:tcPr>
          <w:p w14:paraId="612D2719" w14:textId="77777777" w:rsidR="00C23A68" w:rsidRDefault="00000000">
            <w:pPr>
              <w:autoSpaceDE w:val="0"/>
              <w:autoSpaceDN w:val="0"/>
              <w:spacing w:before="78" w:after="0" w:line="235" w:lineRule="auto"/>
              <w:jc w:val="center"/>
            </w:pPr>
            <w:r>
              <w:rPr>
                <w:rFonts w:ascii="KaTeX_Math" w:eastAsia="KaTeX_Math" w:hAnsi="KaTeX_Math"/>
                <w:i/>
                <w:color w:val="34322D"/>
                <w:w w:val="101"/>
                <w:sz w:val="26"/>
              </w:rPr>
              <w:t>G</w:t>
            </w:r>
          </w:p>
        </w:tc>
        <w:tc>
          <w:tcPr>
            <w:tcW w:w="300" w:type="dxa"/>
            <w:tcMar>
              <w:left w:w="0" w:type="dxa"/>
              <w:right w:w="0" w:type="dxa"/>
            </w:tcMar>
          </w:tcPr>
          <w:p w14:paraId="1C41E51E" w14:textId="77777777" w:rsidR="00C23A68" w:rsidRDefault="00000000">
            <w:pPr>
              <w:autoSpaceDE w:val="0"/>
              <w:autoSpaceDN w:val="0"/>
              <w:spacing w:before="184" w:after="0" w:line="233" w:lineRule="auto"/>
              <w:jc w:val="center"/>
            </w:pPr>
            <w:r>
              <w:rPr>
                <w:rFonts w:ascii="KaTeX_Math" w:eastAsia="KaTeX_Math" w:hAnsi="KaTeX_Math"/>
                <w:i/>
                <w:color w:val="34322D"/>
                <w:w w:val="102"/>
                <w:sz w:val="18"/>
              </w:rPr>
              <w:t>exo</w:t>
            </w:r>
          </w:p>
        </w:tc>
        <w:tc>
          <w:tcPr>
            <w:tcW w:w="684" w:type="dxa"/>
            <w:tcMar>
              <w:left w:w="0" w:type="dxa"/>
              <w:right w:w="0" w:type="dxa"/>
            </w:tcMar>
          </w:tcPr>
          <w:p w14:paraId="26FF6D1E" w14:textId="77777777" w:rsidR="00C23A68" w:rsidRDefault="00000000">
            <w:pPr>
              <w:autoSpaceDE w:val="0"/>
              <w:autoSpaceDN w:val="0"/>
              <w:spacing w:before="42" w:after="0" w:line="223" w:lineRule="auto"/>
              <w:ind w:left="12"/>
            </w:pPr>
            <w:r>
              <w:rPr>
                <w:rFonts w:ascii="KaTeX_Main" w:eastAsia="KaTeX_Main" w:hAnsi="KaTeX_Main"/>
                <w:color w:val="34322D"/>
                <w:w w:val="75"/>
                <w:sz w:val="2"/>
              </w:rPr>
              <w:t>​</w:t>
            </w:r>
            <w:r>
              <w:rPr>
                <w:rFonts w:ascii="KaTeX_Main" w:eastAsia="KaTeX_Main" w:hAnsi="KaTeX_Main"/>
                <w:color w:val="34322D"/>
                <w:w w:val="101"/>
                <w:sz w:val="26"/>
              </w:rPr>
              <w:t xml:space="preserve"> ×</w:t>
            </w:r>
          </w:p>
        </w:tc>
      </w:tr>
      <w:tr w:rsidR="00C23A68" w14:paraId="317D6E0B" w14:textId="77777777">
        <w:trPr>
          <w:trHeight w:hRule="exact" w:val="598"/>
        </w:trPr>
        <w:tc>
          <w:tcPr>
            <w:tcW w:w="560" w:type="dxa"/>
            <w:tcBorders>
              <w:bottom w:val="single" w:sz="5" w:space="0" w:color="000000"/>
            </w:tcBorders>
            <w:tcMar>
              <w:left w:w="0" w:type="dxa"/>
              <w:right w:w="0" w:type="dxa"/>
            </w:tcMar>
          </w:tcPr>
          <w:p w14:paraId="0519390A" w14:textId="77777777" w:rsidR="00C23A68" w:rsidRDefault="00000000">
            <w:pPr>
              <w:autoSpaceDE w:val="0"/>
              <w:autoSpaceDN w:val="0"/>
              <w:spacing w:before="58" w:after="0" w:line="257" w:lineRule="auto"/>
              <w:jc w:val="center"/>
            </w:pPr>
            <w:r>
              <w:rPr>
                <w:rFonts w:ascii="KaTeX_Math" w:eastAsia="KaTeX_Math" w:hAnsi="KaTeX_Math"/>
                <w:i/>
                <w:color w:val="34322D"/>
                <w:w w:val="101"/>
                <w:sz w:val="26"/>
              </w:rPr>
              <w:t xml:space="preserve">G </w:t>
            </w:r>
            <w:r>
              <w:rPr>
                <w:rFonts w:ascii="KaTeX_Math" w:eastAsia="KaTeX_Math" w:hAnsi="KaTeX_Math"/>
                <w:i/>
                <w:color w:val="34322D"/>
                <w:w w:val="102"/>
                <w:sz w:val="18"/>
              </w:rPr>
              <w:t>exec</w:t>
            </w:r>
          </w:p>
        </w:tc>
        <w:tc>
          <w:tcPr>
            <w:tcW w:w="9684" w:type="dxa"/>
            <w:gridSpan w:val="10"/>
            <w:tcBorders>
              <w:bottom w:val="single" w:sz="5" w:space="0" w:color="000000"/>
            </w:tcBorders>
            <w:tcMar>
              <w:left w:w="0" w:type="dxa"/>
              <w:right w:w="0" w:type="dxa"/>
            </w:tcMar>
          </w:tcPr>
          <w:p w14:paraId="33ADE6D6" w14:textId="77777777" w:rsidR="00C23A68" w:rsidRDefault="00000000">
            <w:pPr>
              <w:autoSpaceDE w:val="0"/>
              <w:autoSpaceDN w:val="0"/>
              <w:spacing w:before="42" w:after="0" w:line="233" w:lineRule="auto"/>
              <w:ind w:left="18"/>
            </w:pPr>
            <w:r>
              <w:rPr>
                <w:rFonts w:ascii="Liberation Sans" w:eastAsia="Liberation Sans" w:hAnsi="Liberation Sans"/>
                <w:color w:val="34322D"/>
                <w:sz w:val="24"/>
              </w:rPr>
              <w:t>.</w:t>
            </w:r>
          </w:p>
        </w:tc>
      </w:tr>
    </w:tbl>
    <w:p w14:paraId="33F36EB8" w14:textId="77777777" w:rsidR="00C23A68" w:rsidRDefault="00000000">
      <w:pPr>
        <w:autoSpaceDE w:val="0"/>
        <w:autoSpaceDN w:val="0"/>
        <w:spacing w:before="582" w:after="0" w:line="240" w:lineRule="auto"/>
      </w:pPr>
      <w:r>
        <w:rPr>
          <w:rFonts w:ascii="Caladea" w:eastAsia="Caladea" w:hAnsi="Caladea"/>
          <w:b/>
          <w:color w:val="34322D"/>
          <w:sz w:val="36"/>
        </w:rPr>
        <w:t>Supplementary Methods</w:t>
      </w:r>
    </w:p>
    <w:p w14:paraId="1CEB50B4" w14:textId="77777777" w:rsidR="00C23A68" w:rsidRDefault="00000000">
      <w:pPr>
        <w:autoSpaceDE w:val="0"/>
        <w:autoSpaceDN w:val="0"/>
        <w:spacing w:before="434" w:after="0" w:line="240" w:lineRule="auto"/>
      </w:pPr>
      <w:r>
        <w:rPr>
          <w:rFonts w:ascii="Caladea" w:eastAsia="Caladea" w:hAnsi="Caladea"/>
          <w:b/>
          <w:color w:val="34322D"/>
          <w:sz w:val="30"/>
        </w:rPr>
        <w:t>S1. Computational Generation of the Topographic Surface</w:t>
      </w:r>
    </w:p>
    <w:p w14:paraId="0A83C44A" w14:textId="77777777" w:rsidR="00C23A68" w:rsidRDefault="00000000">
      <w:pPr>
        <w:autoSpaceDE w:val="0"/>
        <w:autoSpaceDN w:val="0"/>
        <w:spacing w:before="172" w:after="0" w:line="274" w:lineRule="auto"/>
        <w:ind w:right="288"/>
      </w:pPr>
      <w:r>
        <w:rPr>
          <w:rFonts w:ascii="Liberation Sans" w:eastAsia="Liberation Sans" w:hAnsi="Liberation Sans"/>
          <w:color w:val="34322D"/>
          <w:sz w:val="24"/>
        </w:rPr>
        <w:t>The three-dimensional surface in Supplementary Figure S3 was generated using the following computational procedure:</w:t>
      </w:r>
    </w:p>
    <w:p w14:paraId="7C0DF584" w14:textId="77777777" w:rsidR="00C23A68" w:rsidRDefault="00000000">
      <w:pPr>
        <w:tabs>
          <w:tab w:val="left" w:pos="420"/>
          <w:tab w:val="left" w:pos="1460"/>
          <w:tab w:val="left" w:pos="1668"/>
          <w:tab w:val="left" w:pos="2064"/>
          <w:tab w:val="left" w:pos="2388"/>
          <w:tab w:val="left" w:pos="3326"/>
          <w:tab w:val="left" w:pos="3860"/>
          <w:tab w:val="left" w:pos="4068"/>
          <w:tab w:val="left" w:pos="4364"/>
          <w:tab w:val="left" w:pos="4368"/>
          <w:tab w:val="left" w:pos="4686"/>
          <w:tab w:val="left" w:pos="5356"/>
          <w:tab w:val="left" w:pos="5626"/>
          <w:tab w:val="left" w:pos="6640"/>
          <w:tab w:val="left" w:pos="6880"/>
          <w:tab w:val="left" w:pos="7338"/>
          <w:tab w:val="left" w:pos="8070"/>
        </w:tabs>
        <w:autoSpaceDE w:val="0"/>
        <w:autoSpaceDN w:val="0"/>
        <w:spacing w:before="400" w:after="0" w:line="245" w:lineRule="auto"/>
        <w:ind w:left="154"/>
      </w:pPr>
      <w:r>
        <w:rPr>
          <w:rFonts w:ascii="Liberation Sans" w:eastAsia="Liberation Sans" w:hAnsi="Liberation Sans"/>
          <w:color w:val="34322D"/>
          <w:sz w:val="24"/>
        </w:rPr>
        <w:t xml:space="preserve">1. </w:t>
      </w:r>
      <w:r>
        <w:rPr>
          <w:rFonts w:ascii="Liberation Sans" w:eastAsia="Liberation Sans" w:hAnsi="Liberation Sans"/>
          <w:b/>
          <w:color w:val="34322D"/>
          <w:sz w:val="24"/>
        </w:rPr>
        <w:t>Grid construction</w:t>
      </w:r>
      <w:r>
        <w:rPr>
          <w:rFonts w:ascii="Liberation Sans" w:eastAsia="Liberation Sans" w:hAnsi="Liberation Sans"/>
          <w:color w:val="34322D"/>
          <w:sz w:val="24"/>
        </w:rPr>
        <w:t xml:space="preserve">: A uniform grid of </w:t>
      </w:r>
      <w:r>
        <w:rPr>
          <w:rFonts w:ascii="KaTeX_Math" w:eastAsia="KaTeX_Math" w:hAnsi="KaTeX_Math"/>
          <w:i/>
          <w:color w:val="34322D"/>
          <w:w w:val="101"/>
          <w:sz w:val="26"/>
        </w:rPr>
        <w:t>N</w:t>
      </w:r>
      <w:r>
        <w:rPr>
          <w:rFonts w:ascii="KaTeX_Main" w:eastAsia="KaTeX_Main" w:hAnsi="KaTeX_Main"/>
          <w:color w:val="34322D"/>
          <w:w w:val="101"/>
          <w:sz w:val="26"/>
        </w:rPr>
        <w:t>= 250</w:t>
      </w:r>
      <w:r>
        <w:rPr>
          <w:rFonts w:ascii="Liberation Sans" w:eastAsia="Liberation Sans" w:hAnsi="Liberation Sans"/>
          <w:color w:val="34322D"/>
          <w:sz w:val="24"/>
        </w:rPr>
        <w:t xml:space="preserve"> points was constructed along each gain axis, spanning </w:t>
      </w:r>
      <w:r>
        <w:rPr>
          <w:rFonts w:ascii="KaTeX_Math" w:eastAsia="KaTeX_Math" w:hAnsi="KaTeX_Math"/>
          <w:i/>
          <w:color w:val="34322D"/>
          <w:w w:val="101"/>
          <w:sz w:val="26"/>
        </w:rPr>
        <w:t xml:space="preserve">G </w:t>
      </w:r>
      <w:r>
        <w:rPr>
          <w:rFonts w:ascii="KaTeX_Math" w:eastAsia="KaTeX_Math" w:hAnsi="KaTeX_Math"/>
          <w:i/>
          <w:color w:val="34322D"/>
          <w:w w:val="102"/>
          <w:sz w:val="18"/>
        </w:rPr>
        <w:t>endo</w:t>
      </w:r>
      <w:r>
        <w:rPr>
          <w:rFonts w:ascii="KaTeX_Main" w:eastAsia="KaTeX_Main" w:hAnsi="KaTeX_Main"/>
          <w:color w:val="34322D"/>
          <w:w w:val="75"/>
          <w:sz w:val="2"/>
        </w:rPr>
        <w:t>​</w:t>
      </w:r>
      <w:r>
        <w:rPr>
          <w:rFonts w:ascii="KaTeX_Main" w:eastAsia="KaTeX_Main" w:hAnsi="KaTeX_Main"/>
          <w:color w:val="34322D"/>
          <w:w w:val="101"/>
          <w:sz w:val="26"/>
        </w:rPr>
        <w:t xml:space="preserve"> ∈[0.1, 2.8]</w:t>
      </w:r>
      <w:r>
        <w:rPr>
          <w:rFonts w:ascii="Liberation Sans" w:eastAsia="Liberation Sans" w:hAnsi="Liberation Sans"/>
          <w:color w:val="34322D"/>
          <w:sz w:val="24"/>
        </w:rPr>
        <w:t xml:space="preserve"> and </w:t>
      </w:r>
      <w:r>
        <w:rPr>
          <w:rFonts w:ascii="KaTeX_Math" w:eastAsia="KaTeX_Math" w:hAnsi="KaTeX_Math"/>
          <w:i/>
          <w:color w:val="34322D"/>
          <w:w w:val="101"/>
          <w:sz w:val="26"/>
        </w:rPr>
        <w:t xml:space="preserve">G </w:t>
      </w:r>
      <w:r>
        <w:rPr>
          <w:rFonts w:ascii="KaTeX_Math" w:eastAsia="KaTeX_Math" w:hAnsi="KaTeX_Math"/>
          <w:i/>
          <w:color w:val="34322D"/>
          <w:w w:val="102"/>
          <w:sz w:val="18"/>
        </w:rPr>
        <w:t>exo</w:t>
      </w:r>
      <w:r>
        <w:rPr>
          <w:rFonts w:ascii="KaTeX_Main" w:eastAsia="KaTeX_Main" w:hAnsi="KaTeX_Main"/>
          <w:color w:val="34322D"/>
          <w:w w:val="75"/>
          <w:sz w:val="2"/>
        </w:rPr>
        <w:t>​</w:t>
      </w:r>
      <w:r>
        <w:rPr>
          <w:rFonts w:ascii="KaTeX_Main" w:eastAsia="KaTeX_Main" w:hAnsi="KaTeX_Main"/>
          <w:color w:val="34322D"/>
          <w:w w:val="101"/>
          <w:sz w:val="26"/>
        </w:rPr>
        <w:t xml:space="preserve"> ∈[0.1, 2.8] </w:t>
      </w:r>
      <w:r>
        <w:rPr>
          <w:rFonts w:ascii="Liberation Sans" w:eastAsia="Liberation Sans" w:hAnsi="Liberation Sans"/>
          <w:color w:val="34322D"/>
          <w:sz w:val="24"/>
        </w:rPr>
        <w:t xml:space="preserve">, yielding </w:t>
      </w:r>
      <w:r>
        <w:rPr>
          <w:rFonts w:ascii="KaTeX_Math" w:eastAsia="KaTeX_Math" w:hAnsi="KaTeX_Math"/>
          <w:i/>
          <w:color w:val="34322D"/>
          <w:w w:val="101"/>
          <w:sz w:val="26"/>
        </w:rPr>
        <w:t>N</w:t>
      </w:r>
      <w:r>
        <w:rPr>
          <w:rFonts w:ascii="KaTeX_Main" w:eastAsia="KaTeX_Main" w:hAnsi="KaTeX_Main"/>
          <w:color w:val="34322D"/>
          <w:w w:val="101"/>
          <w:sz w:val="26"/>
        </w:rPr>
        <w:t xml:space="preserve">= </w:t>
      </w:r>
      <w:r>
        <w:rPr>
          <w:rFonts w:ascii="KaTeX_Main" w:eastAsia="KaTeX_Main" w:hAnsi="KaTeX_Main"/>
          <w:color w:val="34322D"/>
          <w:w w:val="102"/>
          <w:sz w:val="18"/>
        </w:rPr>
        <w:t xml:space="preserve">2 </w:t>
      </w:r>
      <w:r>
        <w:tab/>
      </w:r>
      <w:r>
        <w:rPr>
          <w:rFonts w:ascii="KaTeX_Main" w:eastAsia="KaTeX_Main" w:hAnsi="KaTeX_Main"/>
          <w:color w:val="34322D"/>
          <w:w w:val="101"/>
          <w:sz w:val="26"/>
        </w:rPr>
        <w:t>62,500</w:t>
      </w:r>
      <w:r>
        <w:rPr>
          <w:rFonts w:ascii="Liberation Sans" w:eastAsia="Liberation Sans" w:hAnsi="Liberation Sans"/>
          <w:color w:val="34322D"/>
          <w:sz w:val="24"/>
        </w:rPr>
        <w:t xml:space="preserve"> evaluation points.</w:t>
      </w:r>
    </w:p>
    <w:p w14:paraId="3E90B05B" w14:textId="77777777" w:rsidR="00C23A68" w:rsidRDefault="00000000">
      <w:pPr>
        <w:autoSpaceDE w:val="0"/>
        <w:autoSpaceDN w:val="0"/>
        <w:spacing w:before="258" w:after="580" w:line="257" w:lineRule="auto"/>
        <w:ind w:left="420" w:right="432" w:hanging="266"/>
      </w:pPr>
      <w:r>
        <w:rPr>
          <w:rFonts w:ascii="Liberation Sans" w:eastAsia="Liberation Sans" w:hAnsi="Liberation Sans"/>
          <w:color w:val="34322D"/>
          <w:sz w:val="24"/>
        </w:rPr>
        <w:t xml:space="preserve">2. </w:t>
      </w:r>
      <w:r>
        <w:rPr>
          <w:rFonts w:ascii="Liberation Sans" w:eastAsia="Liberation Sans" w:hAnsi="Liberation Sans"/>
          <w:b/>
          <w:color w:val="34322D"/>
          <w:sz w:val="24"/>
        </w:rPr>
        <w:t>Order parameter computation</w:t>
      </w:r>
      <w:r>
        <w:rPr>
          <w:rFonts w:ascii="Liberation Sans" w:eastAsia="Liberation Sans" w:hAnsi="Liberation Sans"/>
          <w:color w:val="34322D"/>
          <w:sz w:val="24"/>
        </w:rPr>
        <w:t xml:space="preserve">: At each grid point </w:t>
      </w:r>
      <w:r>
        <w:rPr>
          <w:rFonts w:ascii="KaTeX_Main" w:eastAsia="KaTeX_Main" w:hAnsi="KaTeX_Main"/>
          <w:color w:val="34322D"/>
          <w:w w:val="101"/>
          <w:sz w:val="26"/>
        </w:rPr>
        <w:t>(</w:t>
      </w:r>
      <w:r>
        <w:rPr>
          <w:rFonts w:ascii="KaTeX_Math" w:eastAsia="KaTeX_Math" w:hAnsi="KaTeX_Math"/>
          <w:i/>
          <w:color w:val="34322D"/>
          <w:w w:val="101"/>
          <w:sz w:val="26"/>
        </w:rPr>
        <w:t xml:space="preserve">G </w:t>
      </w:r>
      <w:r>
        <w:rPr>
          <w:rFonts w:ascii="KaTeX_Math" w:eastAsia="KaTeX_Math" w:hAnsi="KaTeX_Math"/>
          <w:i/>
          <w:color w:val="34322D"/>
          <w:w w:val="102"/>
          <w:sz w:val="18"/>
        </w:rPr>
        <w:t>endo</w:t>
      </w:r>
      <w:r>
        <w:rPr>
          <w:rFonts w:ascii="KaTeX_Main" w:eastAsia="KaTeX_Main" w:hAnsi="KaTeX_Main"/>
          <w:color w:val="34322D"/>
          <w:w w:val="102"/>
          <w:sz w:val="18"/>
        </w:rPr>
        <w:t>,</w:t>
      </w:r>
      <w:r>
        <w:rPr>
          <w:rFonts w:ascii="KaTeX_Math" w:eastAsia="KaTeX_Math" w:hAnsi="KaTeX_Math"/>
          <w:i/>
          <w:color w:val="34322D"/>
          <w:w w:val="102"/>
          <w:sz w:val="18"/>
        </w:rPr>
        <w:t>i</w:t>
      </w:r>
      <w:r>
        <w:rPr>
          <w:rFonts w:ascii="KaTeX_Main" w:eastAsia="KaTeX_Main" w:hAnsi="KaTeX_Main"/>
          <w:color w:val="34322D"/>
          <w:w w:val="75"/>
          <w:sz w:val="2"/>
        </w:rPr>
        <w:t>​</w:t>
      </w:r>
      <w:r>
        <w:rPr>
          <w:rFonts w:ascii="KaTeX_Main" w:eastAsia="KaTeX_Main" w:hAnsi="KaTeX_Main"/>
          <w:color w:val="34322D"/>
          <w:w w:val="101"/>
          <w:sz w:val="26"/>
        </w:rPr>
        <w:t>,</w:t>
      </w:r>
      <w:r>
        <w:rPr>
          <w:rFonts w:ascii="KaTeX_Math" w:eastAsia="KaTeX_Math" w:hAnsi="KaTeX_Math"/>
          <w:i/>
          <w:color w:val="34322D"/>
          <w:w w:val="101"/>
          <w:sz w:val="26"/>
        </w:rPr>
        <w:t xml:space="preserve"> G </w:t>
      </w:r>
      <w:r>
        <w:rPr>
          <w:rFonts w:ascii="KaTeX_Math" w:eastAsia="KaTeX_Math" w:hAnsi="KaTeX_Math"/>
          <w:i/>
          <w:color w:val="34322D"/>
          <w:w w:val="102"/>
          <w:sz w:val="18"/>
        </w:rPr>
        <w:t>exo</w:t>
      </w:r>
      <w:r>
        <w:rPr>
          <w:rFonts w:ascii="KaTeX_Main" w:eastAsia="KaTeX_Main" w:hAnsi="KaTeX_Main"/>
          <w:color w:val="34322D"/>
          <w:w w:val="102"/>
          <w:sz w:val="18"/>
        </w:rPr>
        <w:t>,</w:t>
      </w:r>
      <w:r>
        <w:rPr>
          <w:rFonts w:ascii="KaTeX_Math" w:eastAsia="KaTeX_Math" w:hAnsi="KaTeX_Math"/>
          <w:i/>
          <w:color w:val="34322D"/>
          <w:w w:val="102"/>
          <w:sz w:val="18"/>
        </w:rPr>
        <w:t>j</w:t>
      </w:r>
      <w:r>
        <w:rPr>
          <w:rFonts w:ascii="KaTeX_Main" w:eastAsia="KaTeX_Main" w:hAnsi="KaTeX_Main"/>
          <w:color w:val="34322D"/>
          <w:w w:val="75"/>
          <w:sz w:val="2"/>
        </w:rPr>
        <w:t>​</w:t>
      </w:r>
      <w:r>
        <w:rPr>
          <w:rFonts w:ascii="KaTeX_Main" w:eastAsia="KaTeX_Main" w:hAnsi="KaTeX_Main"/>
          <w:color w:val="34322D"/>
          <w:w w:val="101"/>
          <w:sz w:val="26"/>
        </w:rPr>
        <w:t xml:space="preserve">) </w:t>
      </w:r>
      <w:r>
        <w:rPr>
          <w:rFonts w:ascii="Liberation Sans" w:eastAsia="Liberation Sans" w:hAnsi="Liberation Sans"/>
          <w:color w:val="34322D"/>
          <w:sz w:val="24"/>
        </w:rPr>
        <w:t xml:space="preserve">, the total gain was computed as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 </w:t>
      </w:r>
      <w:r>
        <w:rPr>
          <w:rFonts w:ascii="KaTeX_Math" w:eastAsia="KaTeX_Math" w:hAnsi="KaTeX_Math"/>
          <w:i/>
          <w:color w:val="34322D"/>
          <w:w w:val="101"/>
          <w:sz w:val="26"/>
        </w:rPr>
        <w:t xml:space="preserve">G </w:t>
      </w:r>
      <w:r>
        <w:rPr>
          <w:rFonts w:ascii="KaTeX_Math" w:eastAsia="KaTeX_Math" w:hAnsi="KaTeX_Math"/>
          <w:i/>
          <w:color w:val="34322D"/>
          <w:w w:val="102"/>
          <w:sz w:val="18"/>
        </w:rPr>
        <w:t>endo</w:t>
      </w:r>
      <w:r>
        <w:rPr>
          <w:rFonts w:ascii="KaTeX_Main" w:eastAsia="KaTeX_Main" w:hAnsi="KaTeX_Main"/>
          <w:color w:val="34322D"/>
          <w:w w:val="102"/>
          <w:sz w:val="18"/>
        </w:rPr>
        <w:t>,</w:t>
      </w:r>
      <w:r>
        <w:rPr>
          <w:rFonts w:ascii="KaTeX_Math" w:eastAsia="KaTeX_Math" w:hAnsi="KaTeX_Math"/>
          <w:i/>
          <w:color w:val="34322D"/>
          <w:w w:val="102"/>
          <w:sz w:val="18"/>
        </w:rPr>
        <w:t>i</w:t>
      </w:r>
      <w:r>
        <w:rPr>
          <w:rFonts w:ascii="KaTeX_Main" w:eastAsia="KaTeX_Main" w:hAnsi="KaTeX_Main"/>
          <w:color w:val="34322D"/>
          <w:w w:val="75"/>
          <w:sz w:val="2"/>
        </w:rPr>
        <w:t>​</w:t>
      </w:r>
      <w:r>
        <w:rPr>
          <w:rFonts w:ascii="KaTeX_Main" w:eastAsia="KaTeX_Main" w:hAnsi="KaTeX_Main"/>
          <w:color w:val="34322D"/>
          <w:w w:val="101"/>
          <w:sz w:val="26"/>
        </w:rPr>
        <w:t xml:space="preserve"> ×</w:t>
      </w:r>
      <w:r>
        <w:rPr>
          <w:rFonts w:ascii="KaTeX_Math" w:eastAsia="KaTeX_Math" w:hAnsi="KaTeX_Math"/>
          <w:i/>
          <w:color w:val="34322D"/>
          <w:w w:val="101"/>
          <w:sz w:val="26"/>
        </w:rPr>
        <w:t xml:space="preserve">G </w:t>
      </w:r>
      <w:r>
        <w:rPr>
          <w:rFonts w:ascii="KaTeX_Math" w:eastAsia="KaTeX_Math" w:hAnsi="KaTeX_Math"/>
          <w:i/>
          <w:color w:val="34322D"/>
          <w:w w:val="102"/>
          <w:sz w:val="18"/>
        </w:rPr>
        <w:t>exo</w:t>
      </w:r>
      <w:r>
        <w:rPr>
          <w:rFonts w:ascii="KaTeX_Main" w:eastAsia="KaTeX_Main" w:hAnsi="KaTeX_Main"/>
          <w:color w:val="34322D"/>
          <w:w w:val="102"/>
          <w:sz w:val="18"/>
        </w:rPr>
        <w:t>,</w:t>
      </w:r>
      <w:r>
        <w:rPr>
          <w:rFonts w:ascii="KaTeX_Math" w:eastAsia="KaTeX_Math" w:hAnsi="KaTeX_Math"/>
          <w:i/>
          <w:color w:val="34322D"/>
          <w:w w:val="102"/>
          <w:sz w:val="18"/>
        </w:rPr>
        <w:t>j</w:t>
      </w:r>
      <w:r>
        <w:rPr>
          <w:rFonts w:ascii="KaTeX_Main" w:eastAsia="KaTeX_Main" w:hAnsi="KaTeX_Main"/>
          <w:color w:val="34322D"/>
          <w:w w:val="75"/>
          <w:sz w:val="2"/>
        </w:rPr>
        <w:t>​</w:t>
      </w:r>
      <w:r>
        <w:rPr>
          <w:rFonts w:ascii="KaTeX_Main" w:eastAsia="KaTeX_Main" w:hAnsi="KaTeX_Main"/>
          <w:color w:val="34322D"/>
          <w:w w:val="101"/>
          <w:sz w:val="26"/>
        </w:rPr>
        <w:t xml:space="preserve"> ×</w:t>
      </w:r>
      <w:r>
        <w:rPr>
          <w:rFonts w:ascii="KaTeX_Math" w:eastAsia="KaTeX_Math" w:hAnsi="KaTeX_Math"/>
          <w:i/>
          <w:color w:val="34322D"/>
          <w:w w:val="101"/>
          <w:sz w:val="26"/>
        </w:rPr>
        <w:t xml:space="preserve">G </w:t>
      </w:r>
      <w:r>
        <w:rPr>
          <w:rFonts w:ascii="KaTeX_Math" w:eastAsia="KaTeX_Math" w:hAnsi="KaTeX_Math"/>
          <w:i/>
          <w:color w:val="34322D"/>
          <w:w w:val="102"/>
          <w:sz w:val="18"/>
        </w:rPr>
        <w:t>exec</w:t>
      </w:r>
      <w:r>
        <w:rPr>
          <w:rFonts w:ascii="Liberation Sans" w:eastAsia="Liberation Sans" w:hAnsi="Liberation Sans"/>
          <w:color w:val="34322D"/>
          <w:sz w:val="24"/>
        </w:rPr>
        <w:t xml:space="preserve"> (with </w:t>
      </w:r>
      <w:r>
        <w:rPr>
          <w:rFonts w:ascii="KaTeX_Math" w:eastAsia="KaTeX_Math" w:hAnsi="KaTeX_Math"/>
          <w:i/>
          <w:color w:val="34322D"/>
          <w:w w:val="101"/>
          <w:sz w:val="26"/>
        </w:rPr>
        <w:t xml:space="preserve">G </w:t>
      </w:r>
      <w:r>
        <w:rPr>
          <w:rFonts w:ascii="KaTeX_Math" w:eastAsia="KaTeX_Math" w:hAnsi="KaTeX_Math"/>
          <w:i/>
          <w:color w:val="34322D"/>
          <w:w w:val="102"/>
          <w:sz w:val="18"/>
        </w:rPr>
        <w:t>exec</w:t>
      </w:r>
      <w:r>
        <w:rPr>
          <w:rFonts w:ascii="KaTeX_Main" w:eastAsia="KaTeX_Main" w:hAnsi="KaTeX_Main"/>
          <w:color w:val="34322D"/>
          <w:w w:val="75"/>
          <w:sz w:val="2"/>
        </w:rPr>
        <w:t>​</w:t>
      </w:r>
      <w:r>
        <w:rPr>
          <w:rFonts w:ascii="KaTeX_Main" w:eastAsia="KaTeX_Main" w:hAnsi="KaTeX_Main"/>
          <w:color w:val="34322D"/>
          <w:w w:val="101"/>
          <w:sz w:val="26"/>
        </w:rPr>
        <w:t xml:space="preserve"> = 1.0 </w:t>
      </w:r>
      <w:r>
        <w:rPr>
          <w:rFonts w:ascii="Liberation Sans" w:eastAsia="Liberation Sans" w:hAnsi="Liberation Sans"/>
          <w:color w:val="34322D"/>
          <w:sz w:val="24"/>
        </w:rPr>
        <w:t>), and the deterministic order parameter was evaluated as:</w:t>
      </w:r>
    </w:p>
    <w:tbl>
      <w:tblPr>
        <w:tblW w:w="0" w:type="auto"/>
        <w:tblInd w:w="1780" w:type="dxa"/>
        <w:tblLayout w:type="fixed"/>
        <w:tblLook w:val="04A0" w:firstRow="1" w:lastRow="0" w:firstColumn="1" w:lastColumn="0" w:noHBand="0" w:noVBand="1"/>
      </w:tblPr>
      <w:tblGrid>
        <w:gridCol w:w="2160"/>
        <w:gridCol w:w="460"/>
        <w:gridCol w:w="1680"/>
        <w:gridCol w:w="580"/>
      </w:tblGrid>
      <w:tr w:rsidR="00C23A68" w14:paraId="62170D01" w14:textId="77777777">
        <w:trPr>
          <w:trHeight w:hRule="exact" w:val="448"/>
        </w:trPr>
        <w:tc>
          <w:tcPr>
            <w:tcW w:w="2160" w:type="dxa"/>
            <w:tcMar>
              <w:left w:w="0" w:type="dxa"/>
              <w:right w:w="0" w:type="dxa"/>
            </w:tcMar>
          </w:tcPr>
          <w:p w14:paraId="4FCA6002" w14:textId="77777777" w:rsidR="00C23A68" w:rsidRDefault="00000000">
            <w:pPr>
              <w:autoSpaceDE w:val="0"/>
              <w:autoSpaceDN w:val="0"/>
              <w:spacing w:before="60" w:after="0" w:line="235" w:lineRule="auto"/>
              <w:ind w:right="2"/>
              <w:jc w:val="right"/>
            </w:pPr>
            <w:r>
              <w:rPr>
                <w:rFonts w:ascii="KaTeX_Main" w:eastAsia="KaTeX_Main" w:hAnsi="KaTeX_Main"/>
                <w:color w:val="34322D"/>
                <w:w w:val="101"/>
                <w:sz w:val="26"/>
              </w:rPr>
              <w:t>Ψ</w:t>
            </w:r>
            <w:r>
              <w:rPr>
                <w:rFonts w:ascii="KaTeX_Math" w:eastAsia="KaTeX_Math" w:hAnsi="KaTeX_Math"/>
                <w:i/>
                <w:color w:val="34322D"/>
                <w:w w:val="102"/>
                <w:sz w:val="18"/>
              </w:rPr>
              <w:t>ij</w:t>
            </w:r>
          </w:p>
        </w:tc>
        <w:tc>
          <w:tcPr>
            <w:tcW w:w="460" w:type="dxa"/>
            <w:tcMar>
              <w:left w:w="0" w:type="dxa"/>
              <w:right w:w="0" w:type="dxa"/>
            </w:tcMar>
          </w:tcPr>
          <w:p w14:paraId="21D21B79" w14:textId="77777777" w:rsidR="00C23A68" w:rsidRDefault="00000000">
            <w:pPr>
              <w:autoSpaceDE w:val="0"/>
              <w:autoSpaceDN w:val="0"/>
              <w:spacing w:before="60" w:after="0" w:line="223" w:lineRule="auto"/>
              <w:ind w:left="22"/>
            </w:pPr>
            <w:r>
              <w:rPr>
                <w:rFonts w:ascii="KaTeX_Main" w:eastAsia="KaTeX_Main" w:hAnsi="KaTeX_Main"/>
                <w:color w:val="34322D"/>
                <w:w w:val="75"/>
                <w:sz w:val="2"/>
              </w:rPr>
              <w:t>​</w:t>
            </w:r>
            <w:r>
              <w:rPr>
                <w:rFonts w:ascii="KaTeX_Main" w:eastAsia="KaTeX_Main" w:hAnsi="KaTeX_Main"/>
                <w:color w:val="34322D"/>
                <w:w w:val="101"/>
                <w:sz w:val="26"/>
              </w:rPr>
              <w:t xml:space="preserve"> =</w:t>
            </w:r>
          </w:p>
        </w:tc>
        <w:tc>
          <w:tcPr>
            <w:tcW w:w="1680" w:type="dxa"/>
            <w:tcMar>
              <w:left w:w="0" w:type="dxa"/>
              <w:right w:w="0" w:type="dxa"/>
            </w:tcMar>
          </w:tcPr>
          <w:p w14:paraId="1474B645" w14:textId="77777777" w:rsidR="00C23A68" w:rsidRDefault="00000000">
            <w:pPr>
              <w:autoSpaceDE w:val="0"/>
              <w:autoSpaceDN w:val="0"/>
              <w:spacing w:before="60" w:after="0" w:line="235" w:lineRule="auto"/>
              <w:ind w:left="178"/>
            </w:pPr>
            <w:r>
              <w:rPr>
                <w:rFonts w:ascii="KaTeX_Main" w:eastAsia="KaTeX_Main" w:hAnsi="KaTeX_Main"/>
                <w:color w:val="34322D"/>
                <w:w w:val="101"/>
                <w:sz w:val="26"/>
              </w:rPr>
              <w:t>max(0,</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p>
        </w:tc>
        <w:tc>
          <w:tcPr>
            <w:tcW w:w="580" w:type="dxa"/>
            <w:tcMar>
              <w:left w:w="0" w:type="dxa"/>
              <w:right w:w="0" w:type="dxa"/>
            </w:tcMar>
          </w:tcPr>
          <w:p w14:paraId="5C812937" w14:textId="77777777" w:rsidR="00C23A68" w:rsidRDefault="00000000">
            <w:pPr>
              <w:autoSpaceDE w:val="0"/>
              <w:autoSpaceDN w:val="0"/>
              <w:spacing w:before="60" w:after="0" w:line="223" w:lineRule="auto"/>
              <w:jc w:val="center"/>
            </w:pPr>
            <w:r>
              <w:rPr>
                <w:rFonts w:ascii="KaTeX_Main" w:eastAsia="KaTeX_Main" w:hAnsi="KaTeX_Main"/>
                <w:color w:val="34322D"/>
                <w:w w:val="75"/>
                <w:sz w:val="2"/>
              </w:rPr>
              <w:t>​</w:t>
            </w:r>
            <w:r>
              <w:rPr>
                <w:rFonts w:ascii="KaTeX_Main" w:eastAsia="KaTeX_Main" w:hAnsi="KaTeX_Main"/>
                <w:color w:val="34322D"/>
                <w:w w:val="101"/>
                <w:sz w:val="26"/>
              </w:rPr>
              <w:t xml:space="preserve"> −1)</w:t>
            </w:r>
          </w:p>
        </w:tc>
      </w:tr>
    </w:tbl>
    <w:p w14:paraId="295ABA07" w14:textId="77777777" w:rsidR="00C23A68" w:rsidRDefault="00000000">
      <w:pPr>
        <w:autoSpaceDE w:val="0"/>
        <w:autoSpaceDN w:val="0"/>
        <w:spacing w:after="0" w:line="228" w:lineRule="auto"/>
        <w:ind w:right="3592"/>
        <w:jc w:val="right"/>
      </w:pPr>
      <w:r>
        <w:rPr>
          <w:rFonts w:ascii="KaTeX_Main" w:eastAsia="KaTeX_Main" w:hAnsi="KaTeX_Main"/>
          <w:color w:val="34322D"/>
          <w:w w:val="75"/>
          <w:sz w:val="2"/>
        </w:rPr>
        <w:t>​</w:t>
      </w:r>
    </w:p>
    <w:p w14:paraId="189F7025" w14:textId="77777777" w:rsidR="00C23A68" w:rsidRDefault="00000000">
      <w:pPr>
        <w:autoSpaceDE w:val="0"/>
        <w:autoSpaceDN w:val="0"/>
        <w:spacing w:before="632" w:after="498" w:line="286" w:lineRule="auto"/>
        <w:ind w:left="420" w:hanging="266"/>
      </w:pPr>
      <w:r>
        <w:rPr>
          <w:rFonts w:ascii="Liberation Sans" w:eastAsia="Liberation Sans" w:hAnsi="Liberation Sans"/>
          <w:color w:val="34322D"/>
          <w:sz w:val="24"/>
        </w:rPr>
        <w:t xml:space="preserve">3. </w:t>
      </w:r>
      <w:r>
        <w:rPr>
          <w:rFonts w:ascii="Liberation Sans" w:eastAsia="Liberation Sans" w:hAnsi="Liberation Sans"/>
          <w:b/>
          <w:color w:val="34322D"/>
          <w:sz w:val="24"/>
        </w:rPr>
        <w:t>Stochastic texture</w:t>
      </w:r>
      <w:r>
        <w:rPr>
          <w:rFonts w:ascii="Liberation Sans" w:eastAsia="Liberation Sans" w:hAnsi="Liberation Sans"/>
          <w:color w:val="34322D"/>
          <w:sz w:val="24"/>
        </w:rPr>
        <w:t>: To simulate the effect of thermodynamic neural noise on the observable order parameter, Gaussian noise was added with amplitude modulated by proximity to the critical threshold:</w:t>
      </w:r>
    </w:p>
    <w:tbl>
      <w:tblPr>
        <w:tblW w:w="0" w:type="auto"/>
        <w:tblLayout w:type="fixed"/>
        <w:tblLook w:val="04A0" w:firstRow="1" w:lastRow="0" w:firstColumn="1" w:lastColumn="0" w:noHBand="0" w:noVBand="1"/>
      </w:tblPr>
      <w:tblGrid>
        <w:gridCol w:w="1000"/>
        <w:gridCol w:w="320"/>
        <w:gridCol w:w="1060"/>
        <w:gridCol w:w="340"/>
        <w:gridCol w:w="1360"/>
        <w:gridCol w:w="620"/>
        <w:gridCol w:w="2760"/>
        <w:gridCol w:w="2700"/>
      </w:tblGrid>
      <w:tr w:rsidR="00C23A68" w14:paraId="42BA703B" w14:textId="77777777">
        <w:trPr>
          <w:trHeight w:hRule="exact" w:val="622"/>
        </w:trPr>
        <w:tc>
          <w:tcPr>
            <w:tcW w:w="1000" w:type="dxa"/>
            <w:vMerge w:val="restart"/>
            <w:tcMar>
              <w:left w:w="0" w:type="dxa"/>
              <w:right w:w="0" w:type="dxa"/>
            </w:tcMar>
          </w:tcPr>
          <w:p w14:paraId="379DE780" w14:textId="77777777" w:rsidR="00C23A68" w:rsidRDefault="00000000">
            <w:pPr>
              <w:autoSpaceDE w:val="0"/>
              <w:autoSpaceDN w:val="0"/>
              <w:spacing w:before="824" w:after="0" w:line="266" w:lineRule="auto"/>
              <w:jc w:val="center"/>
            </w:pPr>
            <w:r>
              <w:rPr>
                <w:rFonts w:ascii="Liberation Sans" w:eastAsia="Liberation Sans" w:hAnsi="Liberation Sans"/>
                <w:color w:val="34322D"/>
                <w:sz w:val="24"/>
              </w:rPr>
              <w:t xml:space="preserve">where </w:t>
            </w:r>
            <w:r>
              <w:rPr>
                <w:rFonts w:ascii="KaTeX_Math" w:eastAsia="KaTeX_Math" w:hAnsi="KaTeX_Math"/>
                <w:i/>
                <w:color w:val="34322D"/>
                <w:w w:val="101"/>
                <w:sz w:val="26"/>
              </w:rPr>
              <w:t>η</w:t>
            </w:r>
            <w:r>
              <w:rPr>
                <w:rFonts w:ascii="KaTeX_Math" w:eastAsia="KaTeX_Math" w:hAnsi="KaTeX_Math"/>
                <w:i/>
                <w:color w:val="34322D"/>
                <w:w w:val="102"/>
                <w:sz w:val="18"/>
              </w:rPr>
              <w:t>ij</w:t>
            </w:r>
          </w:p>
        </w:tc>
        <w:tc>
          <w:tcPr>
            <w:tcW w:w="320" w:type="dxa"/>
            <w:vMerge w:val="restart"/>
            <w:tcMar>
              <w:left w:w="0" w:type="dxa"/>
              <w:right w:w="0" w:type="dxa"/>
            </w:tcMar>
          </w:tcPr>
          <w:p w14:paraId="3FC6EBD9" w14:textId="77777777" w:rsidR="00C23A68" w:rsidRDefault="00000000">
            <w:pPr>
              <w:autoSpaceDE w:val="0"/>
              <w:autoSpaceDN w:val="0"/>
              <w:spacing w:before="804" w:after="0" w:line="223" w:lineRule="auto"/>
              <w:jc w:val="center"/>
            </w:pPr>
            <w:r>
              <w:rPr>
                <w:rFonts w:ascii="KaTeX_Main" w:eastAsia="KaTeX_Main" w:hAnsi="KaTeX_Main"/>
                <w:color w:val="34322D"/>
                <w:w w:val="75"/>
                <w:sz w:val="2"/>
              </w:rPr>
              <w:t>​</w:t>
            </w:r>
            <w:r>
              <w:rPr>
                <w:rFonts w:ascii="KaTeX_Main" w:eastAsia="KaTeX_Main" w:hAnsi="KaTeX_Main"/>
                <w:color w:val="34322D"/>
                <w:w w:val="101"/>
                <w:sz w:val="26"/>
              </w:rPr>
              <w:t xml:space="preserve"> ∼</w:t>
            </w:r>
          </w:p>
        </w:tc>
        <w:tc>
          <w:tcPr>
            <w:tcW w:w="1060" w:type="dxa"/>
            <w:tcMar>
              <w:left w:w="0" w:type="dxa"/>
              <w:right w:w="0" w:type="dxa"/>
            </w:tcMar>
          </w:tcPr>
          <w:p w14:paraId="4D52AF36" w14:textId="77777777" w:rsidR="00C23A68" w:rsidRDefault="00000000">
            <w:pPr>
              <w:tabs>
                <w:tab w:val="left" w:pos="624"/>
              </w:tabs>
              <w:autoSpaceDE w:val="0"/>
              <w:autoSpaceDN w:val="0"/>
              <w:spacing w:before="60" w:after="0" w:line="245" w:lineRule="auto"/>
              <w:ind w:left="418"/>
            </w:pPr>
            <w:r>
              <w:rPr>
                <w:rFonts w:ascii="KaTeX_Math" w:eastAsia="KaTeX_Math" w:hAnsi="KaTeX_Math"/>
                <w:i/>
                <w:color w:val="34322D"/>
                <w:w w:val="102"/>
                <w:sz w:val="18"/>
              </w:rPr>
              <w:t>noisy</w:t>
            </w:r>
            <w:r>
              <w:rPr>
                <w:rFonts w:ascii="KaTeX_Main" w:eastAsia="KaTeX_Main" w:hAnsi="KaTeX_Main"/>
                <w:color w:val="34322D"/>
                <w:w w:val="101"/>
                <w:sz w:val="26"/>
              </w:rPr>
              <w:t>Ψ</w:t>
            </w:r>
            <w:r>
              <w:rPr>
                <w:rFonts w:ascii="KaTeX_Math" w:eastAsia="KaTeX_Math" w:hAnsi="KaTeX_Math"/>
                <w:i/>
                <w:color w:val="34322D"/>
                <w:w w:val="102"/>
                <w:sz w:val="18"/>
              </w:rPr>
              <w:t>ij</w:t>
            </w:r>
          </w:p>
        </w:tc>
        <w:tc>
          <w:tcPr>
            <w:tcW w:w="340" w:type="dxa"/>
            <w:tcMar>
              <w:left w:w="0" w:type="dxa"/>
              <w:right w:w="0" w:type="dxa"/>
            </w:tcMar>
          </w:tcPr>
          <w:p w14:paraId="78187A1D" w14:textId="77777777" w:rsidR="00C23A68" w:rsidRDefault="00000000">
            <w:pPr>
              <w:autoSpaceDE w:val="0"/>
              <w:autoSpaceDN w:val="0"/>
              <w:spacing w:before="92" w:after="0" w:line="228" w:lineRule="auto"/>
              <w:jc w:val="center"/>
            </w:pPr>
            <w:r>
              <w:rPr>
                <w:rFonts w:ascii="KaTeX_Main" w:eastAsia="KaTeX_Main" w:hAnsi="KaTeX_Main"/>
                <w:color w:val="34322D"/>
                <w:w w:val="75"/>
                <w:sz w:val="2"/>
              </w:rPr>
              <w:t>​</w:t>
            </w:r>
            <w:r>
              <w:rPr>
                <w:rFonts w:ascii="KaTeX_Main" w:eastAsia="KaTeX_Main" w:hAnsi="KaTeX_Main"/>
                <w:color w:val="34322D"/>
                <w:w w:val="101"/>
                <w:sz w:val="26"/>
              </w:rPr>
              <w:t xml:space="preserve"> =</w:t>
            </w:r>
          </w:p>
        </w:tc>
        <w:tc>
          <w:tcPr>
            <w:tcW w:w="1360" w:type="dxa"/>
            <w:tcMar>
              <w:left w:w="0" w:type="dxa"/>
              <w:right w:w="0" w:type="dxa"/>
            </w:tcMar>
          </w:tcPr>
          <w:p w14:paraId="5E11A005" w14:textId="77777777" w:rsidR="00C23A68" w:rsidRDefault="00000000">
            <w:pPr>
              <w:autoSpaceDE w:val="0"/>
              <w:autoSpaceDN w:val="0"/>
              <w:spacing w:before="98" w:after="0" w:line="223" w:lineRule="auto"/>
              <w:jc w:val="center"/>
            </w:pPr>
            <w:r>
              <w:rPr>
                <w:rFonts w:ascii="KaTeX_Main" w:eastAsia="KaTeX_Main" w:hAnsi="KaTeX_Main"/>
                <w:color w:val="34322D"/>
                <w:w w:val="101"/>
                <w:sz w:val="26"/>
              </w:rPr>
              <w:t>max0,Ψ</w:t>
            </w:r>
            <w:r>
              <w:rPr>
                <w:rFonts w:ascii="KaTeX_Math" w:eastAsia="KaTeX_Math" w:hAnsi="KaTeX_Math"/>
                <w:i/>
                <w:color w:val="34322D"/>
                <w:w w:val="102"/>
                <w:sz w:val="18"/>
              </w:rPr>
              <w:t>ij</w:t>
            </w:r>
          </w:p>
        </w:tc>
        <w:tc>
          <w:tcPr>
            <w:tcW w:w="620" w:type="dxa"/>
            <w:tcMar>
              <w:left w:w="0" w:type="dxa"/>
              <w:right w:w="0" w:type="dxa"/>
            </w:tcMar>
          </w:tcPr>
          <w:p w14:paraId="6534D8D3" w14:textId="77777777" w:rsidR="00C23A68" w:rsidRDefault="00000000">
            <w:pPr>
              <w:autoSpaceDE w:val="0"/>
              <w:autoSpaceDN w:val="0"/>
              <w:spacing w:before="98" w:after="0" w:line="223" w:lineRule="auto"/>
              <w:jc w:val="center"/>
            </w:pPr>
            <w:r>
              <w:rPr>
                <w:rFonts w:ascii="KaTeX_Main" w:eastAsia="KaTeX_Main" w:hAnsi="KaTeX_Main"/>
                <w:color w:val="34322D"/>
                <w:w w:val="75"/>
                <w:sz w:val="2"/>
              </w:rPr>
              <w:t>​</w:t>
            </w:r>
            <w:r>
              <w:rPr>
                <w:rFonts w:ascii="KaTeX_Main" w:eastAsia="KaTeX_Main" w:hAnsi="KaTeX_Main"/>
                <w:color w:val="34322D"/>
                <w:w w:val="101"/>
                <w:sz w:val="26"/>
              </w:rPr>
              <w:t xml:space="preserve"> +</w:t>
            </w:r>
            <w:r>
              <w:rPr>
                <w:rFonts w:ascii="KaTeX_Math" w:eastAsia="KaTeX_Math" w:hAnsi="KaTeX_Math"/>
                <w:i/>
                <w:color w:val="34322D"/>
                <w:w w:val="101"/>
                <w:sz w:val="26"/>
              </w:rPr>
              <w:t xml:space="preserve"> η</w:t>
            </w:r>
            <w:r>
              <w:rPr>
                <w:rFonts w:ascii="KaTeX_Math" w:eastAsia="KaTeX_Math" w:hAnsi="KaTeX_Math"/>
                <w:i/>
                <w:color w:val="34322D"/>
                <w:w w:val="102"/>
                <w:sz w:val="18"/>
              </w:rPr>
              <w:t>ij</w:t>
            </w:r>
          </w:p>
        </w:tc>
        <w:tc>
          <w:tcPr>
            <w:tcW w:w="2760" w:type="dxa"/>
            <w:tcMar>
              <w:left w:w="0" w:type="dxa"/>
              <w:right w:w="0" w:type="dxa"/>
            </w:tcMar>
          </w:tcPr>
          <w:p w14:paraId="376EFDE8" w14:textId="77777777" w:rsidR="00C23A68" w:rsidRDefault="00000000">
            <w:pPr>
              <w:autoSpaceDE w:val="0"/>
              <w:autoSpaceDN w:val="0"/>
              <w:spacing w:before="98" w:after="0" w:line="223" w:lineRule="auto"/>
              <w:jc w:val="center"/>
            </w:pPr>
            <w:r>
              <w:rPr>
                <w:rFonts w:ascii="KaTeX_Main" w:eastAsia="KaTeX_Main" w:hAnsi="KaTeX_Main"/>
                <w:color w:val="34322D"/>
                <w:w w:val="75"/>
                <w:sz w:val="2"/>
              </w:rPr>
              <w:t>​</w:t>
            </w:r>
            <w:r>
              <w:rPr>
                <w:rFonts w:ascii="KaTeX_Main" w:eastAsia="KaTeX_Main" w:hAnsi="KaTeX_Main"/>
                <w:color w:val="34322D"/>
                <w:w w:val="101"/>
                <w:sz w:val="26"/>
              </w:rPr>
              <w:t xml:space="preserve"> ⋅1 + 0.5 exp−2(</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p>
        </w:tc>
        <w:tc>
          <w:tcPr>
            <w:tcW w:w="2700" w:type="dxa"/>
            <w:tcMar>
              <w:left w:w="0" w:type="dxa"/>
              <w:right w:w="0" w:type="dxa"/>
            </w:tcMar>
          </w:tcPr>
          <w:p w14:paraId="380F6C4C" w14:textId="77777777" w:rsidR="00C23A68" w:rsidRDefault="00000000">
            <w:pPr>
              <w:autoSpaceDE w:val="0"/>
              <w:autoSpaceDN w:val="0"/>
              <w:spacing w:before="66" w:after="0" w:line="257" w:lineRule="auto"/>
              <w:ind w:left="20"/>
            </w:pPr>
            <w:r>
              <w:rPr>
                <w:rFonts w:ascii="KaTeX_Main" w:eastAsia="KaTeX_Main" w:hAnsi="KaTeX_Main"/>
                <w:color w:val="34322D"/>
                <w:w w:val="75"/>
                <w:sz w:val="2"/>
              </w:rPr>
              <w:t>​</w:t>
            </w:r>
            <w:r>
              <w:rPr>
                <w:rFonts w:ascii="KaTeX_Main" w:eastAsia="KaTeX_Main" w:hAnsi="KaTeX_Main"/>
                <w:color w:val="34322D"/>
                <w:w w:val="101"/>
                <w:sz w:val="26"/>
              </w:rPr>
              <w:t xml:space="preserve"> −1) </w:t>
            </w:r>
            <w:r>
              <w:rPr>
                <w:rFonts w:ascii="KaTeX_Main" w:eastAsia="KaTeX_Main" w:hAnsi="KaTeX_Main"/>
                <w:color w:val="34322D"/>
                <w:w w:val="102"/>
                <w:sz w:val="18"/>
              </w:rPr>
              <w:t>2</w:t>
            </w:r>
            <w:r>
              <w:rPr>
                <w:rFonts w:ascii="KaTeX_Size1" w:eastAsia="KaTeX_Size1" w:hAnsi="KaTeX_Size1"/>
                <w:color w:val="34322D"/>
                <w:w w:val="101"/>
                <w:sz w:val="26"/>
              </w:rPr>
              <w:t>)))</w:t>
            </w:r>
          </w:p>
        </w:tc>
      </w:tr>
      <w:tr w:rsidR="00C23A68" w14:paraId="22074033" w14:textId="77777777">
        <w:trPr>
          <w:trHeight w:hRule="exact" w:val="536"/>
        </w:trPr>
        <w:tc>
          <w:tcPr>
            <w:tcW w:w="1283" w:type="dxa"/>
            <w:vMerge/>
          </w:tcPr>
          <w:p w14:paraId="0570725C" w14:textId="77777777" w:rsidR="00C23A68" w:rsidRDefault="00C23A68"/>
        </w:tc>
        <w:tc>
          <w:tcPr>
            <w:tcW w:w="1283" w:type="dxa"/>
            <w:vMerge/>
          </w:tcPr>
          <w:p w14:paraId="45DFEE9D" w14:textId="77777777" w:rsidR="00C23A68" w:rsidRDefault="00C23A68"/>
        </w:tc>
        <w:tc>
          <w:tcPr>
            <w:tcW w:w="8840" w:type="dxa"/>
            <w:gridSpan w:val="6"/>
            <w:tcMar>
              <w:left w:w="0" w:type="dxa"/>
              <w:right w:w="0" w:type="dxa"/>
            </w:tcMar>
          </w:tcPr>
          <w:p w14:paraId="3AD1E9E8" w14:textId="77777777" w:rsidR="00C23A68" w:rsidRDefault="00000000">
            <w:pPr>
              <w:autoSpaceDE w:val="0"/>
              <w:autoSpaceDN w:val="0"/>
              <w:spacing w:before="182" w:after="0" w:line="223" w:lineRule="auto"/>
              <w:jc w:val="center"/>
            </w:pPr>
            <w:r>
              <w:rPr>
                <w:rFonts w:ascii="KaTeX_Caligraphic" w:eastAsia="KaTeX_Caligraphic" w:hAnsi="KaTeX_Caligraphic"/>
                <w:color w:val="34322D"/>
                <w:w w:val="101"/>
                <w:sz w:val="26"/>
              </w:rPr>
              <w:t>N</w:t>
            </w:r>
            <w:r>
              <w:rPr>
                <w:rFonts w:ascii="KaTeX_Main" w:eastAsia="KaTeX_Main" w:hAnsi="KaTeX_Main"/>
                <w:color w:val="34322D"/>
                <w:w w:val="101"/>
                <w:sz w:val="26"/>
              </w:rPr>
              <w:t xml:space="preserve">(0, 0.03) </w:t>
            </w:r>
            <w:r>
              <w:rPr>
                <w:rFonts w:ascii="Liberation Sans" w:eastAsia="Liberation Sans" w:hAnsi="Liberation Sans"/>
                <w:color w:val="34322D"/>
                <w:sz w:val="24"/>
              </w:rPr>
              <w:t>. This produces enhanced fluctuations near the critical point, consistent</w:t>
            </w:r>
          </w:p>
        </w:tc>
      </w:tr>
    </w:tbl>
    <w:p w14:paraId="0B36B2FB" w14:textId="77777777" w:rsidR="00C23A68" w:rsidRDefault="00000000">
      <w:pPr>
        <w:autoSpaceDE w:val="0"/>
        <w:autoSpaceDN w:val="0"/>
        <w:spacing w:before="26" w:after="0" w:line="274" w:lineRule="auto"/>
        <w:ind w:right="1440"/>
      </w:pPr>
      <w:r>
        <w:rPr>
          <w:rFonts w:ascii="Liberation Sans" w:eastAsia="Liberation Sans" w:hAnsi="Liberation Sans"/>
          <w:color w:val="34322D"/>
          <w:sz w:val="24"/>
        </w:rPr>
        <w:t>with the phenomenon of critical slowing down observed in empirical EEG data near consciousness transitions.</w:t>
      </w:r>
    </w:p>
    <w:p w14:paraId="4C7D017A" w14:textId="77777777" w:rsidR="00C23A68" w:rsidRDefault="00C23A68">
      <w:pPr>
        <w:sectPr w:rsidR="00C23A68">
          <w:pgSz w:w="11918" w:h="16838"/>
          <w:pgMar w:top="570" w:right="814" w:bottom="714" w:left="840" w:header="720" w:footer="720" w:gutter="0"/>
          <w:cols w:space="720"/>
          <w:docGrid w:linePitch="360"/>
        </w:sectPr>
      </w:pPr>
    </w:p>
    <w:p w14:paraId="72AE8B4C" w14:textId="77777777" w:rsidR="00C23A68" w:rsidRDefault="00C23A68">
      <w:pPr>
        <w:autoSpaceDE w:val="0"/>
        <w:autoSpaceDN w:val="0"/>
        <w:spacing w:after="374" w:line="220" w:lineRule="exact"/>
      </w:pPr>
    </w:p>
    <w:p w14:paraId="2D22C49E" w14:textId="77777777" w:rsidR="00C23A68" w:rsidRDefault="00000000">
      <w:pPr>
        <w:autoSpaceDE w:val="0"/>
        <w:autoSpaceDN w:val="0"/>
        <w:spacing w:after="0" w:line="257" w:lineRule="auto"/>
        <w:ind w:left="420" w:right="576" w:hanging="266"/>
      </w:pPr>
      <w:r>
        <w:rPr>
          <w:rFonts w:ascii="Liberation Sans" w:eastAsia="Liberation Sans" w:hAnsi="Liberation Sans"/>
          <w:color w:val="34322D"/>
          <w:sz w:val="24"/>
        </w:rPr>
        <w:t xml:space="preserve">4. </w:t>
      </w:r>
      <w:r>
        <w:rPr>
          <w:rFonts w:ascii="Liberation Sans" w:eastAsia="Liberation Sans" w:hAnsi="Liberation Sans"/>
          <w:b/>
          <w:color w:val="34322D"/>
          <w:sz w:val="24"/>
        </w:rPr>
        <w:t>Critical threshold contour</w:t>
      </w:r>
      <w:r>
        <w:rPr>
          <w:rFonts w:ascii="Liberation Sans" w:eastAsia="Liberation Sans" w:hAnsi="Liberation Sans"/>
          <w:color w:val="34322D"/>
          <w:sz w:val="24"/>
        </w:rPr>
        <w:t xml:space="preserve">: The critical threshold was plotted as the hyperbola </w:t>
      </w:r>
      <w:r>
        <w:rPr>
          <w:rFonts w:ascii="KaTeX_Math" w:eastAsia="KaTeX_Math" w:hAnsi="KaTeX_Math"/>
          <w:i/>
          <w:color w:val="34322D"/>
          <w:w w:val="101"/>
          <w:sz w:val="26"/>
        </w:rPr>
        <w:t xml:space="preserve">G </w:t>
      </w:r>
      <w:r>
        <w:rPr>
          <w:rFonts w:ascii="KaTeX_Math" w:eastAsia="KaTeX_Math" w:hAnsi="KaTeX_Math"/>
          <w:i/>
          <w:color w:val="34322D"/>
          <w:w w:val="102"/>
          <w:sz w:val="18"/>
        </w:rPr>
        <w:t>exo</w:t>
      </w:r>
      <w:r>
        <w:rPr>
          <w:rFonts w:ascii="KaTeX_Main" w:eastAsia="KaTeX_Main" w:hAnsi="KaTeX_Main"/>
          <w:color w:val="34322D"/>
          <w:w w:val="75"/>
          <w:sz w:val="2"/>
        </w:rPr>
        <w:t>​</w:t>
      </w:r>
      <w:r>
        <w:rPr>
          <w:rFonts w:ascii="KaTeX_Main" w:eastAsia="KaTeX_Main" w:hAnsi="KaTeX_Main"/>
          <w:color w:val="34322D"/>
          <w:w w:val="101"/>
          <w:sz w:val="26"/>
        </w:rPr>
        <w:t xml:space="preserve"> = 1/(</w:t>
      </w:r>
      <w:r>
        <w:rPr>
          <w:rFonts w:ascii="KaTeX_Math" w:eastAsia="KaTeX_Math" w:hAnsi="KaTeX_Math"/>
          <w:i/>
          <w:color w:val="34322D"/>
          <w:w w:val="101"/>
          <w:sz w:val="26"/>
        </w:rPr>
        <w:t xml:space="preserve">G </w:t>
      </w:r>
      <w:r>
        <w:rPr>
          <w:rFonts w:ascii="KaTeX_Math" w:eastAsia="KaTeX_Math" w:hAnsi="KaTeX_Math"/>
          <w:i/>
          <w:color w:val="34322D"/>
          <w:w w:val="102"/>
          <w:sz w:val="18"/>
        </w:rPr>
        <w:t>endo</w:t>
      </w:r>
      <w:r>
        <w:rPr>
          <w:rFonts w:ascii="KaTeX_Main" w:eastAsia="KaTeX_Main" w:hAnsi="KaTeX_Main"/>
          <w:color w:val="34322D"/>
          <w:w w:val="75"/>
          <w:sz w:val="2"/>
        </w:rPr>
        <w:t>​</w:t>
      </w:r>
      <w:r>
        <w:rPr>
          <w:rFonts w:ascii="KaTeX_Main" w:eastAsia="KaTeX_Main" w:hAnsi="KaTeX_Main"/>
          <w:color w:val="34322D"/>
          <w:w w:val="101"/>
          <w:sz w:val="26"/>
        </w:rPr>
        <w:t xml:space="preserve"> ×</w:t>
      </w:r>
      <w:r>
        <w:rPr>
          <w:rFonts w:ascii="KaTeX_Math" w:eastAsia="KaTeX_Math" w:hAnsi="KaTeX_Math"/>
          <w:i/>
          <w:color w:val="34322D"/>
          <w:w w:val="101"/>
          <w:sz w:val="26"/>
        </w:rPr>
        <w:t xml:space="preserve">G </w:t>
      </w:r>
      <w:r>
        <w:rPr>
          <w:rFonts w:ascii="KaTeX_Math" w:eastAsia="KaTeX_Math" w:hAnsi="KaTeX_Math"/>
          <w:i/>
          <w:color w:val="34322D"/>
          <w:w w:val="102"/>
          <w:sz w:val="18"/>
        </w:rPr>
        <w:t>exec</w:t>
      </w:r>
      <w:r>
        <w:rPr>
          <w:rFonts w:ascii="KaTeX_Main" w:eastAsia="KaTeX_Main" w:hAnsi="KaTeX_Main"/>
          <w:color w:val="34322D"/>
          <w:w w:val="75"/>
          <w:sz w:val="2"/>
        </w:rPr>
        <w:t>​</w:t>
      </w:r>
      <w:r>
        <w:rPr>
          <w:rFonts w:ascii="KaTeX_Main" w:eastAsia="KaTeX_Main" w:hAnsi="KaTeX_Main"/>
          <w:color w:val="34322D"/>
          <w:w w:val="101"/>
          <w:sz w:val="26"/>
        </w:rPr>
        <w:t>)</w:t>
      </w:r>
      <w:r>
        <w:rPr>
          <w:rFonts w:ascii="Liberation Sans" w:eastAsia="Liberation Sans" w:hAnsi="Liberation Sans"/>
          <w:color w:val="34322D"/>
          <w:sz w:val="24"/>
        </w:rPr>
        <w:t xml:space="preserve"> on the base plane (</w:t>
      </w:r>
      <w:r>
        <w:rPr>
          <w:rFonts w:ascii="KaTeX_Main" w:eastAsia="KaTeX_Main" w:hAnsi="KaTeX_Main"/>
          <w:color w:val="34322D"/>
          <w:w w:val="101"/>
          <w:sz w:val="26"/>
        </w:rPr>
        <w:t xml:space="preserve">Ψ = 0 </w:t>
      </w:r>
      <w:r>
        <w:rPr>
          <w:rFonts w:ascii="Liberation Sans" w:eastAsia="Liberation Sans" w:hAnsi="Liberation Sans"/>
          <w:color w:val="34322D"/>
          <w:sz w:val="24"/>
        </w:rPr>
        <w:t>), representing the boundary between the subcritical (unconscious) and supracritical (conscious) regimes.</w:t>
      </w:r>
    </w:p>
    <w:p w14:paraId="29DDAB5B" w14:textId="77777777" w:rsidR="00C23A68" w:rsidRDefault="00000000">
      <w:pPr>
        <w:autoSpaceDE w:val="0"/>
        <w:autoSpaceDN w:val="0"/>
        <w:spacing w:before="302" w:after="0" w:line="286" w:lineRule="auto"/>
        <w:ind w:left="420" w:hanging="266"/>
      </w:pPr>
      <w:r>
        <w:rPr>
          <w:rFonts w:ascii="Liberation Sans" w:eastAsia="Liberation Sans" w:hAnsi="Liberation Sans"/>
          <w:color w:val="34322D"/>
          <w:sz w:val="24"/>
        </w:rPr>
        <w:t xml:space="preserve">5. </w:t>
      </w:r>
      <w:r>
        <w:rPr>
          <w:rFonts w:ascii="Liberation Sans" w:eastAsia="Liberation Sans" w:hAnsi="Liberation Sans"/>
          <w:b/>
          <w:color w:val="34322D"/>
          <w:sz w:val="24"/>
        </w:rPr>
        <w:t>Clinical trajectories</w:t>
      </w:r>
      <w:r>
        <w:rPr>
          <w:rFonts w:ascii="Liberation Sans" w:eastAsia="Liberation Sans" w:hAnsi="Liberation Sans"/>
          <w:color w:val="34322D"/>
          <w:sz w:val="24"/>
        </w:rPr>
        <w:t>: Five parametric curves were computed to represent prototypical clinical scenarios, with gain values evolving along physiologically plausible paths through the gain space.</w:t>
      </w:r>
    </w:p>
    <w:p w14:paraId="38038040" w14:textId="77777777" w:rsidR="00C23A68" w:rsidRDefault="00000000">
      <w:pPr>
        <w:autoSpaceDE w:val="0"/>
        <w:autoSpaceDN w:val="0"/>
        <w:spacing w:before="458" w:after="0" w:line="240" w:lineRule="auto"/>
      </w:pPr>
      <w:r>
        <w:rPr>
          <w:rFonts w:ascii="Caladea" w:eastAsia="Caladea" w:hAnsi="Caladea"/>
          <w:b/>
          <w:color w:val="34322D"/>
          <w:sz w:val="30"/>
        </w:rPr>
        <w:t>S2. Clinical Interpretation of the Gain Surface</w:t>
      </w:r>
    </w:p>
    <w:p w14:paraId="795BE7F2" w14:textId="77777777" w:rsidR="00C23A68" w:rsidRDefault="00000000">
      <w:pPr>
        <w:autoSpaceDE w:val="0"/>
        <w:autoSpaceDN w:val="0"/>
        <w:spacing w:before="172" w:after="0" w:line="274" w:lineRule="auto"/>
      </w:pPr>
      <w:r>
        <w:rPr>
          <w:rFonts w:ascii="Liberation Sans" w:eastAsia="Liberation Sans" w:hAnsi="Liberation Sans"/>
          <w:color w:val="34322D"/>
          <w:sz w:val="24"/>
        </w:rPr>
        <w:t>The topographic surface provides a unified visualization of the entire spectrum of consciousness disorders encountered in neurocritical care:</w:t>
      </w:r>
    </w:p>
    <w:p w14:paraId="55DE20CE" w14:textId="77777777" w:rsidR="00C23A68" w:rsidRDefault="00C23A68">
      <w:pPr>
        <w:sectPr w:rsidR="00C23A68">
          <w:pgSz w:w="11918" w:h="16838"/>
          <w:pgMar w:top="592" w:right="820" w:bottom="1440" w:left="840" w:header="720" w:footer="720" w:gutter="0"/>
          <w:cols w:space="720"/>
          <w:docGrid w:linePitch="360"/>
        </w:sectPr>
      </w:pPr>
    </w:p>
    <w:p w14:paraId="459D5C46" w14:textId="77777777" w:rsidR="00C23A68" w:rsidRDefault="00C23A68">
      <w:pPr>
        <w:autoSpaceDE w:val="0"/>
        <w:autoSpaceDN w:val="0"/>
        <w:spacing w:after="342" w:line="220" w:lineRule="exact"/>
      </w:pPr>
    </w:p>
    <w:tbl>
      <w:tblPr>
        <w:tblW w:w="0" w:type="auto"/>
        <w:tblInd w:w="7" w:type="dxa"/>
        <w:tblLayout w:type="fixed"/>
        <w:tblLook w:val="04A0" w:firstRow="1" w:lastRow="0" w:firstColumn="1" w:lastColumn="0" w:noHBand="0" w:noVBand="1"/>
      </w:tblPr>
      <w:tblGrid>
        <w:gridCol w:w="1948"/>
        <w:gridCol w:w="976"/>
        <w:gridCol w:w="976"/>
        <w:gridCol w:w="990"/>
        <w:gridCol w:w="1140"/>
        <w:gridCol w:w="1604"/>
        <w:gridCol w:w="2596"/>
      </w:tblGrid>
      <w:tr w:rsidR="00C23A68" w14:paraId="54ADE7B9" w14:textId="77777777">
        <w:trPr>
          <w:trHeight w:hRule="exact" w:val="584"/>
        </w:trPr>
        <w:tc>
          <w:tcPr>
            <w:tcW w:w="1948" w:type="dxa"/>
            <w:tcBorders>
              <w:top w:val="single" w:sz="6" w:space="0" w:color="000000"/>
              <w:left w:val="single" w:sz="6" w:space="0" w:color="000000"/>
              <w:bottom w:val="single" w:sz="5" w:space="0" w:color="000000"/>
              <w:right w:val="single" w:sz="5" w:space="0" w:color="000000"/>
            </w:tcBorders>
            <w:shd w:val="clear" w:color="auto" w:fill="37342E"/>
            <w:tcMar>
              <w:left w:w="0" w:type="dxa"/>
              <w:right w:w="0" w:type="dxa"/>
            </w:tcMar>
          </w:tcPr>
          <w:p w14:paraId="40E9B050" w14:textId="77777777" w:rsidR="00C23A68" w:rsidRDefault="00000000">
            <w:pPr>
              <w:autoSpaceDE w:val="0"/>
              <w:autoSpaceDN w:val="0"/>
              <w:spacing w:before="142" w:after="0" w:line="233" w:lineRule="auto"/>
              <w:ind w:left="134"/>
            </w:pPr>
            <w:r>
              <w:rPr>
                <w:rFonts w:ascii="Liberation Sans" w:eastAsia="Liberation Sans" w:hAnsi="Liberation Sans"/>
                <w:color w:val="34322D"/>
                <w:sz w:val="24"/>
              </w:rPr>
              <w:t>Clinical State</w:t>
            </w:r>
          </w:p>
        </w:tc>
        <w:tc>
          <w:tcPr>
            <w:tcW w:w="976" w:type="dxa"/>
            <w:tcBorders>
              <w:top w:val="single" w:sz="6" w:space="0" w:color="000000"/>
              <w:left w:val="single" w:sz="5" w:space="0" w:color="000000"/>
              <w:bottom w:val="single" w:sz="5" w:space="0" w:color="000000"/>
              <w:right w:val="single" w:sz="6" w:space="0" w:color="000000"/>
            </w:tcBorders>
            <w:shd w:val="clear" w:color="auto" w:fill="37342E"/>
            <w:tcMar>
              <w:left w:w="0" w:type="dxa"/>
              <w:right w:w="0" w:type="dxa"/>
            </w:tcMar>
          </w:tcPr>
          <w:p w14:paraId="601DC075" w14:textId="77777777" w:rsidR="00C23A68" w:rsidRDefault="00000000">
            <w:pPr>
              <w:autoSpaceDE w:val="0"/>
              <w:autoSpaceDN w:val="0"/>
              <w:spacing w:before="158" w:after="0" w:line="257" w:lineRule="auto"/>
              <w:ind w:left="136"/>
            </w:pPr>
            <w:r>
              <w:rPr>
                <w:rFonts w:ascii="KaTeX_Math" w:eastAsia="KaTeX_Math" w:hAnsi="KaTeX_Math"/>
                <w:i/>
                <w:color w:val="34322D"/>
                <w:w w:val="101"/>
                <w:sz w:val="26"/>
              </w:rPr>
              <w:t xml:space="preserve">G </w:t>
            </w:r>
            <w:r>
              <w:rPr>
                <w:rFonts w:ascii="KaTeX_Math" w:eastAsia="KaTeX_Math" w:hAnsi="KaTeX_Math"/>
                <w:i/>
                <w:color w:val="34322D"/>
                <w:w w:val="102"/>
                <w:sz w:val="18"/>
              </w:rPr>
              <w:t>endo</w:t>
            </w:r>
            <w:r>
              <w:rPr>
                <w:rFonts w:ascii="KaTeX_Main" w:eastAsia="KaTeX_Main" w:hAnsi="KaTeX_Main"/>
                <w:color w:val="34322D"/>
                <w:w w:val="75"/>
                <w:sz w:val="2"/>
              </w:rPr>
              <w:t>​</w:t>
            </w:r>
          </w:p>
        </w:tc>
        <w:tc>
          <w:tcPr>
            <w:tcW w:w="976" w:type="dxa"/>
            <w:tcBorders>
              <w:top w:val="single" w:sz="6" w:space="0" w:color="000000"/>
              <w:left w:val="single" w:sz="6" w:space="0" w:color="000000"/>
              <w:bottom w:val="single" w:sz="5" w:space="0" w:color="000000"/>
              <w:right w:val="single" w:sz="6" w:space="0" w:color="000000"/>
            </w:tcBorders>
            <w:shd w:val="clear" w:color="auto" w:fill="37342E"/>
            <w:tcMar>
              <w:left w:w="0" w:type="dxa"/>
              <w:right w:w="0" w:type="dxa"/>
            </w:tcMar>
          </w:tcPr>
          <w:p w14:paraId="706D28B6" w14:textId="77777777" w:rsidR="00C23A68" w:rsidRDefault="00000000">
            <w:pPr>
              <w:autoSpaceDE w:val="0"/>
              <w:autoSpaceDN w:val="0"/>
              <w:spacing w:before="158" w:after="0" w:line="257" w:lineRule="auto"/>
              <w:ind w:left="138"/>
            </w:pPr>
            <w:r>
              <w:rPr>
                <w:rFonts w:ascii="KaTeX_Math" w:eastAsia="KaTeX_Math" w:hAnsi="KaTeX_Math"/>
                <w:i/>
                <w:color w:val="34322D"/>
                <w:w w:val="101"/>
                <w:sz w:val="26"/>
              </w:rPr>
              <w:t xml:space="preserve">G </w:t>
            </w:r>
            <w:r>
              <w:rPr>
                <w:rFonts w:ascii="KaTeX_Math" w:eastAsia="KaTeX_Math" w:hAnsi="KaTeX_Math"/>
                <w:i/>
                <w:color w:val="34322D"/>
                <w:w w:val="102"/>
                <w:sz w:val="18"/>
              </w:rPr>
              <w:t>exo</w:t>
            </w:r>
            <w:r>
              <w:rPr>
                <w:rFonts w:ascii="KaTeX_Main" w:eastAsia="KaTeX_Main" w:hAnsi="KaTeX_Main"/>
                <w:color w:val="34322D"/>
                <w:w w:val="75"/>
                <w:sz w:val="2"/>
              </w:rPr>
              <w:t>​</w:t>
            </w:r>
          </w:p>
        </w:tc>
        <w:tc>
          <w:tcPr>
            <w:tcW w:w="990" w:type="dxa"/>
            <w:tcBorders>
              <w:top w:val="single" w:sz="6" w:space="0" w:color="000000"/>
              <w:left w:val="single" w:sz="6" w:space="0" w:color="000000"/>
              <w:bottom w:val="single" w:sz="5" w:space="0" w:color="000000"/>
              <w:right w:val="single" w:sz="5" w:space="0" w:color="000000"/>
            </w:tcBorders>
            <w:shd w:val="clear" w:color="auto" w:fill="37342E"/>
            <w:tcMar>
              <w:left w:w="0" w:type="dxa"/>
              <w:right w:w="0" w:type="dxa"/>
            </w:tcMar>
          </w:tcPr>
          <w:p w14:paraId="26BFB0A6" w14:textId="77777777" w:rsidR="00C23A68" w:rsidRDefault="00000000">
            <w:pPr>
              <w:autoSpaceDE w:val="0"/>
              <w:autoSpaceDN w:val="0"/>
              <w:spacing w:before="158" w:after="0" w:line="257" w:lineRule="auto"/>
              <w:ind w:left="140"/>
            </w:pPr>
            <w:r>
              <w:rPr>
                <w:rFonts w:ascii="KaTeX_Math" w:eastAsia="KaTeX_Math" w:hAnsi="KaTeX_Math"/>
                <w:i/>
                <w:color w:val="34322D"/>
                <w:w w:val="101"/>
                <w:sz w:val="26"/>
              </w:rPr>
              <w:t>G</w:t>
            </w:r>
            <w:r>
              <w:rPr>
                <w:rFonts w:ascii="KaTeX_Math" w:eastAsia="KaTeX_Math" w:hAnsi="KaTeX_Math"/>
                <w:i/>
                <w:color w:val="34322D"/>
                <w:w w:val="102"/>
                <w:sz w:val="18"/>
              </w:rPr>
              <w:t>exec</w:t>
            </w:r>
          </w:p>
        </w:tc>
        <w:tc>
          <w:tcPr>
            <w:tcW w:w="1140" w:type="dxa"/>
            <w:tcBorders>
              <w:top w:val="single" w:sz="6" w:space="0" w:color="000000"/>
              <w:left w:val="single" w:sz="5" w:space="0" w:color="000000"/>
              <w:bottom w:val="single" w:sz="5" w:space="0" w:color="000000"/>
              <w:right w:val="single" w:sz="5" w:space="0" w:color="000000"/>
            </w:tcBorders>
            <w:shd w:val="clear" w:color="auto" w:fill="37342E"/>
            <w:tcMar>
              <w:left w:w="0" w:type="dxa"/>
              <w:right w:w="0" w:type="dxa"/>
            </w:tcMar>
          </w:tcPr>
          <w:p w14:paraId="22E8A4C0" w14:textId="77777777" w:rsidR="00C23A68" w:rsidRDefault="00000000">
            <w:pPr>
              <w:autoSpaceDE w:val="0"/>
              <w:autoSpaceDN w:val="0"/>
              <w:spacing w:before="158" w:after="0" w:line="257" w:lineRule="auto"/>
              <w:ind w:left="130"/>
            </w:pP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p>
        </w:tc>
        <w:tc>
          <w:tcPr>
            <w:tcW w:w="1604" w:type="dxa"/>
            <w:tcBorders>
              <w:top w:val="single" w:sz="6" w:space="0" w:color="000000"/>
              <w:left w:val="single" w:sz="5" w:space="0" w:color="000000"/>
              <w:bottom w:val="single" w:sz="5" w:space="0" w:color="000000"/>
              <w:right w:val="single" w:sz="5" w:space="0" w:color="000000"/>
            </w:tcBorders>
            <w:shd w:val="clear" w:color="auto" w:fill="37342E"/>
            <w:tcMar>
              <w:left w:w="0" w:type="dxa"/>
              <w:right w:w="0" w:type="dxa"/>
            </w:tcMar>
          </w:tcPr>
          <w:p w14:paraId="5205286D" w14:textId="77777777" w:rsidR="00C23A68" w:rsidRDefault="00000000">
            <w:pPr>
              <w:autoSpaceDE w:val="0"/>
              <w:autoSpaceDN w:val="0"/>
              <w:spacing w:before="122" w:after="0" w:line="223" w:lineRule="auto"/>
              <w:ind w:left="132"/>
            </w:pPr>
            <w:r>
              <w:rPr>
                <w:rFonts w:ascii="KaTeX_Main" w:eastAsia="KaTeX_Main" w:hAnsi="KaTeX_Main"/>
                <w:color w:val="34322D"/>
                <w:w w:val="101"/>
                <w:sz w:val="26"/>
              </w:rPr>
              <w:t>Ψ</w:t>
            </w:r>
          </w:p>
        </w:tc>
        <w:tc>
          <w:tcPr>
            <w:tcW w:w="2596" w:type="dxa"/>
            <w:tcBorders>
              <w:top w:val="single" w:sz="6" w:space="0" w:color="000000"/>
              <w:left w:val="single" w:sz="5" w:space="0" w:color="000000"/>
              <w:bottom w:val="single" w:sz="5" w:space="0" w:color="000000"/>
              <w:right w:val="single" w:sz="5" w:space="0" w:color="000000"/>
            </w:tcBorders>
            <w:shd w:val="clear" w:color="auto" w:fill="37342E"/>
            <w:tcMar>
              <w:left w:w="0" w:type="dxa"/>
              <w:right w:w="0" w:type="dxa"/>
            </w:tcMar>
          </w:tcPr>
          <w:p w14:paraId="2AECACCC" w14:textId="77777777" w:rsidR="00C23A68" w:rsidRDefault="00000000">
            <w:pPr>
              <w:autoSpaceDE w:val="0"/>
              <w:autoSpaceDN w:val="0"/>
              <w:spacing w:before="142" w:after="0" w:line="233" w:lineRule="auto"/>
              <w:ind w:left="136"/>
            </w:pPr>
            <w:r>
              <w:rPr>
                <w:rFonts w:ascii="Liberation Sans" w:eastAsia="Liberation Sans" w:hAnsi="Liberation Sans"/>
                <w:color w:val="34322D"/>
                <w:sz w:val="24"/>
              </w:rPr>
              <w:t>EEG Signature</w:t>
            </w:r>
          </w:p>
        </w:tc>
      </w:tr>
      <w:tr w:rsidR="00C23A68" w14:paraId="3288BAAC" w14:textId="77777777">
        <w:trPr>
          <w:trHeight w:hRule="exact" w:val="976"/>
        </w:trPr>
        <w:tc>
          <w:tcPr>
            <w:tcW w:w="1948" w:type="dxa"/>
            <w:tcBorders>
              <w:top w:val="single" w:sz="5" w:space="0" w:color="000000"/>
              <w:left w:val="single" w:sz="6" w:space="0" w:color="000000"/>
              <w:bottom w:val="single" w:sz="6" w:space="0" w:color="000000"/>
              <w:right w:val="single" w:sz="5" w:space="0" w:color="000000"/>
            </w:tcBorders>
            <w:tcMar>
              <w:left w:w="0" w:type="dxa"/>
              <w:right w:w="0" w:type="dxa"/>
            </w:tcMar>
          </w:tcPr>
          <w:p w14:paraId="2E9F8757" w14:textId="77777777" w:rsidR="00C23A68" w:rsidRDefault="00000000">
            <w:pPr>
              <w:autoSpaceDE w:val="0"/>
              <w:autoSpaceDN w:val="0"/>
              <w:spacing w:before="158" w:after="0" w:line="274" w:lineRule="auto"/>
              <w:ind w:left="208" w:right="576"/>
            </w:pPr>
            <w:r>
              <w:rPr>
                <w:rFonts w:ascii="Liberation Sans" w:eastAsia="Liberation Sans" w:hAnsi="Liberation Sans"/>
                <w:color w:val="34322D"/>
                <w:sz w:val="24"/>
              </w:rPr>
              <w:t>Brainstem death</w:t>
            </w:r>
          </w:p>
        </w:tc>
        <w:tc>
          <w:tcPr>
            <w:tcW w:w="976" w:type="dxa"/>
            <w:tcBorders>
              <w:top w:val="single" w:sz="5" w:space="0" w:color="000000"/>
              <w:left w:val="single" w:sz="5" w:space="0" w:color="000000"/>
              <w:bottom w:val="single" w:sz="6" w:space="0" w:color="000000"/>
              <w:right w:val="single" w:sz="6" w:space="0" w:color="000000"/>
            </w:tcBorders>
            <w:tcMar>
              <w:left w:w="0" w:type="dxa"/>
              <w:right w:w="0" w:type="dxa"/>
            </w:tcMar>
          </w:tcPr>
          <w:p w14:paraId="3917D3FF" w14:textId="77777777" w:rsidR="00C23A68" w:rsidRDefault="00000000">
            <w:pPr>
              <w:autoSpaceDE w:val="0"/>
              <w:autoSpaceDN w:val="0"/>
              <w:spacing w:before="158" w:after="0" w:line="233" w:lineRule="auto"/>
              <w:ind w:left="212"/>
            </w:pPr>
            <w:r>
              <w:rPr>
                <w:rFonts w:ascii="Liberation Sans" w:eastAsia="Liberation Sans" w:hAnsi="Liberation Sans"/>
                <w:color w:val="34322D"/>
                <w:sz w:val="24"/>
              </w:rPr>
              <w:t>0</w:t>
            </w:r>
          </w:p>
        </w:tc>
        <w:tc>
          <w:tcPr>
            <w:tcW w:w="976" w:type="dxa"/>
            <w:tcBorders>
              <w:top w:val="single" w:sz="5" w:space="0" w:color="000000"/>
              <w:left w:val="single" w:sz="6" w:space="0" w:color="000000"/>
              <w:bottom w:val="single" w:sz="6" w:space="0" w:color="000000"/>
              <w:right w:val="single" w:sz="6" w:space="0" w:color="000000"/>
            </w:tcBorders>
            <w:tcMar>
              <w:left w:w="0" w:type="dxa"/>
              <w:right w:w="0" w:type="dxa"/>
            </w:tcMar>
          </w:tcPr>
          <w:p w14:paraId="622CAABC" w14:textId="77777777" w:rsidR="00C23A68" w:rsidRDefault="00000000">
            <w:pPr>
              <w:autoSpaceDE w:val="0"/>
              <w:autoSpaceDN w:val="0"/>
              <w:spacing w:before="158" w:after="0" w:line="233" w:lineRule="auto"/>
              <w:ind w:left="214"/>
            </w:pPr>
            <w:r>
              <w:rPr>
                <w:rFonts w:ascii="Liberation Sans" w:eastAsia="Liberation Sans" w:hAnsi="Liberation Sans"/>
                <w:color w:val="34322D"/>
                <w:sz w:val="24"/>
              </w:rPr>
              <w:t>Any</w:t>
            </w:r>
          </w:p>
        </w:tc>
        <w:tc>
          <w:tcPr>
            <w:tcW w:w="990" w:type="dxa"/>
            <w:tcBorders>
              <w:top w:val="single" w:sz="5" w:space="0" w:color="000000"/>
              <w:left w:val="single" w:sz="6" w:space="0" w:color="000000"/>
              <w:bottom w:val="single" w:sz="6" w:space="0" w:color="000000"/>
              <w:right w:val="single" w:sz="5" w:space="0" w:color="000000"/>
            </w:tcBorders>
            <w:tcMar>
              <w:left w:w="0" w:type="dxa"/>
              <w:right w:w="0" w:type="dxa"/>
            </w:tcMar>
          </w:tcPr>
          <w:p w14:paraId="669EEAFA" w14:textId="77777777" w:rsidR="00C23A68" w:rsidRDefault="00000000">
            <w:pPr>
              <w:autoSpaceDE w:val="0"/>
              <w:autoSpaceDN w:val="0"/>
              <w:spacing w:before="158" w:after="0" w:line="233" w:lineRule="auto"/>
              <w:ind w:left="216"/>
            </w:pPr>
            <w:r>
              <w:rPr>
                <w:rFonts w:ascii="Liberation Sans" w:eastAsia="Liberation Sans" w:hAnsi="Liberation Sans"/>
                <w:color w:val="34322D"/>
                <w:sz w:val="24"/>
              </w:rPr>
              <w:t>Any</w:t>
            </w:r>
          </w:p>
        </w:tc>
        <w:tc>
          <w:tcPr>
            <w:tcW w:w="1140" w:type="dxa"/>
            <w:tcBorders>
              <w:top w:val="single" w:sz="5" w:space="0" w:color="000000"/>
              <w:left w:val="single" w:sz="5" w:space="0" w:color="000000"/>
              <w:bottom w:val="single" w:sz="6" w:space="0" w:color="000000"/>
              <w:right w:val="single" w:sz="5" w:space="0" w:color="000000"/>
            </w:tcBorders>
            <w:tcMar>
              <w:left w:w="0" w:type="dxa"/>
              <w:right w:w="0" w:type="dxa"/>
            </w:tcMar>
          </w:tcPr>
          <w:p w14:paraId="79A95C3F" w14:textId="77777777" w:rsidR="00C23A68" w:rsidRDefault="00000000">
            <w:pPr>
              <w:autoSpaceDE w:val="0"/>
              <w:autoSpaceDN w:val="0"/>
              <w:spacing w:before="158" w:after="0" w:line="233" w:lineRule="auto"/>
              <w:ind w:left="206"/>
            </w:pPr>
            <w:r>
              <w:rPr>
                <w:rFonts w:ascii="Liberation Sans" w:eastAsia="Liberation Sans" w:hAnsi="Liberation Sans"/>
                <w:color w:val="34322D"/>
                <w:sz w:val="24"/>
              </w:rPr>
              <w:t>0</w:t>
            </w:r>
          </w:p>
        </w:tc>
        <w:tc>
          <w:tcPr>
            <w:tcW w:w="1604" w:type="dxa"/>
            <w:tcBorders>
              <w:top w:val="single" w:sz="5" w:space="0" w:color="000000"/>
              <w:left w:val="single" w:sz="5" w:space="0" w:color="000000"/>
              <w:bottom w:val="single" w:sz="6" w:space="0" w:color="000000"/>
              <w:right w:val="single" w:sz="5" w:space="0" w:color="000000"/>
            </w:tcBorders>
            <w:tcMar>
              <w:left w:w="0" w:type="dxa"/>
              <w:right w:w="0" w:type="dxa"/>
            </w:tcMar>
          </w:tcPr>
          <w:p w14:paraId="7144DE83" w14:textId="77777777" w:rsidR="00C23A68" w:rsidRDefault="00000000">
            <w:pPr>
              <w:autoSpaceDE w:val="0"/>
              <w:autoSpaceDN w:val="0"/>
              <w:spacing w:before="158" w:after="0" w:line="233" w:lineRule="auto"/>
              <w:ind w:left="208"/>
            </w:pPr>
            <w:r>
              <w:rPr>
                <w:rFonts w:ascii="Liberation Sans" w:eastAsia="Liberation Sans" w:hAnsi="Liberation Sans"/>
                <w:color w:val="34322D"/>
                <w:sz w:val="24"/>
              </w:rPr>
              <w:t>0</w:t>
            </w:r>
          </w:p>
        </w:tc>
        <w:tc>
          <w:tcPr>
            <w:tcW w:w="2596" w:type="dxa"/>
            <w:tcBorders>
              <w:top w:val="single" w:sz="5" w:space="0" w:color="000000"/>
              <w:left w:val="single" w:sz="5" w:space="0" w:color="000000"/>
              <w:bottom w:val="single" w:sz="6" w:space="0" w:color="000000"/>
              <w:right w:val="single" w:sz="5" w:space="0" w:color="000000"/>
            </w:tcBorders>
            <w:tcMar>
              <w:left w:w="0" w:type="dxa"/>
              <w:right w:w="0" w:type="dxa"/>
            </w:tcMar>
          </w:tcPr>
          <w:p w14:paraId="7A192AB7" w14:textId="77777777" w:rsidR="00C23A68" w:rsidRDefault="00000000">
            <w:pPr>
              <w:autoSpaceDE w:val="0"/>
              <w:autoSpaceDN w:val="0"/>
              <w:spacing w:before="158" w:after="0" w:line="233" w:lineRule="auto"/>
              <w:ind w:left="210"/>
            </w:pPr>
            <w:r>
              <w:rPr>
                <w:rFonts w:ascii="Liberation Sans" w:eastAsia="Liberation Sans" w:hAnsi="Liberation Sans"/>
                <w:color w:val="34322D"/>
                <w:sz w:val="24"/>
              </w:rPr>
              <w:t>Isoelectric</w:t>
            </w:r>
          </w:p>
        </w:tc>
      </w:tr>
      <w:tr w:rsidR="00C23A68" w14:paraId="7A6054CC" w14:textId="77777777">
        <w:trPr>
          <w:trHeight w:hRule="exact" w:val="976"/>
        </w:trPr>
        <w:tc>
          <w:tcPr>
            <w:tcW w:w="1948" w:type="dxa"/>
            <w:tcBorders>
              <w:top w:val="single" w:sz="6" w:space="0" w:color="000000"/>
              <w:left w:val="single" w:sz="6" w:space="0" w:color="000000"/>
              <w:bottom w:val="single" w:sz="6" w:space="0" w:color="000000"/>
              <w:right w:val="single" w:sz="5" w:space="0" w:color="000000"/>
            </w:tcBorders>
            <w:tcMar>
              <w:left w:w="0" w:type="dxa"/>
              <w:right w:w="0" w:type="dxa"/>
            </w:tcMar>
          </w:tcPr>
          <w:p w14:paraId="426E2CA1" w14:textId="77777777" w:rsidR="00C23A68" w:rsidRDefault="00000000">
            <w:pPr>
              <w:autoSpaceDE w:val="0"/>
              <w:autoSpaceDN w:val="0"/>
              <w:spacing w:before="158" w:after="0" w:line="274" w:lineRule="auto"/>
              <w:ind w:left="208" w:right="432"/>
            </w:pPr>
            <w:r>
              <w:rPr>
                <w:rFonts w:ascii="Liberation Sans" w:eastAsia="Liberation Sans" w:hAnsi="Liberation Sans"/>
                <w:color w:val="34322D"/>
                <w:sz w:val="24"/>
              </w:rPr>
              <w:t>Deep coma (GCS 3)</w:t>
            </w:r>
          </w:p>
        </w:tc>
        <w:tc>
          <w:tcPr>
            <w:tcW w:w="976" w:type="dxa"/>
            <w:tcBorders>
              <w:top w:val="single" w:sz="6" w:space="0" w:color="000000"/>
              <w:left w:val="single" w:sz="5" w:space="0" w:color="000000"/>
              <w:bottom w:val="single" w:sz="6" w:space="0" w:color="000000"/>
              <w:right w:val="single" w:sz="6" w:space="0" w:color="000000"/>
            </w:tcBorders>
            <w:tcMar>
              <w:left w:w="0" w:type="dxa"/>
              <w:right w:w="0" w:type="dxa"/>
            </w:tcMar>
          </w:tcPr>
          <w:p w14:paraId="17B2F5A8" w14:textId="77777777" w:rsidR="00C23A68" w:rsidRDefault="00000000">
            <w:pPr>
              <w:autoSpaceDE w:val="0"/>
              <w:autoSpaceDN w:val="0"/>
              <w:spacing w:before="158" w:after="0" w:line="274" w:lineRule="auto"/>
              <w:ind w:left="212" w:right="144"/>
            </w:pPr>
            <w:r>
              <w:rPr>
                <w:rFonts w:ascii="Liberation Sans" w:eastAsia="Liberation Sans" w:hAnsi="Liberation Sans"/>
                <w:color w:val="34322D"/>
                <w:sz w:val="24"/>
              </w:rPr>
              <w:t>0.2–</w:t>
            </w:r>
            <w:r>
              <w:br/>
            </w:r>
            <w:r>
              <w:rPr>
                <w:rFonts w:ascii="Liberation Sans" w:eastAsia="Liberation Sans" w:hAnsi="Liberation Sans"/>
                <w:color w:val="34322D"/>
                <w:sz w:val="24"/>
              </w:rPr>
              <w:t>0.4</w:t>
            </w:r>
          </w:p>
        </w:tc>
        <w:tc>
          <w:tcPr>
            <w:tcW w:w="976" w:type="dxa"/>
            <w:tcBorders>
              <w:top w:val="single" w:sz="6" w:space="0" w:color="000000"/>
              <w:left w:val="single" w:sz="6" w:space="0" w:color="000000"/>
              <w:bottom w:val="single" w:sz="6" w:space="0" w:color="000000"/>
              <w:right w:val="single" w:sz="6" w:space="0" w:color="000000"/>
            </w:tcBorders>
            <w:tcMar>
              <w:left w:w="0" w:type="dxa"/>
              <w:right w:w="0" w:type="dxa"/>
            </w:tcMar>
          </w:tcPr>
          <w:p w14:paraId="4786E75A" w14:textId="77777777" w:rsidR="00C23A68" w:rsidRDefault="00000000">
            <w:pPr>
              <w:autoSpaceDE w:val="0"/>
              <w:autoSpaceDN w:val="0"/>
              <w:spacing w:before="158" w:after="0" w:line="274" w:lineRule="auto"/>
              <w:ind w:left="214" w:right="144"/>
            </w:pPr>
            <w:r>
              <w:rPr>
                <w:rFonts w:ascii="Liberation Sans" w:eastAsia="Liberation Sans" w:hAnsi="Liberation Sans"/>
                <w:color w:val="34322D"/>
                <w:sz w:val="24"/>
              </w:rPr>
              <w:t>0.3–</w:t>
            </w:r>
            <w:r>
              <w:br/>
            </w:r>
            <w:r>
              <w:rPr>
                <w:rFonts w:ascii="Liberation Sans" w:eastAsia="Liberation Sans" w:hAnsi="Liberation Sans"/>
                <w:color w:val="34322D"/>
                <w:sz w:val="24"/>
              </w:rPr>
              <w:t>0.5</w:t>
            </w:r>
          </w:p>
        </w:tc>
        <w:tc>
          <w:tcPr>
            <w:tcW w:w="990" w:type="dxa"/>
            <w:tcBorders>
              <w:top w:val="single" w:sz="6" w:space="0" w:color="000000"/>
              <w:left w:val="single" w:sz="6" w:space="0" w:color="000000"/>
              <w:bottom w:val="single" w:sz="6" w:space="0" w:color="000000"/>
              <w:right w:val="single" w:sz="5" w:space="0" w:color="000000"/>
            </w:tcBorders>
            <w:tcMar>
              <w:left w:w="0" w:type="dxa"/>
              <w:right w:w="0" w:type="dxa"/>
            </w:tcMar>
          </w:tcPr>
          <w:p w14:paraId="1D663FD0" w14:textId="77777777" w:rsidR="00C23A68" w:rsidRDefault="00000000">
            <w:pPr>
              <w:autoSpaceDE w:val="0"/>
              <w:autoSpaceDN w:val="0"/>
              <w:spacing w:before="158" w:after="0" w:line="274" w:lineRule="auto"/>
              <w:ind w:left="216" w:right="288"/>
            </w:pPr>
            <w:r>
              <w:rPr>
                <w:rFonts w:ascii="Liberation Sans" w:eastAsia="Liberation Sans" w:hAnsi="Liberation Sans"/>
                <w:color w:val="34322D"/>
                <w:sz w:val="24"/>
              </w:rPr>
              <w:t>0.5–</w:t>
            </w:r>
            <w:r>
              <w:br/>
            </w:r>
            <w:r>
              <w:rPr>
                <w:rFonts w:ascii="Liberation Sans" w:eastAsia="Liberation Sans" w:hAnsi="Liberation Sans"/>
                <w:color w:val="34322D"/>
                <w:sz w:val="24"/>
              </w:rPr>
              <w:t>0.8</w:t>
            </w:r>
          </w:p>
        </w:tc>
        <w:tc>
          <w:tcPr>
            <w:tcW w:w="1140" w:type="dxa"/>
            <w:tcBorders>
              <w:top w:val="single" w:sz="6" w:space="0" w:color="000000"/>
              <w:left w:val="single" w:sz="5" w:space="0" w:color="000000"/>
              <w:bottom w:val="single" w:sz="6" w:space="0" w:color="000000"/>
              <w:right w:val="single" w:sz="5" w:space="0" w:color="000000"/>
            </w:tcBorders>
            <w:tcMar>
              <w:left w:w="0" w:type="dxa"/>
              <w:right w:w="0" w:type="dxa"/>
            </w:tcMar>
          </w:tcPr>
          <w:p w14:paraId="76AAD96A" w14:textId="77777777" w:rsidR="00C23A68" w:rsidRDefault="00000000">
            <w:pPr>
              <w:autoSpaceDE w:val="0"/>
              <w:autoSpaceDN w:val="0"/>
              <w:spacing w:before="158" w:after="0" w:line="274" w:lineRule="auto"/>
              <w:ind w:left="206" w:right="288"/>
            </w:pPr>
            <w:r>
              <w:rPr>
                <w:rFonts w:ascii="Liberation Sans" w:eastAsia="Liberation Sans" w:hAnsi="Liberation Sans"/>
                <w:color w:val="34322D"/>
                <w:sz w:val="24"/>
              </w:rPr>
              <w:t>0.03–0.16</w:t>
            </w:r>
          </w:p>
        </w:tc>
        <w:tc>
          <w:tcPr>
            <w:tcW w:w="1604" w:type="dxa"/>
            <w:tcBorders>
              <w:top w:val="single" w:sz="6" w:space="0" w:color="000000"/>
              <w:left w:val="single" w:sz="5" w:space="0" w:color="000000"/>
              <w:bottom w:val="single" w:sz="6" w:space="0" w:color="000000"/>
              <w:right w:val="single" w:sz="5" w:space="0" w:color="000000"/>
            </w:tcBorders>
            <w:tcMar>
              <w:left w:w="0" w:type="dxa"/>
              <w:right w:w="0" w:type="dxa"/>
            </w:tcMar>
          </w:tcPr>
          <w:p w14:paraId="1363A2F5" w14:textId="77777777" w:rsidR="00C23A68" w:rsidRDefault="00000000">
            <w:pPr>
              <w:autoSpaceDE w:val="0"/>
              <w:autoSpaceDN w:val="0"/>
              <w:spacing w:before="158" w:after="0" w:line="233" w:lineRule="auto"/>
              <w:ind w:left="208"/>
            </w:pPr>
            <w:r>
              <w:rPr>
                <w:rFonts w:ascii="Liberation Sans" w:eastAsia="Liberation Sans" w:hAnsi="Liberation Sans"/>
                <w:color w:val="34322D"/>
                <w:sz w:val="24"/>
              </w:rPr>
              <w:t>0</w:t>
            </w:r>
          </w:p>
        </w:tc>
        <w:tc>
          <w:tcPr>
            <w:tcW w:w="2596" w:type="dxa"/>
            <w:tcBorders>
              <w:top w:val="single" w:sz="6" w:space="0" w:color="000000"/>
              <w:left w:val="single" w:sz="5" w:space="0" w:color="000000"/>
              <w:bottom w:val="single" w:sz="6" w:space="0" w:color="000000"/>
              <w:right w:val="single" w:sz="5" w:space="0" w:color="000000"/>
            </w:tcBorders>
            <w:tcMar>
              <w:left w:w="0" w:type="dxa"/>
              <w:right w:w="0" w:type="dxa"/>
            </w:tcMar>
          </w:tcPr>
          <w:p w14:paraId="706F56C2" w14:textId="77777777" w:rsidR="00C23A68" w:rsidRDefault="00000000">
            <w:pPr>
              <w:autoSpaceDE w:val="0"/>
              <w:autoSpaceDN w:val="0"/>
              <w:spacing w:before="158" w:after="0" w:line="233" w:lineRule="auto"/>
              <w:ind w:left="210"/>
            </w:pPr>
            <w:r>
              <w:rPr>
                <w:rFonts w:ascii="Liberation Sans" w:eastAsia="Liberation Sans" w:hAnsi="Liberation Sans"/>
                <w:color w:val="34322D"/>
                <w:sz w:val="24"/>
              </w:rPr>
              <w:t>Burst-suppression</w:t>
            </w:r>
          </w:p>
        </w:tc>
      </w:tr>
      <w:tr w:rsidR="00C23A68" w14:paraId="1457CAE3" w14:textId="77777777">
        <w:trPr>
          <w:trHeight w:hRule="exact" w:val="976"/>
        </w:trPr>
        <w:tc>
          <w:tcPr>
            <w:tcW w:w="1948" w:type="dxa"/>
            <w:tcBorders>
              <w:top w:val="single" w:sz="6" w:space="0" w:color="000000"/>
              <w:left w:val="single" w:sz="6" w:space="0" w:color="000000"/>
              <w:bottom w:val="single" w:sz="5" w:space="0" w:color="000000"/>
              <w:right w:val="single" w:sz="5" w:space="0" w:color="000000"/>
            </w:tcBorders>
            <w:tcMar>
              <w:left w:w="0" w:type="dxa"/>
              <w:right w:w="0" w:type="dxa"/>
            </w:tcMar>
          </w:tcPr>
          <w:p w14:paraId="5CA20DEB" w14:textId="77777777" w:rsidR="00C23A68" w:rsidRDefault="00000000">
            <w:pPr>
              <w:autoSpaceDE w:val="0"/>
              <w:autoSpaceDN w:val="0"/>
              <w:spacing w:before="156" w:after="0" w:line="233" w:lineRule="auto"/>
              <w:ind w:left="208"/>
            </w:pPr>
            <w:r>
              <w:rPr>
                <w:rFonts w:ascii="Liberation Sans" w:eastAsia="Liberation Sans" w:hAnsi="Liberation Sans"/>
                <w:color w:val="34322D"/>
                <w:sz w:val="24"/>
              </w:rPr>
              <w:t>Light coma</w:t>
            </w:r>
          </w:p>
        </w:tc>
        <w:tc>
          <w:tcPr>
            <w:tcW w:w="976" w:type="dxa"/>
            <w:tcBorders>
              <w:top w:val="single" w:sz="6" w:space="0" w:color="000000"/>
              <w:left w:val="single" w:sz="5" w:space="0" w:color="000000"/>
              <w:bottom w:val="single" w:sz="5" w:space="0" w:color="000000"/>
              <w:right w:val="single" w:sz="6" w:space="0" w:color="000000"/>
            </w:tcBorders>
            <w:tcMar>
              <w:left w:w="0" w:type="dxa"/>
              <w:right w:w="0" w:type="dxa"/>
            </w:tcMar>
          </w:tcPr>
          <w:p w14:paraId="4FFCDB4B" w14:textId="77777777" w:rsidR="00C23A68" w:rsidRDefault="00000000">
            <w:pPr>
              <w:autoSpaceDE w:val="0"/>
              <w:autoSpaceDN w:val="0"/>
              <w:spacing w:before="156" w:after="0" w:line="274" w:lineRule="auto"/>
              <w:ind w:left="212" w:right="144"/>
            </w:pPr>
            <w:r>
              <w:rPr>
                <w:rFonts w:ascii="Liberation Sans" w:eastAsia="Liberation Sans" w:hAnsi="Liberation Sans"/>
                <w:color w:val="34322D"/>
                <w:sz w:val="24"/>
              </w:rPr>
              <w:t>0.5–</w:t>
            </w:r>
            <w:r>
              <w:br/>
            </w:r>
            <w:r>
              <w:rPr>
                <w:rFonts w:ascii="Liberation Sans" w:eastAsia="Liberation Sans" w:hAnsi="Liberation Sans"/>
                <w:color w:val="34322D"/>
                <w:sz w:val="24"/>
              </w:rPr>
              <w:t>0.7</w:t>
            </w:r>
          </w:p>
        </w:tc>
        <w:tc>
          <w:tcPr>
            <w:tcW w:w="976" w:type="dxa"/>
            <w:tcBorders>
              <w:top w:val="single" w:sz="6" w:space="0" w:color="000000"/>
              <w:left w:val="single" w:sz="6" w:space="0" w:color="000000"/>
              <w:bottom w:val="single" w:sz="5" w:space="0" w:color="000000"/>
              <w:right w:val="single" w:sz="6" w:space="0" w:color="000000"/>
            </w:tcBorders>
            <w:tcMar>
              <w:left w:w="0" w:type="dxa"/>
              <w:right w:w="0" w:type="dxa"/>
            </w:tcMar>
          </w:tcPr>
          <w:p w14:paraId="3275ADCE" w14:textId="77777777" w:rsidR="00C23A68" w:rsidRDefault="00000000">
            <w:pPr>
              <w:autoSpaceDE w:val="0"/>
              <w:autoSpaceDN w:val="0"/>
              <w:spacing w:before="156" w:after="0" w:line="274" w:lineRule="auto"/>
              <w:ind w:left="214" w:right="144"/>
            </w:pPr>
            <w:r>
              <w:rPr>
                <w:rFonts w:ascii="Liberation Sans" w:eastAsia="Liberation Sans" w:hAnsi="Liberation Sans"/>
                <w:color w:val="34322D"/>
                <w:sz w:val="24"/>
              </w:rPr>
              <w:t>0.5–</w:t>
            </w:r>
            <w:r>
              <w:br/>
            </w:r>
            <w:r>
              <w:rPr>
                <w:rFonts w:ascii="Liberation Sans" w:eastAsia="Liberation Sans" w:hAnsi="Liberation Sans"/>
                <w:color w:val="34322D"/>
                <w:sz w:val="24"/>
              </w:rPr>
              <w:t>0.7</w:t>
            </w:r>
          </w:p>
        </w:tc>
        <w:tc>
          <w:tcPr>
            <w:tcW w:w="990" w:type="dxa"/>
            <w:tcBorders>
              <w:top w:val="single" w:sz="6" w:space="0" w:color="000000"/>
              <w:left w:val="single" w:sz="6" w:space="0" w:color="000000"/>
              <w:bottom w:val="single" w:sz="5" w:space="0" w:color="000000"/>
              <w:right w:val="single" w:sz="5" w:space="0" w:color="000000"/>
            </w:tcBorders>
            <w:tcMar>
              <w:left w:w="0" w:type="dxa"/>
              <w:right w:w="0" w:type="dxa"/>
            </w:tcMar>
          </w:tcPr>
          <w:p w14:paraId="67997E57" w14:textId="77777777" w:rsidR="00C23A68" w:rsidRDefault="00000000">
            <w:pPr>
              <w:autoSpaceDE w:val="0"/>
              <w:autoSpaceDN w:val="0"/>
              <w:spacing w:before="156" w:after="0" w:line="274" w:lineRule="auto"/>
              <w:ind w:left="216" w:right="288"/>
            </w:pPr>
            <w:r>
              <w:rPr>
                <w:rFonts w:ascii="Liberation Sans" w:eastAsia="Liberation Sans" w:hAnsi="Liberation Sans"/>
                <w:color w:val="34322D"/>
                <w:sz w:val="24"/>
              </w:rPr>
              <w:t>0.6–</w:t>
            </w:r>
            <w:r>
              <w:br/>
            </w:r>
            <w:r>
              <w:rPr>
                <w:rFonts w:ascii="Liberation Sans" w:eastAsia="Liberation Sans" w:hAnsi="Liberation Sans"/>
                <w:color w:val="34322D"/>
                <w:sz w:val="24"/>
              </w:rPr>
              <w:t>0.8</w:t>
            </w:r>
          </w:p>
        </w:tc>
        <w:tc>
          <w:tcPr>
            <w:tcW w:w="1140" w:type="dxa"/>
            <w:tcBorders>
              <w:top w:val="single" w:sz="6" w:space="0" w:color="000000"/>
              <w:left w:val="single" w:sz="5" w:space="0" w:color="000000"/>
              <w:bottom w:val="single" w:sz="5" w:space="0" w:color="000000"/>
              <w:right w:val="single" w:sz="5" w:space="0" w:color="000000"/>
            </w:tcBorders>
            <w:tcMar>
              <w:left w:w="0" w:type="dxa"/>
              <w:right w:w="0" w:type="dxa"/>
            </w:tcMar>
          </w:tcPr>
          <w:p w14:paraId="0690CCE4" w14:textId="77777777" w:rsidR="00C23A68" w:rsidRDefault="00000000">
            <w:pPr>
              <w:autoSpaceDE w:val="0"/>
              <w:autoSpaceDN w:val="0"/>
              <w:spacing w:before="156" w:after="0" w:line="274" w:lineRule="auto"/>
              <w:ind w:left="206" w:right="288"/>
            </w:pPr>
            <w:r>
              <w:rPr>
                <w:rFonts w:ascii="Liberation Sans" w:eastAsia="Liberation Sans" w:hAnsi="Liberation Sans"/>
                <w:color w:val="34322D"/>
                <w:sz w:val="24"/>
              </w:rPr>
              <w:t>0.15–0.39</w:t>
            </w:r>
          </w:p>
        </w:tc>
        <w:tc>
          <w:tcPr>
            <w:tcW w:w="1604" w:type="dxa"/>
            <w:tcBorders>
              <w:top w:val="single" w:sz="6" w:space="0" w:color="000000"/>
              <w:left w:val="single" w:sz="5" w:space="0" w:color="000000"/>
              <w:bottom w:val="single" w:sz="5" w:space="0" w:color="000000"/>
              <w:right w:val="single" w:sz="5" w:space="0" w:color="000000"/>
            </w:tcBorders>
            <w:tcMar>
              <w:left w:w="0" w:type="dxa"/>
              <w:right w:w="0" w:type="dxa"/>
            </w:tcMar>
          </w:tcPr>
          <w:p w14:paraId="7C10EEE9" w14:textId="77777777" w:rsidR="00C23A68" w:rsidRDefault="00000000">
            <w:pPr>
              <w:autoSpaceDE w:val="0"/>
              <w:autoSpaceDN w:val="0"/>
              <w:spacing w:before="156" w:after="0" w:line="233" w:lineRule="auto"/>
              <w:ind w:left="208"/>
            </w:pPr>
            <w:r>
              <w:rPr>
                <w:rFonts w:ascii="Liberation Sans" w:eastAsia="Liberation Sans" w:hAnsi="Liberation Sans"/>
                <w:color w:val="34322D"/>
                <w:sz w:val="24"/>
              </w:rPr>
              <w:t>0</w:t>
            </w:r>
          </w:p>
        </w:tc>
        <w:tc>
          <w:tcPr>
            <w:tcW w:w="2596" w:type="dxa"/>
            <w:tcBorders>
              <w:top w:val="single" w:sz="6" w:space="0" w:color="000000"/>
              <w:left w:val="single" w:sz="5" w:space="0" w:color="000000"/>
              <w:bottom w:val="single" w:sz="5" w:space="0" w:color="000000"/>
              <w:right w:val="single" w:sz="5" w:space="0" w:color="000000"/>
            </w:tcBorders>
            <w:tcMar>
              <w:left w:w="0" w:type="dxa"/>
              <w:right w:w="0" w:type="dxa"/>
            </w:tcMar>
          </w:tcPr>
          <w:p w14:paraId="30AA67AB" w14:textId="77777777" w:rsidR="00C23A68" w:rsidRDefault="00000000">
            <w:pPr>
              <w:autoSpaceDE w:val="0"/>
              <w:autoSpaceDN w:val="0"/>
              <w:spacing w:before="156" w:after="0" w:line="233" w:lineRule="auto"/>
              <w:ind w:left="210"/>
            </w:pPr>
            <w:r>
              <w:rPr>
                <w:rFonts w:ascii="Liberation Sans" w:eastAsia="Liberation Sans" w:hAnsi="Liberation Sans"/>
                <w:color w:val="34322D"/>
                <w:sz w:val="24"/>
              </w:rPr>
              <w:t>Diffuse delta</w:t>
            </w:r>
          </w:p>
        </w:tc>
      </w:tr>
      <w:tr w:rsidR="00C23A68" w14:paraId="27BEF17E" w14:textId="77777777">
        <w:trPr>
          <w:trHeight w:hRule="exact" w:val="974"/>
        </w:trPr>
        <w:tc>
          <w:tcPr>
            <w:tcW w:w="1948" w:type="dxa"/>
            <w:tcBorders>
              <w:top w:val="single" w:sz="5" w:space="0" w:color="000000"/>
              <w:left w:val="single" w:sz="6" w:space="0" w:color="000000"/>
              <w:bottom w:val="single" w:sz="5" w:space="0" w:color="000000"/>
              <w:right w:val="single" w:sz="5" w:space="0" w:color="000000"/>
            </w:tcBorders>
            <w:tcMar>
              <w:left w:w="0" w:type="dxa"/>
              <w:right w:w="0" w:type="dxa"/>
            </w:tcMar>
          </w:tcPr>
          <w:p w14:paraId="070F300C" w14:textId="77777777" w:rsidR="00C23A68" w:rsidRDefault="00000000">
            <w:pPr>
              <w:autoSpaceDE w:val="0"/>
              <w:autoSpaceDN w:val="0"/>
              <w:spacing w:before="158" w:after="0" w:line="233" w:lineRule="auto"/>
              <w:ind w:left="208"/>
            </w:pPr>
            <w:r>
              <w:rPr>
                <w:rFonts w:ascii="Liberation Sans" w:eastAsia="Liberation Sans" w:hAnsi="Liberation Sans"/>
                <w:color w:val="34322D"/>
                <w:sz w:val="24"/>
              </w:rPr>
              <w:t>UWS/VS</w:t>
            </w:r>
          </w:p>
        </w:tc>
        <w:tc>
          <w:tcPr>
            <w:tcW w:w="976" w:type="dxa"/>
            <w:tcBorders>
              <w:top w:val="single" w:sz="5" w:space="0" w:color="000000"/>
              <w:left w:val="single" w:sz="5" w:space="0" w:color="000000"/>
              <w:bottom w:val="single" w:sz="5" w:space="0" w:color="000000"/>
              <w:right w:val="single" w:sz="6" w:space="0" w:color="000000"/>
            </w:tcBorders>
            <w:tcMar>
              <w:left w:w="0" w:type="dxa"/>
              <w:right w:w="0" w:type="dxa"/>
            </w:tcMar>
          </w:tcPr>
          <w:p w14:paraId="6CB2FE12" w14:textId="77777777" w:rsidR="00C23A68" w:rsidRDefault="00000000">
            <w:pPr>
              <w:autoSpaceDE w:val="0"/>
              <w:autoSpaceDN w:val="0"/>
              <w:spacing w:before="158" w:after="0" w:line="274" w:lineRule="auto"/>
              <w:ind w:left="212" w:right="144"/>
            </w:pPr>
            <w:r>
              <w:rPr>
                <w:rFonts w:ascii="Liberation Sans" w:eastAsia="Liberation Sans" w:hAnsi="Liberation Sans"/>
                <w:color w:val="34322D"/>
                <w:sz w:val="24"/>
              </w:rPr>
              <w:t>0.6–</w:t>
            </w:r>
            <w:r>
              <w:br/>
            </w:r>
            <w:r>
              <w:rPr>
                <w:rFonts w:ascii="Liberation Sans" w:eastAsia="Liberation Sans" w:hAnsi="Liberation Sans"/>
                <w:color w:val="34322D"/>
                <w:sz w:val="24"/>
              </w:rPr>
              <w:t>0.8</w:t>
            </w:r>
          </w:p>
        </w:tc>
        <w:tc>
          <w:tcPr>
            <w:tcW w:w="976" w:type="dxa"/>
            <w:tcBorders>
              <w:top w:val="single" w:sz="5" w:space="0" w:color="000000"/>
              <w:left w:val="single" w:sz="6" w:space="0" w:color="000000"/>
              <w:bottom w:val="single" w:sz="5" w:space="0" w:color="000000"/>
              <w:right w:val="single" w:sz="6" w:space="0" w:color="000000"/>
            </w:tcBorders>
            <w:tcMar>
              <w:left w:w="0" w:type="dxa"/>
              <w:right w:w="0" w:type="dxa"/>
            </w:tcMar>
          </w:tcPr>
          <w:p w14:paraId="29C9DDD8" w14:textId="77777777" w:rsidR="00C23A68" w:rsidRDefault="00000000">
            <w:pPr>
              <w:autoSpaceDE w:val="0"/>
              <w:autoSpaceDN w:val="0"/>
              <w:spacing w:before="158" w:after="0" w:line="274" w:lineRule="auto"/>
              <w:ind w:left="214" w:right="144"/>
            </w:pPr>
            <w:r>
              <w:rPr>
                <w:rFonts w:ascii="Liberation Sans" w:eastAsia="Liberation Sans" w:hAnsi="Liberation Sans"/>
                <w:color w:val="34322D"/>
                <w:sz w:val="24"/>
              </w:rPr>
              <w:t>0.6–</w:t>
            </w:r>
            <w:r>
              <w:br/>
            </w:r>
            <w:r>
              <w:rPr>
                <w:rFonts w:ascii="Liberation Sans" w:eastAsia="Liberation Sans" w:hAnsi="Liberation Sans"/>
                <w:color w:val="34322D"/>
                <w:sz w:val="24"/>
              </w:rPr>
              <w:t>0.8</w:t>
            </w:r>
          </w:p>
        </w:tc>
        <w:tc>
          <w:tcPr>
            <w:tcW w:w="990" w:type="dxa"/>
            <w:tcBorders>
              <w:top w:val="single" w:sz="5" w:space="0" w:color="000000"/>
              <w:left w:val="single" w:sz="6" w:space="0" w:color="000000"/>
              <w:bottom w:val="single" w:sz="5" w:space="0" w:color="000000"/>
              <w:right w:val="single" w:sz="5" w:space="0" w:color="000000"/>
            </w:tcBorders>
            <w:tcMar>
              <w:left w:w="0" w:type="dxa"/>
              <w:right w:w="0" w:type="dxa"/>
            </w:tcMar>
          </w:tcPr>
          <w:p w14:paraId="40507120" w14:textId="77777777" w:rsidR="00C23A68" w:rsidRDefault="00000000">
            <w:pPr>
              <w:autoSpaceDE w:val="0"/>
              <w:autoSpaceDN w:val="0"/>
              <w:spacing w:before="158" w:after="0" w:line="274" w:lineRule="auto"/>
              <w:ind w:left="216" w:right="288"/>
            </w:pPr>
            <w:r>
              <w:rPr>
                <w:rFonts w:ascii="Liberation Sans" w:eastAsia="Liberation Sans" w:hAnsi="Liberation Sans"/>
                <w:color w:val="34322D"/>
                <w:sz w:val="24"/>
              </w:rPr>
              <w:t>0.7–</w:t>
            </w:r>
            <w:r>
              <w:br/>
            </w:r>
            <w:r>
              <w:rPr>
                <w:rFonts w:ascii="Liberation Sans" w:eastAsia="Liberation Sans" w:hAnsi="Liberation Sans"/>
                <w:color w:val="34322D"/>
                <w:sz w:val="24"/>
              </w:rPr>
              <w:t>0.9</w:t>
            </w:r>
          </w:p>
        </w:tc>
        <w:tc>
          <w:tcPr>
            <w:tcW w:w="1140" w:type="dxa"/>
            <w:tcBorders>
              <w:top w:val="single" w:sz="5" w:space="0" w:color="000000"/>
              <w:left w:val="single" w:sz="5" w:space="0" w:color="000000"/>
              <w:bottom w:val="single" w:sz="5" w:space="0" w:color="000000"/>
              <w:right w:val="single" w:sz="5" w:space="0" w:color="000000"/>
            </w:tcBorders>
            <w:tcMar>
              <w:left w:w="0" w:type="dxa"/>
              <w:right w:w="0" w:type="dxa"/>
            </w:tcMar>
          </w:tcPr>
          <w:p w14:paraId="6910A14E" w14:textId="77777777" w:rsidR="00C23A68" w:rsidRDefault="00000000">
            <w:pPr>
              <w:autoSpaceDE w:val="0"/>
              <w:autoSpaceDN w:val="0"/>
              <w:spacing w:before="158" w:after="0" w:line="274" w:lineRule="auto"/>
              <w:ind w:left="206" w:right="288"/>
            </w:pPr>
            <w:r>
              <w:rPr>
                <w:rFonts w:ascii="Liberation Sans" w:eastAsia="Liberation Sans" w:hAnsi="Liberation Sans"/>
                <w:color w:val="34322D"/>
                <w:sz w:val="24"/>
              </w:rPr>
              <w:t>0.25–0.58</w:t>
            </w:r>
          </w:p>
        </w:tc>
        <w:tc>
          <w:tcPr>
            <w:tcW w:w="1604" w:type="dxa"/>
            <w:tcBorders>
              <w:top w:val="single" w:sz="5" w:space="0" w:color="000000"/>
              <w:left w:val="single" w:sz="5" w:space="0" w:color="000000"/>
              <w:bottom w:val="single" w:sz="5" w:space="0" w:color="000000"/>
              <w:right w:val="single" w:sz="5" w:space="0" w:color="000000"/>
            </w:tcBorders>
            <w:tcMar>
              <w:left w:w="0" w:type="dxa"/>
              <w:right w:w="0" w:type="dxa"/>
            </w:tcMar>
          </w:tcPr>
          <w:p w14:paraId="3E090E85" w14:textId="77777777" w:rsidR="00C23A68" w:rsidRDefault="00000000">
            <w:pPr>
              <w:autoSpaceDE w:val="0"/>
              <w:autoSpaceDN w:val="0"/>
              <w:spacing w:before="158" w:after="0" w:line="233" w:lineRule="auto"/>
              <w:ind w:left="208"/>
            </w:pPr>
            <w:r>
              <w:rPr>
                <w:rFonts w:ascii="Liberation Sans" w:eastAsia="Liberation Sans" w:hAnsi="Liberation Sans"/>
                <w:color w:val="34322D"/>
                <w:sz w:val="24"/>
              </w:rPr>
              <w:t>0</w:t>
            </w:r>
          </w:p>
        </w:tc>
        <w:tc>
          <w:tcPr>
            <w:tcW w:w="2596" w:type="dxa"/>
            <w:tcBorders>
              <w:top w:val="single" w:sz="5" w:space="0" w:color="000000"/>
              <w:left w:val="single" w:sz="5" w:space="0" w:color="000000"/>
              <w:bottom w:val="single" w:sz="5" w:space="0" w:color="000000"/>
              <w:right w:val="single" w:sz="5" w:space="0" w:color="000000"/>
            </w:tcBorders>
            <w:tcMar>
              <w:left w:w="0" w:type="dxa"/>
              <w:right w:w="0" w:type="dxa"/>
            </w:tcMar>
          </w:tcPr>
          <w:p w14:paraId="7C7ECE58" w14:textId="77777777" w:rsidR="00C23A68" w:rsidRDefault="00000000">
            <w:pPr>
              <w:autoSpaceDE w:val="0"/>
              <w:autoSpaceDN w:val="0"/>
              <w:spacing w:before="158" w:after="0" w:line="233" w:lineRule="auto"/>
              <w:ind w:left="210"/>
            </w:pPr>
            <w:r>
              <w:rPr>
                <w:rFonts w:ascii="Liberation Sans" w:eastAsia="Liberation Sans" w:hAnsi="Liberation Sans"/>
                <w:color w:val="34322D"/>
                <w:sz w:val="24"/>
              </w:rPr>
              <w:t>Theta-dominant</w:t>
            </w:r>
          </w:p>
        </w:tc>
      </w:tr>
      <w:tr w:rsidR="00C23A68" w14:paraId="1A96B2D2" w14:textId="77777777">
        <w:trPr>
          <w:trHeight w:hRule="exact" w:val="974"/>
        </w:trPr>
        <w:tc>
          <w:tcPr>
            <w:tcW w:w="1948" w:type="dxa"/>
            <w:tcBorders>
              <w:top w:val="single" w:sz="5" w:space="0" w:color="000000"/>
              <w:left w:val="single" w:sz="6" w:space="0" w:color="000000"/>
              <w:bottom w:val="single" w:sz="6" w:space="0" w:color="000000"/>
              <w:right w:val="single" w:sz="5" w:space="0" w:color="000000"/>
            </w:tcBorders>
            <w:tcMar>
              <w:left w:w="0" w:type="dxa"/>
              <w:right w:w="0" w:type="dxa"/>
            </w:tcMar>
          </w:tcPr>
          <w:p w14:paraId="63433B6C" w14:textId="77777777" w:rsidR="00C23A68" w:rsidRDefault="00000000">
            <w:pPr>
              <w:autoSpaceDE w:val="0"/>
              <w:autoSpaceDN w:val="0"/>
              <w:spacing w:before="158" w:after="0" w:line="233" w:lineRule="auto"/>
              <w:ind w:left="208"/>
            </w:pPr>
            <w:r>
              <w:rPr>
                <w:rFonts w:ascii="Liberation Sans" w:eastAsia="Liberation Sans" w:hAnsi="Liberation Sans"/>
                <w:color w:val="34322D"/>
                <w:sz w:val="24"/>
              </w:rPr>
              <w:t>MCS minus</w:t>
            </w:r>
          </w:p>
        </w:tc>
        <w:tc>
          <w:tcPr>
            <w:tcW w:w="976" w:type="dxa"/>
            <w:tcBorders>
              <w:top w:val="single" w:sz="5" w:space="0" w:color="000000"/>
              <w:left w:val="single" w:sz="5" w:space="0" w:color="000000"/>
              <w:bottom w:val="single" w:sz="6" w:space="0" w:color="000000"/>
              <w:right w:val="single" w:sz="6" w:space="0" w:color="000000"/>
            </w:tcBorders>
            <w:tcMar>
              <w:left w:w="0" w:type="dxa"/>
              <w:right w:w="0" w:type="dxa"/>
            </w:tcMar>
          </w:tcPr>
          <w:p w14:paraId="254B9778" w14:textId="77777777" w:rsidR="00C23A68" w:rsidRDefault="00000000">
            <w:pPr>
              <w:autoSpaceDE w:val="0"/>
              <w:autoSpaceDN w:val="0"/>
              <w:spacing w:before="158" w:after="0" w:line="274" w:lineRule="auto"/>
              <w:ind w:left="212" w:right="144"/>
            </w:pPr>
            <w:r>
              <w:rPr>
                <w:rFonts w:ascii="Liberation Sans" w:eastAsia="Liberation Sans" w:hAnsi="Liberation Sans"/>
                <w:color w:val="34322D"/>
                <w:sz w:val="24"/>
              </w:rPr>
              <w:t>0.8–</w:t>
            </w:r>
            <w:r>
              <w:br/>
            </w:r>
            <w:r>
              <w:rPr>
                <w:rFonts w:ascii="Liberation Sans" w:eastAsia="Liberation Sans" w:hAnsi="Liberation Sans"/>
                <w:color w:val="34322D"/>
                <w:sz w:val="24"/>
              </w:rPr>
              <w:t>0.9</w:t>
            </w:r>
          </w:p>
        </w:tc>
        <w:tc>
          <w:tcPr>
            <w:tcW w:w="976" w:type="dxa"/>
            <w:tcBorders>
              <w:top w:val="single" w:sz="5" w:space="0" w:color="000000"/>
              <w:left w:val="single" w:sz="6" w:space="0" w:color="000000"/>
              <w:bottom w:val="single" w:sz="6" w:space="0" w:color="000000"/>
              <w:right w:val="single" w:sz="6" w:space="0" w:color="000000"/>
            </w:tcBorders>
            <w:tcMar>
              <w:left w:w="0" w:type="dxa"/>
              <w:right w:w="0" w:type="dxa"/>
            </w:tcMar>
          </w:tcPr>
          <w:p w14:paraId="5FFEAC63" w14:textId="77777777" w:rsidR="00C23A68" w:rsidRDefault="00000000">
            <w:pPr>
              <w:autoSpaceDE w:val="0"/>
              <w:autoSpaceDN w:val="0"/>
              <w:spacing w:before="158" w:after="0" w:line="274" w:lineRule="auto"/>
              <w:ind w:left="214" w:right="144"/>
            </w:pPr>
            <w:r>
              <w:rPr>
                <w:rFonts w:ascii="Liberation Sans" w:eastAsia="Liberation Sans" w:hAnsi="Liberation Sans"/>
                <w:color w:val="34322D"/>
                <w:sz w:val="24"/>
              </w:rPr>
              <w:t>0.7–</w:t>
            </w:r>
            <w:r>
              <w:br/>
            </w:r>
            <w:r>
              <w:rPr>
                <w:rFonts w:ascii="Liberation Sans" w:eastAsia="Liberation Sans" w:hAnsi="Liberation Sans"/>
                <w:color w:val="34322D"/>
                <w:sz w:val="24"/>
              </w:rPr>
              <w:t>0.9</w:t>
            </w:r>
          </w:p>
        </w:tc>
        <w:tc>
          <w:tcPr>
            <w:tcW w:w="990" w:type="dxa"/>
            <w:tcBorders>
              <w:top w:val="single" w:sz="5" w:space="0" w:color="000000"/>
              <w:left w:val="single" w:sz="6" w:space="0" w:color="000000"/>
              <w:bottom w:val="single" w:sz="6" w:space="0" w:color="000000"/>
              <w:right w:val="single" w:sz="5" w:space="0" w:color="000000"/>
            </w:tcBorders>
            <w:tcMar>
              <w:left w:w="0" w:type="dxa"/>
              <w:right w:w="0" w:type="dxa"/>
            </w:tcMar>
          </w:tcPr>
          <w:p w14:paraId="48282AFB" w14:textId="77777777" w:rsidR="00C23A68" w:rsidRDefault="00000000">
            <w:pPr>
              <w:autoSpaceDE w:val="0"/>
              <w:autoSpaceDN w:val="0"/>
              <w:spacing w:before="158" w:after="0" w:line="274" w:lineRule="auto"/>
              <w:ind w:left="216" w:right="288"/>
            </w:pPr>
            <w:r>
              <w:rPr>
                <w:rFonts w:ascii="Liberation Sans" w:eastAsia="Liberation Sans" w:hAnsi="Liberation Sans"/>
                <w:color w:val="34322D"/>
                <w:sz w:val="24"/>
              </w:rPr>
              <w:t>0.8–</w:t>
            </w:r>
            <w:r>
              <w:br/>
            </w:r>
            <w:r>
              <w:rPr>
                <w:rFonts w:ascii="Liberation Sans" w:eastAsia="Liberation Sans" w:hAnsi="Liberation Sans"/>
                <w:color w:val="34322D"/>
                <w:sz w:val="24"/>
              </w:rPr>
              <w:t>1.0</w:t>
            </w:r>
          </w:p>
        </w:tc>
        <w:tc>
          <w:tcPr>
            <w:tcW w:w="1140" w:type="dxa"/>
            <w:tcBorders>
              <w:top w:val="single" w:sz="5" w:space="0" w:color="000000"/>
              <w:left w:val="single" w:sz="5" w:space="0" w:color="000000"/>
              <w:bottom w:val="single" w:sz="6" w:space="0" w:color="000000"/>
              <w:right w:val="single" w:sz="5" w:space="0" w:color="000000"/>
            </w:tcBorders>
            <w:tcMar>
              <w:left w:w="0" w:type="dxa"/>
              <w:right w:w="0" w:type="dxa"/>
            </w:tcMar>
          </w:tcPr>
          <w:p w14:paraId="4805B0EE" w14:textId="77777777" w:rsidR="00C23A68" w:rsidRDefault="00000000">
            <w:pPr>
              <w:autoSpaceDE w:val="0"/>
              <w:autoSpaceDN w:val="0"/>
              <w:spacing w:before="158" w:after="0" w:line="274" w:lineRule="auto"/>
              <w:ind w:left="206" w:right="288"/>
            </w:pPr>
            <w:r>
              <w:rPr>
                <w:rFonts w:ascii="Liberation Sans" w:eastAsia="Liberation Sans" w:hAnsi="Liberation Sans"/>
                <w:color w:val="34322D"/>
                <w:sz w:val="24"/>
              </w:rPr>
              <w:t>0.45–0.81</w:t>
            </w:r>
          </w:p>
        </w:tc>
        <w:tc>
          <w:tcPr>
            <w:tcW w:w="1604" w:type="dxa"/>
            <w:tcBorders>
              <w:top w:val="single" w:sz="5" w:space="0" w:color="000000"/>
              <w:left w:val="single" w:sz="5" w:space="0" w:color="000000"/>
              <w:bottom w:val="single" w:sz="6" w:space="0" w:color="000000"/>
              <w:right w:val="single" w:sz="5" w:space="0" w:color="000000"/>
            </w:tcBorders>
            <w:tcMar>
              <w:left w:w="0" w:type="dxa"/>
              <w:right w:w="0" w:type="dxa"/>
            </w:tcMar>
          </w:tcPr>
          <w:p w14:paraId="1D617AD2" w14:textId="77777777" w:rsidR="00C23A68" w:rsidRDefault="00000000">
            <w:pPr>
              <w:autoSpaceDE w:val="0"/>
              <w:autoSpaceDN w:val="0"/>
              <w:spacing w:before="158" w:after="0" w:line="233" w:lineRule="auto"/>
              <w:ind w:left="208"/>
            </w:pPr>
            <w:r>
              <w:rPr>
                <w:rFonts w:ascii="Liberation Sans" w:eastAsia="Liberation Sans" w:hAnsi="Liberation Sans"/>
                <w:color w:val="34322D"/>
                <w:sz w:val="24"/>
              </w:rPr>
              <w:t>0</w:t>
            </w:r>
          </w:p>
        </w:tc>
        <w:tc>
          <w:tcPr>
            <w:tcW w:w="2596" w:type="dxa"/>
            <w:tcBorders>
              <w:top w:val="single" w:sz="5" w:space="0" w:color="000000"/>
              <w:left w:val="single" w:sz="5" w:space="0" w:color="000000"/>
              <w:bottom w:val="single" w:sz="6" w:space="0" w:color="000000"/>
              <w:right w:val="single" w:sz="5" w:space="0" w:color="000000"/>
            </w:tcBorders>
            <w:tcMar>
              <w:left w:w="0" w:type="dxa"/>
              <w:right w:w="0" w:type="dxa"/>
            </w:tcMar>
          </w:tcPr>
          <w:p w14:paraId="3FB19465" w14:textId="77777777" w:rsidR="00C23A68" w:rsidRDefault="00000000">
            <w:pPr>
              <w:autoSpaceDE w:val="0"/>
              <w:autoSpaceDN w:val="0"/>
              <w:spacing w:before="158" w:after="0" w:line="233" w:lineRule="auto"/>
              <w:ind w:left="210"/>
            </w:pPr>
            <w:r>
              <w:rPr>
                <w:rFonts w:ascii="Liberation Sans" w:eastAsia="Liberation Sans" w:hAnsi="Liberation Sans"/>
                <w:color w:val="34322D"/>
                <w:sz w:val="24"/>
              </w:rPr>
              <w:t>Intermittent alpha</w:t>
            </w:r>
          </w:p>
        </w:tc>
      </w:tr>
      <w:tr w:rsidR="00C23A68" w14:paraId="5CCD2C52" w14:textId="77777777">
        <w:trPr>
          <w:trHeight w:hRule="exact" w:val="976"/>
        </w:trPr>
        <w:tc>
          <w:tcPr>
            <w:tcW w:w="1948" w:type="dxa"/>
            <w:tcBorders>
              <w:top w:val="single" w:sz="6" w:space="0" w:color="000000"/>
              <w:left w:val="single" w:sz="6" w:space="0" w:color="000000"/>
              <w:bottom w:val="single" w:sz="6" w:space="0" w:color="000000"/>
              <w:right w:val="single" w:sz="5" w:space="0" w:color="000000"/>
            </w:tcBorders>
            <w:tcMar>
              <w:left w:w="0" w:type="dxa"/>
              <w:right w:w="0" w:type="dxa"/>
            </w:tcMar>
          </w:tcPr>
          <w:p w14:paraId="2256EABF" w14:textId="77777777" w:rsidR="00C23A68" w:rsidRDefault="00000000">
            <w:pPr>
              <w:autoSpaceDE w:val="0"/>
              <w:autoSpaceDN w:val="0"/>
              <w:spacing w:before="158" w:after="0" w:line="233" w:lineRule="auto"/>
              <w:ind w:left="208"/>
            </w:pPr>
            <w:r>
              <w:rPr>
                <w:rFonts w:ascii="Liberation Sans" w:eastAsia="Liberation Sans" w:hAnsi="Liberation Sans"/>
                <w:color w:val="34322D"/>
                <w:sz w:val="24"/>
              </w:rPr>
              <w:t>MCS plus†</w:t>
            </w:r>
          </w:p>
        </w:tc>
        <w:tc>
          <w:tcPr>
            <w:tcW w:w="976" w:type="dxa"/>
            <w:tcBorders>
              <w:top w:val="single" w:sz="6" w:space="0" w:color="000000"/>
              <w:left w:val="single" w:sz="5" w:space="0" w:color="000000"/>
              <w:bottom w:val="single" w:sz="6" w:space="0" w:color="000000"/>
              <w:right w:val="single" w:sz="6" w:space="0" w:color="000000"/>
            </w:tcBorders>
            <w:tcMar>
              <w:left w:w="0" w:type="dxa"/>
              <w:right w:w="0" w:type="dxa"/>
            </w:tcMar>
          </w:tcPr>
          <w:p w14:paraId="7B786DA9" w14:textId="77777777" w:rsidR="00C23A68" w:rsidRDefault="00000000">
            <w:pPr>
              <w:autoSpaceDE w:val="0"/>
              <w:autoSpaceDN w:val="0"/>
              <w:spacing w:before="158" w:after="0" w:line="274" w:lineRule="auto"/>
              <w:ind w:left="212" w:right="144"/>
            </w:pPr>
            <w:r>
              <w:rPr>
                <w:rFonts w:ascii="Liberation Sans" w:eastAsia="Liberation Sans" w:hAnsi="Liberation Sans"/>
                <w:color w:val="34322D"/>
                <w:sz w:val="24"/>
              </w:rPr>
              <w:t>0.9–</w:t>
            </w:r>
            <w:r>
              <w:br/>
            </w:r>
            <w:r>
              <w:rPr>
                <w:rFonts w:ascii="Liberation Sans" w:eastAsia="Liberation Sans" w:hAnsi="Liberation Sans"/>
                <w:color w:val="34322D"/>
                <w:sz w:val="24"/>
              </w:rPr>
              <w:t>1.0</w:t>
            </w:r>
          </w:p>
        </w:tc>
        <w:tc>
          <w:tcPr>
            <w:tcW w:w="976" w:type="dxa"/>
            <w:tcBorders>
              <w:top w:val="single" w:sz="6" w:space="0" w:color="000000"/>
              <w:left w:val="single" w:sz="6" w:space="0" w:color="000000"/>
              <w:bottom w:val="single" w:sz="6" w:space="0" w:color="000000"/>
              <w:right w:val="single" w:sz="6" w:space="0" w:color="000000"/>
            </w:tcBorders>
            <w:tcMar>
              <w:left w:w="0" w:type="dxa"/>
              <w:right w:w="0" w:type="dxa"/>
            </w:tcMar>
          </w:tcPr>
          <w:p w14:paraId="5613E926" w14:textId="77777777" w:rsidR="00C23A68" w:rsidRDefault="00000000">
            <w:pPr>
              <w:autoSpaceDE w:val="0"/>
              <w:autoSpaceDN w:val="0"/>
              <w:spacing w:before="158" w:after="0" w:line="274" w:lineRule="auto"/>
              <w:ind w:left="214" w:right="144"/>
            </w:pPr>
            <w:r>
              <w:rPr>
                <w:rFonts w:ascii="Liberation Sans" w:eastAsia="Liberation Sans" w:hAnsi="Liberation Sans"/>
                <w:color w:val="34322D"/>
                <w:sz w:val="24"/>
              </w:rPr>
              <w:t>0.9–</w:t>
            </w:r>
            <w:r>
              <w:br/>
            </w:r>
            <w:r>
              <w:rPr>
                <w:rFonts w:ascii="Liberation Sans" w:eastAsia="Liberation Sans" w:hAnsi="Liberation Sans"/>
                <w:color w:val="34322D"/>
                <w:sz w:val="24"/>
              </w:rPr>
              <w:t>1.0</w:t>
            </w:r>
          </w:p>
        </w:tc>
        <w:tc>
          <w:tcPr>
            <w:tcW w:w="990" w:type="dxa"/>
            <w:tcBorders>
              <w:top w:val="single" w:sz="6" w:space="0" w:color="000000"/>
              <w:left w:val="single" w:sz="6" w:space="0" w:color="000000"/>
              <w:bottom w:val="single" w:sz="6" w:space="0" w:color="000000"/>
              <w:right w:val="single" w:sz="5" w:space="0" w:color="000000"/>
            </w:tcBorders>
            <w:tcMar>
              <w:left w:w="0" w:type="dxa"/>
              <w:right w:w="0" w:type="dxa"/>
            </w:tcMar>
          </w:tcPr>
          <w:p w14:paraId="54E44147" w14:textId="77777777" w:rsidR="00C23A68" w:rsidRDefault="00000000">
            <w:pPr>
              <w:autoSpaceDE w:val="0"/>
              <w:autoSpaceDN w:val="0"/>
              <w:spacing w:before="158" w:after="0" w:line="274" w:lineRule="auto"/>
              <w:ind w:left="216" w:right="288"/>
            </w:pPr>
            <w:r>
              <w:rPr>
                <w:rFonts w:ascii="Liberation Sans" w:eastAsia="Liberation Sans" w:hAnsi="Liberation Sans"/>
                <w:color w:val="34322D"/>
                <w:sz w:val="24"/>
              </w:rPr>
              <w:t>0.9–</w:t>
            </w:r>
            <w:r>
              <w:br/>
            </w:r>
            <w:r>
              <w:rPr>
                <w:rFonts w:ascii="Liberation Sans" w:eastAsia="Liberation Sans" w:hAnsi="Liberation Sans"/>
                <w:color w:val="34322D"/>
                <w:sz w:val="24"/>
              </w:rPr>
              <w:t>1.1</w:t>
            </w:r>
          </w:p>
        </w:tc>
        <w:tc>
          <w:tcPr>
            <w:tcW w:w="1140" w:type="dxa"/>
            <w:tcBorders>
              <w:top w:val="single" w:sz="6" w:space="0" w:color="000000"/>
              <w:left w:val="single" w:sz="5" w:space="0" w:color="000000"/>
              <w:bottom w:val="single" w:sz="6" w:space="0" w:color="000000"/>
              <w:right w:val="single" w:sz="5" w:space="0" w:color="000000"/>
            </w:tcBorders>
            <w:tcMar>
              <w:left w:w="0" w:type="dxa"/>
              <w:right w:w="0" w:type="dxa"/>
            </w:tcMar>
          </w:tcPr>
          <w:p w14:paraId="53A91EE7" w14:textId="77777777" w:rsidR="00C23A68" w:rsidRDefault="00000000">
            <w:pPr>
              <w:autoSpaceDE w:val="0"/>
              <w:autoSpaceDN w:val="0"/>
              <w:spacing w:before="158" w:after="0" w:line="274" w:lineRule="auto"/>
              <w:ind w:left="206" w:right="288"/>
            </w:pPr>
            <w:r>
              <w:rPr>
                <w:rFonts w:ascii="Liberation Sans" w:eastAsia="Liberation Sans" w:hAnsi="Liberation Sans"/>
                <w:color w:val="34322D"/>
                <w:sz w:val="24"/>
              </w:rPr>
              <w:t>0.73–1.10</w:t>
            </w:r>
          </w:p>
        </w:tc>
        <w:tc>
          <w:tcPr>
            <w:tcW w:w="1604" w:type="dxa"/>
            <w:tcBorders>
              <w:top w:val="single" w:sz="6" w:space="0" w:color="000000"/>
              <w:left w:val="single" w:sz="5" w:space="0" w:color="000000"/>
              <w:bottom w:val="single" w:sz="6" w:space="0" w:color="000000"/>
              <w:right w:val="single" w:sz="5" w:space="0" w:color="000000"/>
            </w:tcBorders>
            <w:tcMar>
              <w:left w:w="0" w:type="dxa"/>
              <w:right w:w="0" w:type="dxa"/>
            </w:tcMar>
          </w:tcPr>
          <w:p w14:paraId="1A136328" w14:textId="77777777" w:rsidR="00C23A68" w:rsidRDefault="00000000">
            <w:pPr>
              <w:autoSpaceDE w:val="0"/>
              <w:autoSpaceDN w:val="0"/>
              <w:spacing w:before="158" w:after="0" w:line="233" w:lineRule="auto"/>
              <w:ind w:left="208"/>
            </w:pPr>
            <w:r>
              <w:rPr>
                <w:rFonts w:ascii="Liberation Sans" w:eastAsia="Liberation Sans" w:hAnsi="Liberation Sans"/>
                <w:color w:val="34322D"/>
                <w:sz w:val="24"/>
              </w:rPr>
              <w:t>0–0.32</w:t>
            </w:r>
          </w:p>
        </w:tc>
        <w:tc>
          <w:tcPr>
            <w:tcW w:w="2596" w:type="dxa"/>
            <w:tcBorders>
              <w:top w:val="single" w:sz="6" w:space="0" w:color="000000"/>
              <w:left w:val="single" w:sz="5" w:space="0" w:color="000000"/>
              <w:bottom w:val="single" w:sz="6" w:space="0" w:color="000000"/>
              <w:right w:val="single" w:sz="5" w:space="0" w:color="000000"/>
            </w:tcBorders>
            <w:tcMar>
              <w:left w:w="0" w:type="dxa"/>
              <w:right w:w="0" w:type="dxa"/>
            </w:tcMar>
          </w:tcPr>
          <w:p w14:paraId="74CFA3D6" w14:textId="77777777" w:rsidR="00C23A68" w:rsidRDefault="00000000">
            <w:pPr>
              <w:autoSpaceDE w:val="0"/>
              <w:autoSpaceDN w:val="0"/>
              <w:spacing w:before="158" w:after="0" w:line="274" w:lineRule="auto"/>
              <w:ind w:left="210" w:right="288"/>
            </w:pPr>
            <w:r>
              <w:rPr>
                <w:rFonts w:ascii="Liberation Sans" w:eastAsia="Liberation Sans" w:hAnsi="Liberation Sans"/>
                <w:color w:val="34322D"/>
                <w:sz w:val="24"/>
              </w:rPr>
              <w:t>Alpha with gamma bursts</w:t>
            </w:r>
          </w:p>
        </w:tc>
      </w:tr>
      <w:tr w:rsidR="00C23A68" w14:paraId="0359E40C" w14:textId="77777777">
        <w:trPr>
          <w:trHeight w:hRule="exact" w:val="974"/>
        </w:trPr>
        <w:tc>
          <w:tcPr>
            <w:tcW w:w="1948" w:type="dxa"/>
            <w:tcBorders>
              <w:top w:val="single" w:sz="6" w:space="0" w:color="000000"/>
              <w:left w:val="single" w:sz="6" w:space="0" w:color="000000"/>
              <w:bottom w:val="single" w:sz="5" w:space="0" w:color="000000"/>
              <w:right w:val="single" w:sz="5" w:space="0" w:color="000000"/>
            </w:tcBorders>
            <w:tcMar>
              <w:left w:w="0" w:type="dxa"/>
              <w:right w:w="0" w:type="dxa"/>
            </w:tcMar>
          </w:tcPr>
          <w:p w14:paraId="462A2F10" w14:textId="77777777" w:rsidR="00C23A68" w:rsidRDefault="00000000">
            <w:pPr>
              <w:autoSpaceDE w:val="0"/>
              <w:autoSpaceDN w:val="0"/>
              <w:spacing w:before="156" w:after="0" w:line="274" w:lineRule="auto"/>
              <w:ind w:left="208" w:right="432"/>
            </w:pPr>
            <w:r>
              <w:rPr>
                <w:rFonts w:ascii="Liberation Sans" w:eastAsia="Liberation Sans" w:hAnsi="Liberation Sans"/>
                <w:color w:val="34322D"/>
                <w:sz w:val="24"/>
              </w:rPr>
              <w:t>Emergence (EMCS)</w:t>
            </w:r>
          </w:p>
        </w:tc>
        <w:tc>
          <w:tcPr>
            <w:tcW w:w="976" w:type="dxa"/>
            <w:tcBorders>
              <w:top w:val="single" w:sz="6" w:space="0" w:color="000000"/>
              <w:left w:val="single" w:sz="5" w:space="0" w:color="000000"/>
              <w:bottom w:val="single" w:sz="5" w:space="0" w:color="000000"/>
              <w:right w:val="single" w:sz="6" w:space="0" w:color="000000"/>
            </w:tcBorders>
            <w:tcMar>
              <w:left w:w="0" w:type="dxa"/>
              <w:right w:w="0" w:type="dxa"/>
            </w:tcMar>
          </w:tcPr>
          <w:p w14:paraId="5B5C5A85" w14:textId="77777777" w:rsidR="00C23A68" w:rsidRDefault="00000000">
            <w:pPr>
              <w:autoSpaceDE w:val="0"/>
              <w:autoSpaceDN w:val="0"/>
              <w:spacing w:before="156" w:after="0" w:line="274" w:lineRule="auto"/>
              <w:ind w:left="212" w:right="144"/>
            </w:pPr>
            <w:r>
              <w:rPr>
                <w:rFonts w:ascii="Liberation Sans" w:eastAsia="Liberation Sans" w:hAnsi="Liberation Sans"/>
                <w:color w:val="34322D"/>
                <w:sz w:val="24"/>
              </w:rPr>
              <w:t>1.0–</w:t>
            </w:r>
            <w:r>
              <w:br/>
            </w:r>
            <w:r>
              <w:rPr>
                <w:rFonts w:ascii="Liberation Sans" w:eastAsia="Liberation Sans" w:hAnsi="Liberation Sans"/>
                <w:color w:val="34322D"/>
                <w:sz w:val="24"/>
              </w:rPr>
              <w:t>1.1</w:t>
            </w:r>
          </w:p>
        </w:tc>
        <w:tc>
          <w:tcPr>
            <w:tcW w:w="976" w:type="dxa"/>
            <w:tcBorders>
              <w:top w:val="single" w:sz="6" w:space="0" w:color="000000"/>
              <w:left w:val="single" w:sz="6" w:space="0" w:color="000000"/>
              <w:bottom w:val="single" w:sz="5" w:space="0" w:color="000000"/>
              <w:right w:val="single" w:sz="6" w:space="0" w:color="000000"/>
            </w:tcBorders>
            <w:tcMar>
              <w:left w:w="0" w:type="dxa"/>
              <w:right w:w="0" w:type="dxa"/>
            </w:tcMar>
          </w:tcPr>
          <w:p w14:paraId="010974C4" w14:textId="77777777" w:rsidR="00C23A68" w:rsidRDefault="00000000">
            <w:pPr>
              <w:autoSpaceDE w:val="0"/>
              <w:autoSpaceDN w:val="0"/>
              <w:spacing w:before="156" w:after="0" w:line="274" w:lineRule="auto"/>
              <w:ind w:left="214" w:right="144"/>
            </w:pPr>
            <w:r>
              <w:rPr>
                <w:rFonts w:ascii="Liberation Sans" w:eastAsia="Liberation Sans" w:hAnsi="Liberation Sans"/>
                <w:color w:val="34322D"/>
                <w:sz w:val="24"/>
              </w:rPr>
              <w:t>1.0–</w:t>
            </w:r>
            <w:r>
              <w:br/>
            </w:r>
            <w:r>
              <w:rPr>
                <w:rFonts w:ascii="Liberation Sans" w:eastAsia="Liberation Sans" w:hAnsi="Liberation Sans"/>
                <w:color w:val="34322D"/>
                <w:sz w:val="24"/>
              </w:rPr>
              <w:t>1.1</w:t>
            </w:r>
          </w:p>
        </w:tc>
        <w:tc>
          <w:tcPr>
            <w:tcW w:w="990" w:type="dxa"/>
            <w:tcBorders>
              <w:top w:val="single" w:sz="6" w:space="0" w:color="000000"/>
              <w:left w:val="single" w:sz="6" w:space="0" w:color="000000"/>
              <w:bottom w:val="single" w:sz="5" w:space="0" w:color="000000"/>
              <w:right w:val="single" w:sz="5" w:space="0" w:color="000000"/>
            </w:tcBorders>
            <w:tcMar>
              <w:left w:w="0" w:type="dxa"/>
              <w:right w:w="0" w:type="dxa"/>
            </w:tcMar>
          </w:tcPr>
          <w:p w14:paraId="62D12B83" w14:textId="77777777" w:rsidR="00C23A68" w:rsidRDefault="00000000">
            <w:pPr>
              <w:autoSpaceDE w:val="0"/>
              <w:autoSpaceDN w:val="0"/>
              <w:spacing w:before="156" w:after="0" w:line="274" w:lineRule="auto"/>
              <w:ind w:left="216" w:right="288"/>
            </w:pPr>
            <w:r>
              <w:rPr>
                <w:rFonts w:ascii="Liberation Sans" w:eastAsia="Liberation Sans" w:hAnsi="Liberation Sans"/>
                <w:color w:val="34322D"/>
                <w:sz w:val="24"/>
              </w:rPr>
              <w:t>1.0–</w:t>
            </w:r>
            <w:r>
              <w:br/>
            </w:r>
            <w:r>
              <w:rPr>
                <w:rFonts w:ascii="Liberation Sans" w:eastAsia="Liberation Sans" w:hAnsi="Liberation Sans"/>
                <w:color w:val="34322D"/>
                <w:sz w:val="24"/>
              </w:rPr>
              <w:t>1.1</w:t>
            </w:r>
          </w:p>
        </w:tc>
        <w:tc>
          <w:tcPr>
            <w:tcW w:w="1140" w:type="dxa"/>
            <w:tcBorders>
              <w:top w:val="single" w:sz="6" w:space="0" w:color="000000"/>
              <w:left w:val="single" w:sz="5" w:space="0" w:color="000000"/>
              <w:bottom w:val="single" w:sz="5" w:space="0" w:color="000000"/>
              <w:right w:val="single" w:sz="5" w:space="0" w:color="000000"/>
            </w:tcBorders>
            <w:tcMar>
              <w:left w:w="0" w:type="dxa"/>
              <w:right w:w="0" w:type="dxa"/>
            </w:tcMar>
          </w:tcPr>
          <w:p w14:paraId="0D7F3628" w14:textId="77777777" w:rsidR="00C23A68" w:rsidRDefault="00000000">
            <w:pPr>
              <w:autoSpaceDE w:val="0"/>
              <w:autoSpaceDN w:val="0"/>
              <w:spacing w:before="156" w:after="0" w:line="274" w:lineRule="auto"/>
              <w:ind w:left="206" w:right="288"/>
            </w:pPr>
            <w:r>
              <w:rPr>
                <w:rFonts w:ascii="Liberation Sans" w:eastAsia="Liberation Sans" w:hAnsi="Liberation Sans"/>
                <w:color w:val="34322D"/>
                <w:sz w:val="24"/>
              </w:rPr>
              <w:t>1.00–1.33</w:t>
            </w:r>
          </w:p>
        </w:tc>
        <w:tc>
          <w:tcPr>
            <w:tcW w:w="1604" w:type="dxa"/>
            <w:tcBorders>
              <w:top w:val="single" w:sz="6" w:space="0" w:color="000000"/>
              <w:left w:val="single" w:sz="5" w:space="0" w:color="000000"/>
              <w:bottom w:val="single" w:sz="5" w:space="0" w:color="000000"/>
              <w:right w:val="single" w:sz="5" w:space="0" w:color="000000"/>
            </w:tcBorders>
            <w:tcMar>
              <w:left w:w="0" w:type="dxa"/>
              <w:right w:w="0" w:type="dxa"/>
            </w:tcMar>
          </w:tcPr>
          <w:p w14:paraId="644D5B3F" w14:textId="77777777" w:rsidR="00C23A68" w:rsidRDefault="00000000">
            <w:pPr>
              <w:autoSpaceDE w:val="0"/>
              <w:autoSpaceDN w:val="0"/>
              <w:spacing w:before="156" w:after="0" w:line="233" w:lineRule="auto"/>
              <w:ind w:left="208"/>
            </w:pPr>
            <w:r>
              <w:rPr>
                <w:rFonts w:ascii="Liberation Sans" w:eastAsia="Liberation Sans" w:hAnsi="Liberation Sans"/>
                <w:color w:val="34322D"/>
                <w:sz w:val="24"/>
              </w:rPr>
              <w:t>0–0.57</w:t>
            </w:r>
          </w:p>
        </w:tc>
        <w:tc>
          <w:tcPr>
            <w:tcW w:w="2596" w:type="dxa"/>
            <w:tcBorders>
              <w:top w:val="single" w:sz="6" w:space="0" w:color="000000"/>
              <w:left w:val="single" w:sz="5" w:space="0" w:color="000000"/>
              <w:bottom w:val="single" w:sz="5" w:space="0" w:color="000000"/>
              <w:right w:val="single" w:sz="5" w:space="0" w:color="000000"/>
            </w:tcBorders>
            <w:tcMar>
              <w:left w:w="0" w:type="dxa"/>
              <w:right w:w="0" w:type="dxa"/>
            </w:tcMar>
          </w:tcPr>
          <w:p w14:paraId="06B25B01" w14:textId="77777777" w:rsidR="00C23A68" w:rsidRDefault="00000000">
            <w:pPr>
              <w:autoSpaceDE w:val="0"/>
              <w:autoSpaceDN w:val="0"/>
              <w:spacing w:before="156" w:after="0" w:line="274" w:lineRule="auto"/>
              <w:ind w:left="210" w:right="432"/>
            </w:pPr>
            <w:r>
              <w:rPr>
                <w:rFonts w:ascii="Liberation Sans" w:eastAsia="Liberation Sans" w:hAnsi="Liberation Sans"/>
                <w:color w:val="34322D"/>
                <w:sz w:val="24"/>
              </w:rPr>
              <w:t>Sustained alpha-gamma</w:t>
            </w:r>
          </w:p>
        </w:tc>
      </w:tr>
      <w:tr w:rsidR="00C23A68" w14:paraId="4A912894" w14:textId="77777777">
        <w:trPr>
          <w:trHeight w:hRule="exact" w:val="976"/>
        </w:trPr>
        <w:tc>
          <w:tcPr>
            <w:tcW w:w="1948" w:type="dxa"/>
            <w:tcBorders>
              <w:top w:val="single" w:sz="5" w:space="0" w:color="000000"/>
              <w:left w:val="single" w:sz="6" w:space="0" w:color="000000"/>
              <w:bottom w:val="single" w:sz="5" w:space="0" w:color="000000"/>
              <w:right w:val="single" w:sz="5" w:space="0" w:color="000000"/>
            </w:tcBorders>
            <w:tcMar>
              <w:left w:w="0" w:type="dxa"/>
              <w:right w:w="0" w:type="dxa"/>
            </w:tcMar>
          </w:tcPr>
          <w:p w14:paraId="2A8E5A0E" w14:textId="77777777" w:rsidR="00C23A68" w:rsidRDefault="00000000">
            <w:pPr>
              <w:autoSpaceDE w:val="0"/>
              <w:autoSpaceDN w:val="0"/>
              <w:spacing w:before="158" w:after="0" w:line="274" w:lineRule="auto"/>
              <w:ind w:left="208" w:right="288"/>
            </w:pPr>
            <w:r>
              <w:rPr>
                <w:rFonts w:ascii="Liberation Sans" w:eastAsia="Liberation Sans" w:hAnsi="Liberation Sans"/>
                <w:color w:val="34322D"/>
                <w:sz w:val="24"/>
              </w:rPr>
              <w:t xml:space="preserve">Normal </w:t>
            </w:r>
            <w:r>
              <w:br/>
            </w:r>
            <w:r>
              <w:rPr>
                <w:rFonts w:ascii="Liberation Sans" w:eastAsia="Liberation Sans" w:hAnsi="Liberation Sans"/>
                <w:color w:val="34322D"/>
                <w:sz w:val="24"/>
              </w:rPr>
              <w:t>wakefulness</w:t>
            </w:r>
          </w:p>
        </w:tc>
        <w:tc>
          <w:tcPr>
            <w:tcW w:w="976" w:type="dxa"/>
            <w:tcBorders>
              <w:top w:val="single" w:sz="5" w:space="0" w:color="000000"/>
              <w:left w:val="single" w:sz="5" w:space="0" w:color="000000"/>
              <w:bottom w:val="single" w:sz="5" w:space="0" w:color="000000"/>
              <w:right w:val="single" w:sz="6" w:space="0" w:color="000000"/>
            </w:tcBorders>
            <w:tcMar>
              <w:left w:w="0" w:type="dxa"/>
              <w:right w:w="0" w:type="dxa"/>
            </w:tcMar>
          </w:tcPr>
          <w:p w14:paraId="32219FAE" w14:textId="77777777" w:rsidR="00C23A68" w:rsidRDefault="00000000">
            <w:pPr>
              <w:autoSpaceDE w:val="0"/>
              <w:autoSpaceDN w:val="0"/>
              <w:spacing w:before="158" w:after="0" w:line="274" w:lineRule="auto"/>
              <w:ind w:left="212" w:right="144"/>
            </w:pPr>
            <w:r>
              <w:rPr>
                <w:rFonts w:ascii="Liberation Sans" w:eastAsia="Liberation Sans" w:hAnsi="Liberation Sans"/>
                <w:color w:val="34322D"/>
                <w:sz w:val="24"/>
              </w:rPr>
              <w:t>1.1–</w:t>
            </w:r>
            <w:r>
              <w:br/>
            </w:r>
            <w:r>
              <w:rPr>
                <w:rFonts w:ascii="Liberation Sans" w:eastAsia="Liberation Sans" w:hAnsi="Liberation Sans"/>
                <w:color w:val="34322D"/>
                <w:sz w:val="24"/>
              </w:rPr>
              <w:t>1.3</w:t>
            </w:r>
          </w:p>
        </w:tc>
        <w:tc>
          <w:tcPr>
            <w:tcW w:w="976" w:type="dxa"/>
            <w:tcBorders>
              <w:top w:val="single" w:sz="5" w:space="0" w:color="000000"/>
              <w:left w:val="single" w:sz="6" w:space="0" w:color="000000"/>
              <w:bottom w:val="single" w:sz="5" w:space="0" w:color="000000"/>
              <w:right w:val="single" w:sz="6" w:space="0" w:color="000000"/>
            </w:tcBorders>
            <w:tcMar>
              <w:left w:w="0" w:type="dxa"/>
              <w:right w:w="0" w:type="dxa"/>
            </w:tcMar>
          </w:tcPr>
          <w:p w14:paraId="4EF7B2D2" w14:textId="77777777" w:rsidR="00C23A68" w:rsidRDefault="00000000">
            <w:pPr>
              <w:autoSpaceDE w:val="0"/>
              <w:autoSpaceDN w:val="0"/>
              <w:spacing w:before="158" w:after="0" w:line="274" w:lineRule="auto"/>
              <w:ind w:left="214" w:right="144"/>
            </w:pPr>
            <w:r>
              <w:rPr>
                <w:rFonts w:ascii="Liberation Sans" w:eastAsia="Liberation Sans" w:hAnsi="Liberation Sans"/>
                <w:color w:val="34322D"/>
                <w:sz w:val="24"/>
              </w:rPr>
              <w:t>1.0–</w:t>
            </w:r>
            <w:r>
              <w:br/>
            </w:r>
            <w:r>
              <w:rPr>
                <w:rFonts w:ascii="Liberation Sans" w:eastAsia="Liberation Sans" w:hAnsi="Liberation Sans"/>
                <w:color w:val="34322D"/>
                <w:sz w:val="24"/>
              </w:rPr>
              <w:t>1.2</w:t>
            </w:r>
          </w:p>
        </w:tc>
        <w:tc>
          <w:tcPr>
            <w:tcW w:w="990" w:type="dxa"/>
            <w:tcBorders>
              <w:top w:val="single" w:sz="5" w:space="0" w:color="000000"/>
              <w:left w:val="single" w:sz="6" w:space="0" w:color="000000"/>
              <w:bottom w:val="single" w:sz="5" w:space="0" w:color="000000"/>
              <w:right w:val="single" w:sz="5" w:space="0" w:color="000000"/>
            </w:tcBorders>
            <w:tcMar>
              <w:left w:w="0" w:type="dxa"/>
              <w:right w:w="0" w:type="dxa"/>
            </w:tcMar>
          </w:tcPr>
          <w:p w14:paraId="0F940F9D" w14:textId="77777777" w:rsidR="00C23A68" w:rsidRDefault="00000000">
            <w:pPr>
              <w:autoSpaceDE w:val="0"/>
              <w:autoSpaceDN w:val="0"/>
              <w:spacing w:before="158" w:after="0" w:line="274" w:lineRule="auto"/>
              <w:ind w:left="216" w:right="288"/>
            </w:pPr>
            <w:r>
              <w:rPr>
                <w:rFonts w:ascii="Liberation Sans" w:eastAsia="Liberation Sans" w:hAnsi="Liberation Sans"/>
                <w:color w:val="34322D"/>
                <w:sz w:val="24"/>
              </w:rPr>
              <w:t>1.0–</w:t>
            </w:r>
            <w:r>
              <w:br/>
            </w:r>
            <w:r>
              <w:rPr>
                <w:rFonts w:ascii="Liberation Sans" w:eastAsia="Liberation Sans" w:hAnsi="Liberation Sans"/>
                <w:color w:val="34322D"/>
                <w:sz w:val="24"/>
              </w:rPr>
              <w:t>1.2</w:t>
            </w:r>
          </w:p>
        </w:tc>
        <w:tc>
          <w:tcPr>
            <w:tcW w:w="1140" w:type="dxa"/>
            <w:tcBorders>
              <w:top w:val="single" w:sz="5" w:space="0" w:color="000000"/>
              <w:left w:val="single" w:sz="5" w:space="0" w:color="000000"/>
              <w:bottom w:val="single" w:sz="5" w:space="0" w:color="000000"/>
              <w:right w:val="single" w:sz="5" w:space="0" w:color="000000"/>
            </w:tcBorders>
            <w:tcMar>
              <w:left w:w="0" w:type="dxa"/>
              <w:right w:w="0" w:type="dxa"/>
            </w:tcMar>
          </w:tcPr>
          <w:p w14:paraId="3E27AE09" w14:textId="77777777" w:rsidR="00C23A68" w:rsidRDefault="00000000">
            <w:pPr>
              <w:autoSpaceDE w:val="0"/>
              <w:autoSpaceDN w:val="0"/>
              <w:spacing w:before="158" w:after="0" w:line="274" w:lineRule="auto"/>
              <w:ind w:left="206" w:right="288"/>
            </w:pPr>
            <w:r>
              <w:rPr>
                <w:rFonts w:ascii="Liberation Sans" w:eastAsia="Liberation Sans" w:hAnsi="Liberation Sans"/>
                <w:color w:val="34322D"/>
                <w:sz w:val="24"/>
              </w:rPr>
              <w:t>1.10–1.87</w:t>
            </w:r>
          </w:p>
        </w:tc>
        <w:tc>
          <w:tcPr>
            <w:tcW w:w="1604" w:type="dxa"/>
            <w:tcBorders>
              <w:top w:val="single" w:sz="5" w:space="0" w:color="000000"/>
              <w:left w:val="single" w:sz="5" w:space="0" w:color="000000"/>
              <w:bottom w:val="single" w:sz="5" w:space="0" w:color="000000"/>
              <w:right w:val="single" w:sz="5" w:space="0" w:color="000000"/>
            </w:tcBorders>
            <w:tcMar>
              <w:left w:w="0" w:type="dxa"/>
              <w:right w:w="0" w:type="dxa"/>
            </w:tcMar>
          </w:tcPr>
          <w:p w14:paraId="134C6B5C" w14:textId="77777777" w:rsidR="00C23A68" w:rsidRDefault="00000000">
            <w:pPr>
              <w:autoSpaceDE w:val="0"/>
              <w:autoSpaceDN w:val="0"/>
              <w:spacing w:before="158" w:after="0" w:line="233" w:lineRule="auto"/>
              <w:ind w:left="208"/>
            </w:pPr>
            <w:r>
              <w:rPr>
                <w:rFonts w:ascii="Liberation Sans" w:eastAsia="Liberation Sans" w:hAnsi="Liberation Sans"/>
                <w:color w:val="34322D"/>
                <w:sz w:val="24"/>
              </w:rPr>
              <w:t>0.32–0.93</w:t>
            </w:r>
          </w:p>
        </w:tc>
        <w:tc>
          <w:tcPr>
            <w:tcW w:w="2596" w:type="dxa"/>
            <w:tcBorders>
              <w:top w:val="single" w:sz="5" w:space="0" w:color="000000"/>
              <w:left w:val="single" w:sz="5" w:space="0" w:color="000000"/>
              <w:bottom w:val="single" w:sz="5" w:space="0" w:color="000000"/>
              <w:right w:val="single" w:sz="5" w:space="0" w:color="000000"/>
            </w:tcBorders>
            <w:tcMar>
              <w:left w:w="0" w:type="dxa"/>
              <w:right w:w="0" w:type="dxa"/>
            </w:tcMar>
          </w:tcPr>
          <w:p w14:paraId="75BF64F6" w14:textId="77777777" w:rsidR="00C23A68" w:rsidRDefault="00000000">
            <w:pPr>
              <w:autoSpaceDE w:val="0"/>
              <w:autoSpaceDN w:val="0"/>
              <w:spacing w:before="158" w:after="0" w:line="274" w:lineRule="auto"/>
              <w:ind w:left="210" w:right="432"/>
            </w:pPr>
            <w:r>
              <w:rPr>
                <w:rFonts w:ascii="Liberation Sans" w:eastAsia="Liberation Sans" w:hAnsi="Liberation Sans"/>
                <w:color w:val="34322D"/>
                <w:sz w:val="24"/>
              </w:rPr>
              <w:t>Organized alpha-beta</w:t>
            </w:r>
          </w:p>
        </w:tc>
      </w:tr>
      <w:tr w:rsidR="00C23A68" w14:paraId="0CBA8053" w14:textId="77777777">
        <w:trPr>
          <w:trHeight w:hRule="exact" w:val="974"/>
        </w:trPr>
        <w:tc>
          <w:tcPr>
            <w:tcW w:w="1948" w:type="dxa"/>
            <w:tcBorders>
              <w:top w:val="single" w:sz="5" w:space="0" w:color="000000"/>
              <w:left w:val="single" w:sz="6" w:space="0" w:color="000000"/>
              <w:bottom w:val="single" w:sz="6" w:space="0" w:color="000000"/>
              <w:right w:val="single" w:sz="5" w:space="0" w:color="000000"/>
            </w:tcBorders>
            <w:tcMar>
              <w:left w:w="0" w:type="dxa"/>
              <w:right w:w="0" w:type="dxa"/>
            </w:tcMar>
          </w:tcPr>
          <w:p w14:paraId="3DCE8F4E" w14:textId="77777777" w:rsidR="00C23A68" w:rsidRDefault="00000000">
            <w:pPr>
              <w:autoSpaceDE w:val="0"/>
              <w:autoSpaceDN w:val="0"/>
              <w:spacing w:before="158" w:after="0" w:line="274" w:lineRule="auto"/>
              <w:ind w:left="208" w:right="720"/>
            </w:pPr>
            <w:r>
              <w:rPr>
                <w:rFonts w:ascii="Liberation Sans" w:eastAsia="Liberation Sans" w:hAnsi="Liberation Sans"/>
                <w:color w:val="34322D"/>
                <w:sz w:val="24"/>
              </w:rPr>
              <w:t xml:space="preserve">Focused </w:t>
            </w:r>
            <w:r>
              <w:br/>
            </w:r>
            <w:r>
              <w:rPr>
                <w:rFonts w:ascii="Liberation Sans" w:eastAsia="Liberation Sans" w:hAnsi="Liberation Sans"/>
                <w:color w:val="34322D"/>
                <w:sz w:val="24"/>
              </w:rPr>
              <w:t>attention</w:t>
            </w:r>
          </w:p>
        </w:tc>
        <w:tc>
          <w:tcPr>
            <w:tcW w:w="976" w:type="dxa"/>
            <w:tcBorders>
              <w:top w:val="single" w:sz="5" w:space="0" w:color="000000"/>
              <w:left w:val="single" w:sz="5" w:space="0" w:color="000000"/>
              <w:bottom w:val="single" w:sz="6" w:space="0" w:color="000000"/>
              <w:right w:val="single" w:sz="6" w:space="0" w:color="000000"/>
            </w:tcBorders>
            <w:tcMar>
              <w:left w:w="0" w:type="dxa"/>
              <w:right w:w="0" w:type="dxa"/>
            </w:tcMar>
          </w:tcPr>
          <w:p w14:paraId="385C7F80" w14:textId="77777777" w:rsidR="00C23A68" w:rsidRDefault="00000000">
            <w:pPr>
              <w:autoSpaceDE w:val="0"/>
              <w:autoSpaceDN w:val="0"/>
              <w:spacing w:before="158" w:after="0" w:line="274" w:lineRule="auto"/>
              <w:ind w:left="212" w:right="144"/>
            </w:pPr>
            <w:r>
              <w:rPr>
                <w:rFonts w:ascii="Liberation Sans" w:eastAsia="Liberation Sans" w:hAnsi="Liberation Sans"/>
                <w:color w:val="34322D"/>
                <w:sz w:val="24"/>
              </w:rPr>
              <w:t>1.2–</w:t>
            </w:r>
            <w:r>
              <w:br/>
            </w:r>
            <w:r>
              <w:rPr>
                <w:rFonts w:ascii="Liberation Sans" w:eastAsia="Liberation Sans" w:hAnsi="Liberation Sans"/>
                <w:color w:val="34322D"/>
                <w:sz w:val="24"/>
              </w:rPr>
              <w:t>1.3</w:t>
            </w:r>
          </w:p>
        </w:tc>
        <w:tc>
          <w:tcPr>
            <w:tcW w:w="976" w:type="dxa"/>
            <w:tcBorders>
              <w:top w:val="single" w:sz="5" w:space="0" w:color="000000"/>
              <w:left w:val="single" w:sz="6" w:space="0" w:color="000000"/>
              <w:bottom w:val="single" w:sz="6" w:space="0" w:color="000000"/>
              <w:right w:val="single" w:sz="6" w:space="0" w:color="000000"/>
            </w:tcBorders>
            <w:tcMar>
              <w:left w:w="0" w:type="dxa"/>
              <w:right w:w="0" w:type="dxa"/>
            </w:tcMar>
          </w:tcPr>
          <w:p w14:paraId="4F941503" w14:textId="77777777" w:rsidR="00C23A68" w:rsidRDefault="00000000">
            <w:pPr>
              <w:autoSpaceDE w:val="0"/>
              <w:autoSpaceDN w:val="0"/>
              <w:spacing w:before="158" w:after="0" w:line="274" w:lineRule="auto"/>
              <w:ind w:left="214" w:right="144"/>
            </w:pPr>
            <w:r>
              <w:rPr>
                <w:rFonts w:ascii="Liberation Sans" w:eastAsia="Liberation Sans" w:hAnsi="Liberation Sans"/>
                <w:color w:val="34322D"/>
                <w:sz w:val="24"/>
              </w:rPr>
              <w:t>1.1–</w:t>
            </w:r>
            <w:r>
              <w:br/>
            </w:r>
            <w:r>
              <w:rPr>
                <w:rFonts w:ascii="Liberation Sans" w:eastAsia="Liberation Sans" w:hAnsi="Liberation Sans"/>
                <w:color w:val="34322D"/>
                <w:sz w:val="24"/>
              </w:rPr>
              <w:t>1.3</w:t>
            </w:r>
          </w:p>
        </w:tc>
        <w:tc>
          <w:tcPr>
            <w:tcW w:w="990" w:type="dxa"/>
            <w:tcBorders>
              <w:top w:val="single" w:sz="5" w:space="0" w:color="000000"/>
              <w:left w:val="single" w:sz="6" w:space="0" w:color="000000"/>
              <w:bottom w:val="single" w:sz="6" w:space="0" w:color="000000"/>
              <w:right w:val="single" w:sz="5" w:space="0" w:color="000000"/>
            </w:tcBorders>
            <w:tcMar>
              <w:left w:w="0" w:type="dxa"/>
              <w:right w:w="0" w:type="dxa"/>
            </w:tcMar>
          </w:tcPr>
          <w:p w14:paraId="7EF6E0D0" w14:textId="77777777" w:rsidR="00C23A68" w:rsidRDefault="00000000">
            <w:pPr>
              <w:autoSpaceDE w:val="0"/>
              <w:autoSpaceDN w:val="0"/>
              <w:spacing w:before="158" w:after="0" w:line="274" w:lineRule="auto"/>
              <w:ind w:left="216" w:right="288"/>
            </w:pPr>
            <w:r>
              <w:rPr>
                <w:rFonts w:ascii="Liberation Sans" w:eastAsia="Liberation Sans" w:hAnsi="Liberation Sans"/>
                <w:color w:val="34322D"/>
                <w:sz w:val="24"/>
              </w:rPr>
              <w:t>1.2–</w:t>
            </w:r>
            <w:r>
              <w:br/>
            </w:r>
            <w:r>
              <w:rPr>
                <w:rFonts w:ascii="Liberation Sans" w:eastAsia="Liberation Sans" w:hAnsi="Liberation Sans"/>
                <w:color w:val="34322D"/>
                <w:sz w:val="24"/>
              </w:rPr>
              <w:t>1.4</w:t>
            </w:r>
          </w:p>
        </w:tc>
        <w:tc>
          <w:tcPr>
            <w:tcW w:w="1140" w:type="dxa"/>
            <w:tcBorders>
              <w:top w:val="single" w:sz="5" w:space="0" w:color="000000"/>
              <w:left w:val="single" w:sz="5" w:space="0" w:color="000000"/>
              <w:bottom w:val="single" w:sz="6" w:space="0" w:color="000000"/>
              <w:right w:val="single" w:sz="5" w:space="0" w:color="000000"/>
            </w:tcBorders>
            <w:tcMar>
              <w:left w:w="0" w:type="dxa"/>
              <w:right w:w="0" w:type="dxa"/>
            </w:tcMar>
          </w:tcPr>
          <w:p w14:paraId="601B8BC3" w14:textId="77777777" w:rsidR="00C23A68" w:rsidRDefault="00000000">
            <w:pPr>
              <w:autoSpaceDE w:val="0"/>
              <w:autoSpaceDN w:val="0"/>
              <w:spacing w:before="158" w:after="0" w:line="274" w:lineRule="auto"/>
              <w:ind w:left="206" w:right="288"/>
            </w:pPr>
            <w:r>
              <w:rPr>
                <w:rFonts w:ascii="Liberation Sans" w:eastAsia="Liberation Sans" w:hAnsi="Liberation Sans"/>
                <w:color w:val="34322D"/>
                <w:sz w:val="24"/>
              </w:rPr>
              <w:t>1.58–2.37</w:t>
            </w:r>
          </w:p>
        </w:tc>
        <w:tc>
          <w:tcPr>
            <w:tcW w:w="1604" w:type="dxa"/>
            <w:tcBorders>
              <w:top w:val="single" w:sz="5" w:space="0" w:color="000000"/>
              <w:left w:val="single" w:sz="5" w:space="0" w:color="000000"/>
              <w:bottom w:val="single" w:sz="6" w:space="0" w:color="000000"/>
              <w:right w:val="single" w:sz="5" w:space="0" w:color="000000"/>
            </w:tcBorders>
            <w:tcMar>
              <w:left w:w="0" w:type="dxa"/>
              <w:right w:w="0" w:type="dxa"/>
            </w:tcMar>
          </w:tcPr>
          <w:p w14:paraId="1BCDAFF4" w14:textId="77777777" w:rsidR="00C23A68" w:rsidRDefault="00000000">
            <w:pPr>
              <w:autoSpaceDE w:val="0"/>
              <w:autoSpaceDN w:val="0"/>
              <w:spacing w:before="158" w:after="0" w:line="233" w:lineRule="auto"/>
              <w:ind w:left="208"/>
            </w:pPr>
            <w:r>
              <w:rPr>
                <w:rFonts w:ascii="Liberation Sans" w:eastAsia="Liberation Sans" w:hAnsi="Liberation Sans"/>
                <w:color w:val="34322D"/>
                <w:sz w:val="24"/>
              </w:rPr>
              <w:t>0.76–1.17</w:t>
            </w:r>
          </w:p>
        </w:tc>
        <w:tc>
          <w:tcPr>
            <w:tcW w:w="2596" w:type="dxa"/>
            <w:tcBorders>
              <w:top w:val="single" w:sz="5" w:space="0" w:color="000000"/>
              <w:left w:val="single" w:sz="5" w:space="0" w:color="000000"/>
              <w:bottom w:val="single" w:sz="6" w:space="0" w:color="000000"/>
              <w:right w:val="single" w:sz="5" w:space="0" w:color="000000"/>
            </w:tcBorders>
            <w:tcMar>
              <w:left w:w="0" w:type="dxa"/>
              <w:right w:w="0" w:type="dxa"/>
            </w:tcMar>
          </w:tcPr>
          <w:p w14:paraId="3CE3DDA3" w14:textId="77777777" w:rsidR="00C23A68" w:rsidRDefault="00000000">
            <w:pPr>
              <w:autoSpaceDE w:val="0"/>
              <w:autoSpaceDN w:val="0"/>
              <w:spacing w:before="158" w:after="0" w:line="274" w:lineRule="auto"/>
              <w:ind w:left="210" w:right="1008"/>
            </w:pPr>
            <w:r>
              <w:rPr>
                <w:rFonts w:ascii="Liberation Sans" w:eastAsia="Liberation Sans" w:hAnsi="Liberation Sans"/>
                <w:color w:val="34322D"/>
                <w:sz w:val="24"/>
              </w:rPr>
              <w:t>High gamma coherence</w:t>
            </w:r>
          </w:p>
        </w:tc>
      </w:tr>
      <w:tr w:rsidR="00C23A68" w14:paraId="2394ABB0" w14:textId="77777777">
        <w:trPr>
          <w:trHeight w:hRule="exact" w:val="976"/>
        </w:trPr>
        <w:tc>
          <w:tcPr>
            <w:tcW w:w="1948" w:type="dxa"/>
            <w:tcBorders>
              <w:top w:val="single" w:sz="6" w:space="0" w:color="000000"/>
              <w:left w:val="single" w:sz="6" w:space="0" w:color="000000"/>
              <w:bottom w:val="single" w:sz="6" w:space="0" w:color="000000"/>
              <w:right w:val="single" w:sz="5" w:space="0" w:color="000000"/>
            </w:tcBorders>
            <w:tcMar>
              <w:left w:w="0" w:type="dxa"/>
              <w:right w:w="0" w:type="dxa"/>
            </w:tcMar>
          </w:tcPr>
          <w:p w14:paraId="69D995EA" w14:textId="77777777" w:rsidR="00C23A68" w:rsidRDefault="00000000">
            <w:pPr>
              <w:autoSpaceDE w:val="0"/>
              <w:autoSpaceDN w:val="0"/>
              <w:spacing w:before="158" w:after="0" w:line="233" w:lineRule="auto"/>
              <w:ind w:left="208"/>
            </w:pPr>
            <w:r>
              <w:rPr>
                <w:rFonts w:ascii="Liberation Sans" w:eastAsia="Liberation Sans" w:hAnsi="Liberation Sans"/>
                <w:color w:val="34322D"/>
                <w:sz w:val="24"/>
              </w:rPr>
              <w:t>Delirium</w:t>
            </w:r>
          </w:p>
        </w:tc>
        <w:tc>
          <w:tcPr>
            <w:tcW w:w="976" w:type="dxa"/>
            <w:tcBorders>
              <w:top w:val="single" w:sz="6" w:space="0" w:color="000000"/>
              <w:left w:val="single" w:sz="5" w:space="0" w:color="000000"/>
              <w:bottom w:val="single" w:sz="6" w:space="0" w:color="000000"/>
              <w:right w:val="single" w:sz="6" w:space="0" w:color="000000"/>
            </w:tcBorders>
            <w:tcMar>
              <w:left w:w="0" w:type="dxa"/>
              <w:right w:w="0" w:type="dxa"/>
            </w:tcMar>
          </w:tcPr>
          <w:p w14:paraId="5B5920D3" w14:textId="77777777" w:rsidR="00C23A68" w:rsidRDefault="00000000">
            <w:pPr>
              <w:autoSpaceDE w:val="0"/>
              <w:autoSpaceDN w:val="0"/>
              <w:spacing w:before="158" w:after="0" w:line="274" w:lineRule="auto"/>
              <w:ind w:left="212" w:right="144"/>
            </w:pPr>
            <w:r>
              <w:rPr>
                <w:rFonts w:ascii="Liberation Sans" w:eastAsia="Liberation Sans" w:hAnsi="Liberation Sans"/>
                <w:color w:val="34322D"/>
                <w:sz w:val="24"/>
              </w:rPr>
              <w:t>1.0–</w:t>
            </w:r>
            <w:r>
              <w:br/>
            </w:r>
            <w:r>
              <w:rPr>
                <w:rFonts w:ascii="Liberation Sans" w:eastAsia="Liberation Sans" w:hAnsi="Liberation Sans"/>
                <w:color w:val="34322D"/>
                <w:sz w:val="24"/>
              </w:rPr>
              <w:t>1.3</w:t>
            </w:r>
          </w:p>
        </w:tc>
        <w:tc>
          <w:tcPr>
            <w:tcW w:w="976" w:type="dxa"/>
            <w:tcBorders>
              <w:top w:val="single" w:sz="6" w:space="0" w:color="000000"/>
              <w:left w:val="single" w:sz="6" w:space="0" w:color="000000"/>
              <w:bottom w:val="single" w:sz="6" w:space="0" w:color="000000"/>
              <w:right w:val="single" w:sz="6" w:space="0" w:color="000000"/>
            </w:tcBorders>
            <w:tcMar>
              <w:left w:w="0" w:type="dxa"/>
              <w:right w:w="0" w:type="dxa"/>
            </w:tcMar>
          </w:tcPr>
          <w:p w14:paraId="054D314C" w14:textId="77777777" w:rsidR="00C23A68" w:rsidRDefault="00000000">
            <w:pPr>
              <w:autoSpaceDE w:val="0"/>
              <w:autoSpaceDN w:val="0"/>
              <w:spacing w:before="158" w:after="0" w:line="274" w:lineRule="auto"/>
              <w:ind w:left="214" w:right="144"/>
            </w:pPr>
            <w:r>
              <w:rPr>
                <w:rFonts w:ascii="Liberation Sans" w:eastAsia="Liberation Sans" w:hAnsi="Liberation Sans"/>
                <w:color w:val="34322D"/>
                <w:sz w:val="24"/>
              </w:rPr>
              <w:t>1.2–</w:t>
            </w:r>
            <w:r>
              <w:br/>
            </w:r>
            <w:r>
              <w:rPr>
                <w:rFonts w:ascii="Liberation Sans" w:eastAsia="Liberation Sans" w:hAnsi="Liberation Sans"/>
                <w:color w:val="34322D"/>
                <w:sz w:val="24"/>
              </w:rPr>
              <w:t>1.8</w:t>
            </w:r>
          </w:p>
        </w:tc>
        <w:tc>
          <w:tcPr>
            <w:tcW w:w="990" w:type="dxa"/>
            <w:tcBorders>
              <w:top w:val="single" w:sz="6" w:space="0" w:color="000000"/>
              <w:left w:val="single" w:sz="6" w:space="0" w:color="000000"/>
              <w:bottom w:val="single" w:sz="6" w:space="0" w:color="000000"/>
              <w:right w:val="single" w:sz="5" w:space="0" w:color="000000"/>
            </w:tcBorders>
            <w:tcMar>
              <w:left w:w="0" w:type="dxa"/>
              <w:right w:w="0" w:type="dxa"/>
            </w:tcMar>
          </w:tcPr>
          <w:p w14:paraId="7D68E0A3" w14:textId="77777777" w:rsidR="00C23A68" w:rsidRDefault="00000000">
            <w:pPr>
              <w:autoSpaceDE w:val="0"/>
              <w:autoSpaceDN w:val="0"/>
              <w:spacing w:before="158" w:after="0" w:line="274" w:lineRule="auto"/>
              <w:ind w:left="216" w:right="288"/>
            </w:pPr>
            <w:r>
              <w:rPr>
                <w:rFonts w:ascii="Liberation Sans" w:eastAsia="Liberation Sans" w:hAnsi="Liberation Sans"/>
                <w:color w:val="34322D"/>
                <w:sz w:val="24"/>
              </w:rPr>
              <w:t>0.5–</w:t>
            </w:r>
            <w:r>
              <w:br/>
            </w:r>
            <w:r>
              <w:rPr>
                <w:rFonts w:ascii="Liberation Sans" w:eastAsia="Liberation Sans" w:hAnsi="Liberation Sans"/>
                <w:color w:val="34322D"/>
                <w:sz w:val="24"/>
              </w:rPr>
              <w:t>0.8</w:t>
            </w:r>
          </w:p>
        </w:tc>
        <w:tc>
          <w:tcPr>
            <w:tcW w:w="1140" w:type="dxa"/>
            <w:tcBorders>
              <w:top w:val="single" w:sz="6" w:space="0" w:color="000000"/>
              <w:left w:val="single" w:sz="5" w:space="0" w:color="000000"/>
              <w:bottom w:val="single" w:sz="6" w:space="0" w:color="000000"/>
              <w:right w:val="single" w:sz="5" w:space="0" w:color="000000"/>
            </w:tcBorders>
            <w:tcMar>
              <w:left w:w="0" w:type="dxa"/>
              <w:right w:w="0" w:type="dxa"/>
            </w:tcMar>
          </w:tcPr>
          <w:p w14:paraId="3B7EB79D" w14:textId="77777777" w:rsidR="00C23A68" w:rsidRDefault="00000000">
            <w:pPr>
              <w:autoSpaceDE w:val="0"/>
              <w:autoSpaceDN w:val="0"/>
              <w:spacing w:before="158" w:after="0" w:line="274" w:lineRule="auto"/>
              <w:ind w:left="206" w:right="288"/>
            </w:pPr>
            <w:r>
              <w:rPr>
                <w:rFonts w:ascii="Liberation Sans" w:eastAsia="Liberation Sans" w:hAnsi="Liberation Sans"/>
                <w:color w:val="34322D"/>
                <w:sz w:val="24"/>
              </w:rPr>
              <w:t>0.60–1.87</w:t>
            </w:r>
          </w:p>
        </w:tc>
        <w:tc>
          <w:tcPr>
            <w:tcW w:w="1604" w:type="dxa"/>
            <w:tcBorders>
              <w:top w:val="single" w:sz="6" w:space="0" w:color="000000"/>
              <w:left w:val="single" w:sz="5" w:space="0" w:color="000000"/>
              <w:bottom w:val="single" w:sz="6" w:space="0" w:color="000000"/>
              <w:right w:val="single" w:sz="5" w:space="0" w:color="000000"/>
            </w:tcBorders>
            <w:tcMar>
              <w:left w:w="0" w:type="dxa"/>
              <w:right w:w="0" w:type="dxa"/>
            </w:tcMar>
          </w:tcPr>
          <w:p w14:paraId="0756D92E" w14:textId="77777777" w:rsidR="00C23A68" w:rsidRDefault="00000000">
            <w:pPr>
              <w:autoSpaceDE w:val="0"/>
              <w:autoSpaceDN w:val="0"/>
              <w:spacing w:before="158" w:after="0" w:line="233" w:lineRule="auto"/>
              <w:jc w:val="center"/>
            </w:pPr>
            <w:r>
              <w:rPr>
                <w:rFonts w:ascii="Liberation Sans" w:eastAsia="Liberation Sans" w:hAnsi="Liberation Sans"/>
                <w:color w:val="34322D"/>
                <w:sz w:val="24"/>
              </w:rPr>
              <w:t>Fluctuating</w:t>
            </w:r>
          </w:p>
        </w:tc>
        <w:tc>
          <w:tcPr>
            <w:tcW w:w="2596" w:type="dxa"/>
            <w:tcBorders>
              <w:top w:val="single" w:sz="6" w:space="0" w:color="000000"/>
              <w:left w:val="single" w:sz="5" w:space="0" w:color="000000"/>
              <w:bottom w:val="single" w:sz="6" w:space="0" w:color="000000"/>
              <w:right w:val="single" w:sz="5" w:space="0" w:color="000000"/>
            </w:tcBorders>
            <w:tcMar>
              <w:left w:w="0" w:type="dxa"/>
              <w:right w:w="0" w:type="dxa"/>
            </w:tcMar>
          </w:tcPr>
          <w:p w14:paraId="29D676B4" w14:textId="77777777" w:rsidR="00C23A68" w:rsidRDefault="00000000">
            <w:pPr>
              <w:autoSpaceDE w:val="0"/>
              <w:autoSpaceDN w:val="0"/>
              <w:spacing w:before="158" w:after="0" w:line="274" w:lineRule="auto"/>
              <w:ind w:left="210" w:right="864"/>
            </w:pPr>
            <w:r>
              <w:rPr>
                <w:rFonts w:ascii="Liberation Sans" w:eastAsia="Liberation Sans" w:hAnsi="Liberation Sans"/>
                <w:color w:val="34322D"/>
                <w:sz w:val="24"/>
              </w:rPr>
              <w:t>Disorganized, variable</w:t>
            </w:r>
          </w:p>
        </w:tc>
      </w:tr>
      <w:tr w:rsidR="00C23A68" w14:paraId="7BC095A3" w14:textId="77777777">
        <w:trPr>
          <w:trHeight w:hRule="exact" w:val="974"/>
        </w:trPr>
        <w:tc>
          <w:tcPr>
            <w:tcW w:w="1948" w:type="dxa"/>
            <w:tcBorders>
              <w:top w:val="single" w:sz="6" w:space="0" w:color="000000"/>
              <w:left w:val="single" w:sz="6" w:space="0" w:color="000000"/>
              <w:bottom w:val="single" w:sz="5" w:space="0" w:color="000000"/>
              <w:right w:val="single" w:sz="5" w:space="0" w:color="000000"/>
            </w:tcBorders>
            <w:tcMar>
              <w:left w:w="0" w:type="dxa"/>
              <w:right w:w="0" w:type="dxa"/>
            </w:tcMar>
          </w:tcPr>
          <w:p w14:paraId="198B3FAE" w14:textId="77777777" w:rsidR="00C23A68" w:rsidRDefault="00000000">
            <w:pPr>
              <w:autoSpaceDE w:val="0"/>
              <w:autoSpaceDN w:val="0"/>
              <w:spacing w:before="156" w:after="0" w:line="274" w:lineRule="auto"/>
              <w:ind w:left="208" w:right="720"/>
            </w:pPr>
            <w:r>
              <w:rPr>
                <w:rFonts w:ascii="Liberation Sans" w:eastAsia="Liberation Sans" w:hAnsi="Liberation Sans"/>
                <w:color w:val="34322D"/>
                <w:sz w:val="24"/>
              </w:rPr>
              <w:t xml:space="preserve">Epileptic </w:t>
            </w:r>
            <w:r>
              <w:br/>
            </w:r>
            <w:r>
              <w:rPr>
                <w:rFonts w:ascii="Liberation Sans" w:eastAsia="Liberation Sans" w:hAnsi="Liberation Sans"/>
                <w:color w:val="34322D"/>
                <w:sz w:val="24"/>
              </w:rPr>
              <w:t>seizure</w:t>
            </w:r>
          </w:p>
        </w:tc>
        <w:tc>
          <w:tcPr>
            <w:tcW w:w="976" w:type="dxa"/>
            <w:tcBorders>
              <w:top w:val="single" w:sz="6" w:space="0" w:color="000000"/>
              <w:left w:val="single" w:sz="5" w:space="0" w:color="000000"/>
              <w:bottom w:val="single" w:sz="5" w:space="0" w:color="000000"/>
              <w:right w:val="single" w:sz="6" w:space="0" w:color="000000"/>
            </w:tcBorders>
            <w:tcMar>
              <w:left w:w="0" w:type="dxa"/>
              <w:right w:w="0" w:type="dxa"/>
            </w:tcMar>
          </w:tcPr>
          <w:p w14:paraId="0E16A74B" w14:textId="77777777" w:rsidR="00C23A68" w:rsidRDefault="00000000">
            <w:pPr>
              <w:autoSpaceDE w:val="0"/>
              <w:autoSpaceDN w:val="0"/>
              <w:spacing w:before="156" w:after="0" w:line="274" w:lineRule="auto"/>
              <w:ind w:left="212" w:right="144"/>
            </w:pPr>
            <w:r>
              <w:rPr>
                <w:rFonts w:ascii="Liberation Sans" w:eastAsia="Liberation Sans" w:hAnsi="Liberation Sans"/>
                <w:color w:val="34322D"/>
                <w:sz w:val="24"/>
              </w:rPr>
              <w:t>1.3–</w:t>
            </w:r>
            <w:r>
              <w:br/>
            </w:r>
            <w:r>
              <w:rPr>
                <w:rFonts w:ascii="Liberation Sans" w:eastAsia="Liberation Sans" w:hAnsi="Liberation Sans"/>
                <w:color w:val="34322D"/>
                <w:sz w:val="24"/>
              </w:rPr>
              <w:t>1.5</w:t>
            </w:r>
          </w:p>
        </w:tc>
        <w:tc>
          <w:tcPr>
            <w:tcW w:w="976" w:type="dxa"/>
            <w:tcBorders>
              <w:top w:val="single" w:sz="6" w:space="0" w:color="000000"/>
              <w:left w:val="single" w:sz="6" w:space="0" w:color="000000"/>
              <w:bottom w:val="single" w:sz="5" w:space="0" w:color="000000"/>
              <w:right w:val="single" w:sz="6" w:space="0" w:color="000000"/>
            </w:tcBorders>
            <w:tcMar>
              <w:left w:w="0" w:type="dxa"/>
              <w:right w:w="0" w:type="dxa"/>
            </w:tcMar>
          </w:tcPr>
          <w:p w14:paraId="161C9AC0" w14:textId="77777777" w:rsidR="00C23A68" w:rsidRDefault="00000000">
            <w:pPr>
              <w:autoSpaceDE w:val="0"/>
              <w:autoSpaceDN w:val="0"/>
              <w:spacing w:before="156" w:after="0" w:line="274" w:lineRule="auto"/>
              <w:ind w:left="214" w:right="144"/>
            </w:pPr>
            <w:r>
              <w:rPr>
                <w:rFonts w:ascii="Liberation Sans" w:eastAsia="Liberation Sans" w:hAnsi="Liberation Sans"/>
                <w:color w:val="34322D"/>
                <w:sz w:val="24"/>
              </w:rPr>
              <w:t>1.5–</w:t>
            </w:r>
            <w:r>
              <w:br/>
            </w:r>
            <w:r>
              <w:rPr>
                <w:rFonts w:ascii="Liberation Sans" w:eastAsia="Liberation Sans" w:hAnsi="Liberation Sans"/>
                <w:color w:val="34322D"/>
                <w:sz w:val="24"/>
              </w:rPr>
              <w:t>2.0</w:t>
            </w:r>
          </w:p>
        </w:tc>
        <w:tc>
          <w:tcPr>
            <w:tcW w:w="990" w:type="dxa"/>
            <w:tcBorders>
              <w:top w:val="single" w:sz="6" w:space="0" w:color="000000"/>
              <w:left w:val="single" w:sz="6" w:space="0" w:color="000000"/>
              <w:bottom w:val="single" w:sz="5" w:space="0" w:color="000000"/>
              <w:right w:val="single" w:sz="5" w:space="0" w:color="000000"/>
            </w:tcBorders>
            <w:tcMar>
              <w:left w:w="0" w:type="dxa"/>
              <w:right w:w="0" w:type="dxa"/>
            </w:tcMar>
          </w:tcPr>
          <w:p w14:paraId="62697B8F" w14:textId="77777777" w:rsidR="00C23A68" w:rsidRDefault="00000000">
            <w:pPr>
              <w:autoSpaceDE w:val="0"/>
              <w:autoSpaceDN w:val="0"/>
              <w:spacing w:before="156" w:after="0" w:line="274" w:lineRule="auto"/>
              <w:ind w:left="216" w:right="288"/>
            </w:pPr>
            <w:r>
              <w:rPr>
                <w:rFonts w:ascii="Liberation Sans" w:eastAsia="Liberation Sans" w:hAnsi="Liberation Sans"/>
                <w:color w:val="34322D"/>
                <w:sz w:val="24"/>
              </w:rPr>
              <w:t>1.3–</w:t>
            </w:r>
            <w:r>
              <w:br/>
            </w:r>
            <w:r>
              <w:rPr>
                <w:rFonts w:ascii="Liberation Sans" w:eastAsia="Liberation Sans" w:hAnsi="Liberation Sans"/>
                <w:color w:val="34322D"/>
                <w:sz w:val="24"/>
              </w:rPr>
              <w:t>1.8</w:t>
            </w:r>
          </w:p>
        </w:tc>
        <w:tc>
          <w:tcPr>
            <w:tcW w:w="1140" w:type="dxa"/>
            <w:tcBorders>
              <w:top w:val="single" w:sz="6" w:space="0" w:color="000000"/>
              <w:left w:val="single" w:sz="5" w:space="0" w:color="000000"/>
              <w:bottom w:val="single" w:sz="5" w:space="0" w:color="000000"/>
              <w:right w:val="single" w:sz="5" w:space="0" w:color="000000"/>
            </w:tcBorders>
            <w:tcMar>
              <w:left w:w="0" w:type="dxa"/>
              <w:right w:w="0" w:type="dxa"/>
            </w:tcMar>
          </w:tcPr>
          <w:p w14:paraId="03B6058E" w14:textId="77777777" w:rsidR="00C23A68" w:rsidRDefault="00000000">
            <w:pPr>
              <w:autoSpaceDE w:val="0"/>
              <w:autoSpaceDN w:val="0"/>
              <w:spacing w:before="156" w:after="0" w:line="274" w:lineRule="auto"/>
              <w:ind w:left="206" w:right="288"/>
            </w:pPr>
            <w:r>
              <w:rPr>
                <w:rFonts w:ascii="Liberation Sans" w:eastAsia="Liberation Sans" w:hAnsi="Liberation Sans"/>
                <w:color w:val="34322D"/>
                <w:sz w:val="24"/>
              </w:rPr>
              <w:t>2.54–5.40</w:t>
            </w:r>
          </w:p>
        </w:tc>
        <w:tc>
          <w:tcPr>
            <w:tcW w:w="1604" w:type="dxa"/>
            <w:tcBorders>
              <w:top w:val="single" w:sz="6" w:space="0" w:color="000000"/>
              <w:left w:val="single" w:sz="5" w:space="0" w:color="000000"/>
              <w:bottom w:val="single" w:sz="5" w:space="0" w:color="000000"/>
              <w:right w:val="single" w:sz="5" w:space="0" w:color="000000"/>
            </w:tcBorders>
            <w:tcMar>
              <w:left w:w="0" w:type="dxa"/>
              <w:right w:w="0" w:type="dxa"/>
            </w:tcMar>
          </w:tcPr>
          <w:p w14:paraId="78FFBB93" w14:textId="77777777" w:rsidR="00C23A68" w:rsidRDefault="00000000">
            <w:pPr>
              <w:autoSpaceDE w:val="0"/>
              <w:autoSpaceDN w:val="0"/>
              <w:spacing w:before="156" w:after="0" w:line="233" w:lineRule="auto"/>
              <w:ind w:left="208"/>
            </w:pPr>
            <w:r>
              <w:rPr>
                <w:rFonts w:ascii="Liberation Sans" w:eastAsia="Liberation Sans" w:hAnsi="Liberation Sans"/>
                <w:color w:val="34322D"/>
                <w:sz w:val="24"/>
              </w:rPr>
              <w:t>1.24–2.10</w:t>
            </w:r>
          </w:p>
        </w:tc>
        <w:tc>
          <w:tcPr>
            <w:tcW w:w="2596" w:type="dxa"/>
            <w:tcBorders>
              <w:top w:val="single" w:sz="6" w:space="0" w:color="000000"/>
              <w:left w:val="single" w:sz="5" w:space="0" w:color="000000"/>
              <w:bottom w:val="single" w:sz="5" w:space="0" w:color="000000"/>
              <w:right w:val="single" w:sz="5" w:space="0" w:color="000000"/>
            </w:tcBorders>
            <w:tcMar>
              <w:left w:w="0" w:type="dxa"/>
              <w:right w:w="0" w:type="dxa"/>
            </w:tcMar>
          </w:tcPr>
          <w:p w14:paraId="05CBEFF1" w14:textId="77777777" w:rsidR="00C23A68" w:rsidRDefault="00000000">
            <w:pPr>
              <w:autoSpaceDE w:val="0"/>
              <w:autoSpaceDN w:val="0"/>
              <w:spacing w:before="156" w:after="0" w:line="233" w:lineRule="auto"/>
              <w:ind w:left="210"/>
            </w:pPr>
            <w:r>
              <w:rPr>
                <w:rFonts w:ascii="Liberation Sans" w:eastAsia="Liberation Sans" w:hAnsi="Liberation Sans"/>
                <w:color w:val="34322D"/>
                <w:sz w:val="24"/>
              </w:rPr>
              <w:t>Hypersynchronous</w:t>
            </w:r>
          </w:p>
        </w:tc>
      </w:tr>
    </w:tbl>
    <w:p w14:paraId="26398B0C" w14:textId="77777777" w:rsidR="00C23A68" w:rsidRDefault="00000000">
      <w:r>
        <w:rPr>
          <w:i/>
          <w:sz w:val="18"/>
        </w:rPr>
        <w:t>† MCS plus: consciousness level transiently exceeds G_total = 1, producing intermittent but reproducible behavioral responses indicative of partial cognitive ignition.</w:t>
      </w:r>
    </w:p>
    <w:p w14:paraId="08981684" w14:textId="77777777" w:rsidR="00C23A68" w:rsidRDefault="00000000">
      <w:pPr>
        <w:autoSpaceDE w:val="0"/>
        <w:autoSpaceDN w:val="0"/>
        <w:spacing w:before="360" w:after="0" w:line="240" w:lineRule="auto"/>
      </w:pPr>
      <w:r>
        <w:rPr>
          <w:rFonts w:ascii="Caladea" w:eastAsia="Caladea" w:hAnsi="Caladea"/>
          <w:b/>
          <w:color w:val="34322D"/>
          <w:sz w:val="30"/>
        </w:rPr>
        <w:t>S3. Reproducibility Statement</w:t>
      </w:r>
    </w:p>
    <w:p w14:paraId="4DA4808C" w14:textId="77777777" w:rsidR="00C23A68" w:rsidRDefault="00000000">
      <w:pPr>
        <w:autoSpaceDE w:val="0"/>
        <w:autoSpaceDN w:val="0"/>
        <w:spacing w:before="172" w:after="0" w:line="286" w:lineRule="auto"/>
        <w:ind w:right="144"/>
      </w:pPr>
      <w:r>
        <w:rPr>
          <w:rFonts w:ascii="Liberation Sans" w:eastAsia="Liberation Sans" w:hAnsi="Liberation Sans"/>
          <w:color w:val="34322D"/>
          <w:sz w:val="24"/>
        </w:rPr>
        <w:t>All supplementary figures were generated using Python 3.11 with NumPy 1.24+ and Matplotlib 3.7+. The complete source code is provided in Supplementary Code S1 below. Random seeds are fixed for exact reproducibility. No proprietary software or data were used.</w:t>
      </w:r>
    </w:p>
    <w:p w14:paraId="3AE45659" w14:textId="77777777" w:rsidR="00C23A68" w:rsidRDefault="00C23A68">
      <w:pPr>
        <w:sectPr w:rsidR="00C23A68">
          <w:pgSz w:w="11918" w:h="16838"/>
          <w:pgMar w:top="562" w:right="814" w:bottom="1114" w:left="840" w:header="720" w:footer="720" w:gutter="0"/>
          <w:cols w:space="720"/>
          <w:docGrid w:linePitch="360"/>
        </w:sectPr>
      </w:pPr>
    </w:p>
    <w:p w14:paraId="64D165DA" w14:textId="77777777" w:rsidR="00C23A68" w:rsidRDefault="00C23A68">
      <w:pPr>
        <w:autoSpaceDE w:val="0"/>
        <w:autoSpaceDN w:val="0"/>
        <w:spacing w:after="376" w:line="220" w:lineRule="exact"/>
      </w:pPr>
    </w:p>
    <w:p w14:paraId="503D4E03" w14:textId="77777777" w:rsidR="00C23A68" w:rsidRDefault="00000000">
      <w:pPr>
        <w:autoSpaceDE w:val="0"/>
        <w:autoSpaceDN w:val="0"/>
        <w:spacing w:after="0" w:line="240" w:lineRule="auto"/>
      </w:pPr>
      <w:r>
        <w:rPr>
          <w:rFonts w:ascii="Caladea" w:eastAsia="Caladea" w:hAnsi="Caladea"/>
          <w:b/>
          <w:color w:val="34322D"/>
          <w:sz w:val="36"/>
        </w:rPr>
        <w:t>Supplementary Code S1. Python Script for Figure S3</w:t>
      </w:r>
    </w:p>
    <w:p w14:paraId="5AE69F8E" w14:textId="77777777" w:rsidR="00C23A68" w:rsidRDefault="00000000">
      <w:pPr>
        <w:autoSpaceDE w:val="0"/>
        <w:autoSpaceDN w:val="0"/>
        <w:spacing w:before="174" w:after="0" w:line="286" w:lineRule="auto"/>
      </w:pPr>
      <w:r>
        <w:rPr>
          <w:rFonts w:ascii="Liberation Sans" w:eastAsia="Liberation Sans" w:hAnsi="Liberation Sans"/>
          <w:color w:val="34322D"/>
          <w:sz w:val="24"/>
        </w:rPr>
        <w:t>The following Python script generates Supplementary Figure S3. It requires only standard scientific Python packages (NumPy, Matplotlib) and can be executed on any system with Python 3.8 or later.</w:t>
      </w:r>
    </w:p>
    <w:p w14:paraId="5C83FBF3" w14:textId="77777777" w:rsidR="00C23A68" w:rsidRDefault="00C23A68">
      <w:pPr>
        <w:sectPr w:rsidR="00C23A68">
          <w:pgSz w:w="11918" w:h="16838"/>
          <w:pgMar w:top="596" w:right="858" w:bottom="1440" w:left="840" w:header="720" w:footer="720" w:gutter="0"/>
          <w:cols w:space="720"/>
          <w:docGrid w:linePitch="360"/>
        </w:sectPr>
      </w:pPr>
    </w:p>
    <w:p w14:paraId="4E6592A9" w14:textId="77777777" w:rsidR="00C23A68" w:rsidRDefault="00C23A68">
      <w:pPr>
        <w:autoSpaceDE w:val="0"/>
        <w:autoSpaceDN w:val="0"/>
        <w:spacing w:after="342" w:line="220" w:lineRule="exact"/>
      </w:pPr>
    </w:p>
    <w:p w14:paraId="29B84120" w14:textId="77777777" w:rsidR="00C23A68" w:rsidRDefault="00000000">
      <w:pPr>
        <w:autoSpaceDE w:val="0"/>
        <w:autoSpaceDN w:val="0"/>
        <w:spacing w:before="360" w:after="0" w:line="266" w:lineRule="auto"/>
        <w:ind w:left="472" w:right="2160"/>
      </w:pPr>
      <w:r>
        <w:rPr>
          <w:rFonts w:ascii="JetBrains Mono" w:eastAsia="JetBrains Mono" w:hAnsi="JetBrains Mono"/>
          <w:color w:val="D73A49"/>
          <w:w w:val="98"/>
        </w:rPr>
        <w:t>"""</w:t>
      </w:r>
      <w:r>
        <w:rPr>
          <w:rFonts w:ascii="JetBrains Mono" w:eastAsia="JetBrains Mono" w:hAnsi="JetBrains Mono"/>
          <w:color w:val="D73A49"/>
          <w:w w:val="98"/>
        </w:rPr>
        <w:br/>
        <w:t>BMIM II Supplementary Figure S3: 3D Topographic Surface of Psi</w:t>
      </w:r>
      <w:r>
        <w:rPr>
          <w:rFonts w:ascii="JetBrains Mono" w:eastAsia="JetBrains Mono" w:hAnsi="JetBrains Mono"/>
          <w:color w:val="D73A49"/>
          <w:w w:val="98"/>
        </w:rPr>
        <w:br/>
        <w:t>with Dynamic Clinical Trajectories</w:t>
      </w:r>
      <w:r>
        <w:rPr>
          <w:rFonts w:ascii="JetBrains Mono" w:eastAsia="JetBrains Mono" w:hAnsi="JetBrains Mono"/>
          <w:color w:val="D73A49"/>
          <w:w w:val="98"/>
        </w:rPr>
        <w:br/>
        <w:t>================================================================</w:t>
      </w:r>
      <w:r>
        <w:rPr>
          <w:rFonts w:ascii="JetBrains Mono" w:eastAsia="JetBrains Mono" w:hAnsi="JetBrains Mono"/>
          <w:color w:val="D73A49"/>
          <w:w w:val="98"/>
        </w:rPr>
        <w:br/>
        <w:t>Author: Francisco Dominguez Jones</w:t>
      </w:r>
      <w:r>
        <w:rPr>
          <w:rFonts w:ascii="JetBrains Mono" w:eastAsia="JetBrains Mono" w:hAnsi="JetBrains Mono"/>
          <w:color w:val="D73A49"/>
          <w:w w:val="98"/>
        </w:rPr>
        <w:br/>
        <w:t>License: CC-BY 4.0</w:t>
      </w:r>
      <w:r>
        <w:rPr>
          <w:rFonts w:ascii="JetBrains Mono" w:eastAsia="JetBrains Mono" w:hAnsi="JetBrains Mono"/>
          <w:color w:val="D73A49"/>
          <w:w w:val="98"/>
        </w:rPr>
        <w:br/>
        <w:t>Requirements: numpy &gt;= 1.24, matplotlib &gt;= 3.7</w:t>
      </w:r>
      <w:r>
        <w:rPr>
          <w:rFonts w:ascii="JetBrains Mono" w:eastAsia="JetBrains Mono" w:hAnsi="JetBrains Mono"/>
          <w:color w:val="D73A49"/>
          <w:w w:val="98"/>
        </w:rPr>
        <w:br/>
        <w:t>"""</w:t>
      </w:r>
      <w:r>
        <w:rPr>
          <w:rFonts w:ascii="JetBrains Mono" w:eastAsia="JetBrains Mono" w:hAnsi="JetBrains Mono"/>
          <w:color w:val="D73A49"/>
          <w:w w:val="98"/>
        </w:rPr>
        <w:br/>
        <w:t>import numpy as np</w:t>
      </w:r>
      <w:r>
        <w:rPr>
          <w:rFonts w:ascii="JetBrains Mono" w:eastAsia="JetBrains Mono" w:hAnsi="JetBrains Mono"/>
          <w:color w:val="D73A49"/>
          <w:w w:val="98"/>
        </w:rPr>
        <w:br/>
        <w:t>import matplotlib</w:t>
      </w:r>
      <w:r>
        <w:rPr>
          <w:rFonts w:ascii="JetBrains Mono" w:eastAsia="JetBrains Mono" w:hAnsi="JetBrains Mono"/>
          <w:color w:val="D73A49"/>
          <w:w w:val="98"/>
        </w:rPr>
        <w:br/>
        <w:t>matplotlib.use('Agg')</w:t>
      </w:r>
      <w:r>
        <w:rPr>
          <w:rFonts w:ascii="JetBrains Mono" w:eastAsia="JetBrains Mono" w:hAnsi="JetBrains Mono"/>
          <w:color w:val="D73A49"/>
          <w:w w:val="98"/>
        </w:rPr>
        <w:br/>
        <w:t>import matplotlib.pyplot as plt</w:t>
      </w:r>
      <w:r>
        <w:rPr>
          <w:rFonts w:ascii="JetBrains Mono" w:eastAsia="JetBrains Mono" w:hAnsi="JetBrains Mono"/>
          <w:color w:val="D73A49"/>
          <w:w w:val="98"/>
        </w:rPr>
        <w:br/>
        <w:t>from matplotlib.colors import Normalize, LinearSegmentedColormap</w:t>
      </w:r>
      <w:r>
        <w:rPr>
          <w:rFonts w:ascii="JetBrains Mono" w:eastAsia="JetBrains Mono" w:hAnsi="JetBrains Mono"/>
          <w:color w:val="D73A49"/>
          <w:w w:val="98"/>
        </w:rPr>
        <w:br/>
        <w:t>from matplotlib.patches import FancyArrowPatch</w:t>
      </w:r>
      <w:r>
        <w:rPr>
          <w:rFonts w:ascii="JetBrains Mono" w:eastAsia="JetBrains Mono" w:hAnsi="JetBrains Mono"/>
          <w:color w:val="D73A49"/>
          <w:w w:val="98"/>
        </w:rPr>
        <w:br/>
        <w:t>from mpl_toolkits.mplot3d.proj3d import proj_transform</w:t>
      </w:r>
      <w:r>
        <w:rPr>
          <w:rFonts w:ascii="JetBrains Mono" w:eastAsia="JetBrains Mono" w:hAnsi="JetBrains Mono"/>
          <w:color w:val="D73A49"/>
          <w:w w:val="98"/>
        </w:rPr>
        <w:br/>
      </w:r>
      <w:r>
        <w:rPr>
          <w:rFonts w:ascii="JetBrains Mono" w:eastAsia="JetBrains Mono" w:hAnsi="JetBrains Mono"/>
          <w:color w:val="D73A49"/>
          <w:w w:val="98"/>
        </w:rPr>
        <w:br/>
        <w:t>class Arrow3D(FancyArrowPatch):</w:t>
      </w:r>
      <w:r>
        <w:rPr>
          <w:rFonts w:ascii="JetBrains Mono" w:eastAsia="JetBrains Mono" w:hAnsi="JetBrains Mono"/>
          <w:color w:val="D73A49"/>
          <w:w w:val="98"/>
        </w:rPr>
        <w:br/>
        <w:t xml:space="preserve">    def __init__(self, xs, ys, zs, *args, **kwargs):</w:t>
      </w:r>
      <w:r>
        <w:rPr>
          <w:rFonts w:ascii="JetBrains Mono" w:eastAsia="JetBrains Mono" w:hAnsi="JetBrains Mono"/>
          <w:color w:val="D73A49"/>
          <w:w w:val="98"/>
        </w:rPr>
        <w:br/>
        <w:t xml:space="preserve">        super().__init__((0, 0), (0, 0), *args, **kwargs)</w:t>
      </w:r>
      <w:r>
        <w:rPr>
          <w:rFonts w:ascii="JetBrains Mono" w:eastAsia="JetBrains Mono" w:hAnsi="JetBrains Mono"/>
          <w:color w:val="D73A49"/>
          <w:w w:val="98"/>
        </w:rPr>
        <w:br/>
        <w:t xml:space="preserve">        self._verts3d = xs, ys, zs</w:t>
      </w:r>
      <w:r>
        <w:rPr>
          <w:rFonts w:ascii="JetBrains Mono" w:eastAsia="JetBrains Mono" w:hAnsi="JetBrains Mono"/>
          <w:color w:val="D73A49"/>
          <w:w w:val="98"/>
        </w:rPr>
        <w:br/>
        <w:t xml:space="preserve">    def do_3d_projection(self, renderer=None):</w:t>
      </w:r>
      <w:r>
        <w:rPr>
          <w:rFonts w:ascii="JetBrains Mono" w:eastAsia="JetBrains Mono" w:hAnsi="JetBrains Mono"/>
          <w:color w:val="D73A49"/>
          <w:w w:val="98"/>
        </w:rPr>
        <w:br/>
        <w:t xml:space="preserve">        xs3d, ys3d, zs3d = self._verts3d</w:t>
      </w:r>
      <w:r>
        <w:rPr>
          <w:rFonts w:ascii="JetBrains Mono" w:eastAsia="JetBrains Mono" w:hAnsi="JetBrains Mono"/>
          <w:color w:val="D73A49"/>
          <w:w w:val="98"/>
        </w:rPr>
        <w:br/>
        <w:t xml:space="preserve">        xs, ys, zs = proj_transform(xs3d, ys3d, zs3d, self.axes.M)</w:t>
      </w:r>
      <w:r>
        <w:rPr>
          <w:rFonts w:ascii="JetBrains Mono" w:eastAsia="JetBrains Mono" w:hAnsi="JetBrains Mono"/>
          <w:color w:val="D73A49"/>
          <w:w w:val="98"/>
        </w:rPr>
        <w:br/>
        <w:t xml:space="preserve">        self.set_positions((xs[0], ys[0]), (xs[1], ys[1]))</w:t>
      </w:r>
      <w:r>
        <w:rPr>
          <w:rFonts w:ascii="JetBrains Mono" w:eastAsia="JetBrains Mono" w:hAnsi="JetBrains Mono"/>
          <w:color w:val="D73A49"/>
          <w:w w:val="98"/>
        </w:rPr>
        <w:br/>
        <w:t xml:space="preserve">        return min(zs)</w:t>
      </w:r>
      <w:r>
        <w:rPr>
          <w:rFonts w:ascii="JetBrains Mono" w:eastAsia="JetBrains Mono" w:hAnsi="JetBrains Mono"/>
          <w:color w:val="D73A49"/>
          <w:w w:val="98"/>
        </w:rPr>
        <w:br/>
      </w:r>
      <w:r>
        <w:rPr>
          <w:rFonts w:ascii="JetBrains Mono" w:eastAsia="JetBrains Mono" w:hAnsi="JetBrains Mono"/>
          <w:color w:val="D73A49"/>
          <w:w w:val="98"/>
        </w:rPr>
        <w:br/>
        <w:t>np.random.seed(42)</w:t>
      </w:r>
      <w:r>
        <w:rPr>
          <w:rFonts w:ascii="JetBrains Mono" w:eastAsia="JetBrains Mono" w:hAnsi="JetBrains Mono"/>
          <w:color w:val="D73A49"/>
          <w:w w:val="98"/>
        </w:rPr>
        <w:br/>
        <w:t>N = 250</w:t>
      </w:r>
      <w:r>
        <w:rPr>
          <w:rFonts w:ascii="JetBrains Mono" w:eastAsia="JetBrains Mono" w:hAnsi="JetBrains Mono"/>
          <w:color w:val="D73A49"/>
          <w:w w:val="98"/>
        </w:rPr>
        <w:br/>
        <w:t>g_endo_range = np.linspace(0.1, 2.8, N)</w:t>
      </w:r>
      <w:r>
        <w:rPr>
          <w:rFonts w:ascii="JetBrains Mono" w:eastAsia="JetBrains Mono" w:hAnsi="JetBrains Mono"/>
          <w:color w:val="D73A49"/>
          <w:w w:val="98"/>
        </w:rPr>
        <w:br/>
        <w:t>g_exo_range = np.linspace(0.1, 2.8, N)</w:t>
      </w:r>
      <w:r>
        <w:rPr>
          <w:rFonts w:ascii="JetBrains Mono" w:eastAsia="JetBrains Mono" w:hAnsi="JetBrains Mono"/>
          <w:color w:val="D73A49"/>
          <w:w w:val="98"/>
        </w:rPr>
        <w:br/>
        <w:t>G_endo, G_exo = np.meshgrid(g_endo_range, g_exo_range)</w:t>
      </w:r>
      <w:r>
        <w:rPr>
          <w:rFonts w:ascii="JetBrains Mono" w:eastAsia="JetBrains Mono" w:hAnsi="JetBrains Mono"/>
          <w:color w:val="D73A49"/>
          <w:w w:val="98"/>
        </w:rPr>
        <w:br/>
        <w:t>G_exec_fixed = 1.0</w:t>
      </w:r>
      <w:r>
        <w:rPr>
          <w:rFonts w:ascii="JetBrains Mono" w:eastAsia="JetBrains Mono" w:hAnsi="JetBrains Mono"/>
          <w:color w:val="D73A49"/>
          <w:w w:val="98"/>
        </w:rPr>
        <w:br/>
        <w:t>G_total = G_endo * G_exo * G_exec_fixed</w:t>
      </w:r>
      <w:r>
        <w:rPr>
          <w:rFonts w:ascii="JetBrains Mono" w:eastAsia="JetBrains Mono" w:hAnsi="JetBrains Mono"/>
          <w:color w:val="D73A49"/>
          <w:w w:val="98"/>
        </w:rPr>
        <w:br/>
        <w:t>Psi = np.sqrt(np.maximum(0, G_total - 1))</w:t>
      </w:r>
      <w:r>
        <w:rPr>
          <w:rFonts w:ascii="JetBrains Mono" w:eastAsia="JetBrains Mono" w:hAnsi="JetBrains Mono"/>
          <w:color w:val="D73A49"/>
          <w:w w:val="98"/>
        </w:rPr>
        <w:br/>
        <w:t>noise = np.random.normal(0, 0.03, Psi.shape)</w:t>
      </w:r>
      <w:r>
        <w:rPr>
          <w:rFonts w:ascii="JetBrains Mono" w:eastAsia="JetBrains Mono" w:hAnsi="JetBrains Mono"/>
          <w:color w:val="D73A49"/>
          <w:w w:val="98"/>
        </w:rPr>
        <w:br/>
        <w:t>noise_scaled = noise * (1 + 0.5 * np.exp(-2 * (G_total - 1)**2))</w:t>
      </w:r>
      <w:r>
        <w:rPr>
          <w:rFonts w:ascii="JetBrains Mono" w:eastAsia="JetBrains Mono" w:hAnsi="JetBrains Mono"/>
          <w:color w:val="D73A49"/>
          <w:w w:val="98"/>
        </w:rPr>
        <w:br/>
        <w:t>Psi_noisy = np.maximum(0, Psi + noise_scaled)</w:t>
      </w:r>
      <w:r>
        <w:rPr>
          <w:rFonts w:ascii="JetBrains Mono" w:eastAsia="JetBrains Mono" w:hAnsi="JetBrains Mono"/>
          <w:color w:val="D73A49"/>
          <w:w w:val="98"/>
        </w:rPr>
        <w:br/>
        <w:t>fig = plt.figure(figsize=(18, 11), facecolor='black')</w:t>
      </w:r>
      <w:r>
        <w:rPr>
          <w:rFonts w:ascii="JetBrains Mono" w:eastAsia="JetBrains Mono" w:hAnsi="JetBrains Mono"/>
          <w:color w:val="D73A49"/>
          <w:w w:val="98"/>
        </w:rPr>
        <w:br/>
        <w:t>ax = fig.add_subplot(111, projection='3d', facecolor='black')</w:t>
      </w:r>
      <w:r>
        <w:rPr>
          <w:rFonts w:ascii="JetBrains Mono" w:eastAsia="JetBrains Mono" w:hAnsi="JetBrains Mono"/>
          <w:color w:val="D73A49"/>
          <w:w w:val="98"/>
        </w:rPr>
        <w:br/>
        <w:t>colors_list = [</w:t>
      </w:r>
      <w:r>
        <w:rPr>
          <w:rFonts w:ascii="JetBrains Mono" w:eastAsia="JetBrains Mono" w:hAnsi="JetBrains Mono"/>
          <w:color w:val="D73A49"/>
          <w:w w:val="98"/>
        </w:rPr>
        <w:br/>
        <w:t xml:space="preserve">    (0.00, '#000022'), (0.05, '#000055'), (0.10, '#001188'),</w:t>
      </w:r>
      <w:r>
        <w:rPr>
          <w:rFonts w:ascii="JetBrains Mono" w:eastAsia="JetBrains Mono" w:hAnsi="JetBrains Mono"/>
          <w:color w:val="D73A49"/>
          <w:w w:val="98"/>
        </w:rPr>
        <w:br/>
        <w:t xml:space="preserve">    (0.18, '#0044CC'), (0.25, '#0077FF'), (0.32, '#00AADD'),</w:t>
      </w:r>
      <w:r>
        <w:rPr>
          <w:rFonts w:ascii="JetBrains Mono" w:eastAsia="JetBrains Mono" w:hAnsi="JetBrains Mono"/>
          <w:color w:val="D73A49"/>
          <w:w w:val="98"/>
        </w:rPr>
        <w:br/>
        <w:t xml:space="preserve">    (0.40, '#00CCAA'), (0.48, '#22DD66'), (0.55, '#66EE22'),</w:t>
      </w:r>
      <w:r>
        <w:rPr>
          <w:rFonts w:ascii="JetBrains Mono" w:eastAsia="JetBrains Mono" w:hAnsi="JetBrains Mono"/>
          <w:color w:val="D73A49"/>
          <w:w w:val="98"/>
        </w:rPr>
        <w:br/>
        <w:t xml:space="preserve">    (0.62, '#AAEE00'), (0.70, '#DDDD00'), (0.78, '#FFBB00'),</w:t>
      </w:r>
      <w:r>
        <w:rPr>
          <w:rFonts w:ascii="JetBrains Mono" w:eastAsia="JetBrains Mono" w:hAnsi="JetBrains Mono"/>
          <w:color w:val="D73A49"/>
          <w:w w:val="98"/>
        </w:rPr>
        <w:br/>
        <w:t xml:space="preserve">    (0.85, '#FF7700'), (0.92, '#FF3300'), (1.00, '#FF0000'),</w:t>
      </w:r>
      <w:r>
        <w:rPr>
          <w:rFonts w:ascii="JetBrains Mono" w:eastAsia="JetBrains Mono" w:hAnsi="JetBrains Mono"/>
          <w:color w:val="D73A49"/>
          <w:w w:val="98"/>
        </w:rPr>
        <w:br/>
        <w:t>]</w:t>
      </w:r>
      <w:r>
        <w:rPr>
          <w:rFonts w:ascii="JetBrains Mono" w:eastAsia="JetBrains Mono" w:hAnsi="JetBrains Mono"/>
          <w:color w:val="D73A49"/>
          <w:w w:val="98"/>
        </w:rPr>
        <w:br/>
        <w:t>cmap_custom = LinearSegmentedColormap.from_list(</w:t>
      </w:r>
      <w:r>
        <w:rPr>
          <w:rFonts w:ascii="JetBrains Mono" w:eastAsia="JetBrains Mono" w:hAnsi="JetBrains Mono"/>
          <w:color w:val="D73A49"/>
          <w:w w:val="98"/>
        </w:rPr>
        <w:br/>
        <w:t xml:space="preserve">    'bmim', [(p, c) for p, c in colors_list])</w:t>
      </w:r>
      <w:r>
        <w:rPr>
          <w:rFonts w:ascii="JetBrains Mono" w:eastAsia="JetBrains Mono" w:hAnsi="JetBrains Mono"/>
          <w:color w:val="D73A49"/>
          <w:w w:val="98"/>
        </w:rPr>
        <w:br/>
        <w:t>norm = Normalize(vmin=0, vmax=Psi_noisy.max() * 0.85)</w:t>
      </w:r>
      <w:r>
        <w:rPr>
          <w:rFonts w:ascii="JetBrains Mono" w:eastAsia="JetBrains Mono" w:hAnsi="JetBrains Mono"/>
          <w:color w:val="D73A49"/>
          <w:w w:val="98"/>
        </w:rPr>
        <w:br/>
        <w:t>surf = ax.plot_surface(G_endo, G_exo, Psi_noisy,</w:t>
      </w:r>
      <w:r>
        <w:rPr>
          <w:rFonts w:ascii="JetBrains Mono" w:eastAsia="JetBrains Mono" w:hAnsi="JetBrains Mono"/>
          <w:color w:val="D73A49"/>
          <w:w w:val="98"/>
        </w:rPr>
        <w:br/>
        <w:t xml:space="preserve">                       facecolors=cmap_custom(norm(Psi_noisy)),</w:t>
      </w:r>
      <w:r>
        <w:rPr>
          <w:rFonts w:ascii="JetBrains Mono" w:eastAsia="JetBrains Mono" w:hAnsi="JetBrains Mono"/>
          <w:color w:val="D73A49"/>
          <w:w w:val="98"/>
        </w:rPr>
        <w:br/>
        <w:t xml:space="preserve">                       rstride=1, cstride=1, antialiased=True, alpha=0.95)</w:t>
      </w:r>
      <w:r>
        <w:rPr>
          <w:rFonts w:ascii="JetBrains Mono" w:eastAsia="JetBrains Mono" w:hAnsi="JetBrains Mono"/>
          <w:color w:val="D73A49"/>
          <w:w w:val="98"/>
        </w:rPr>
        <w:br/>
        <w:t># Critical threshold</w:t>
      </w:r>
      <w:r>
        <w:rPr>
          <w:rFonts w:ascii="JetBrains Mono" w:eastAsia="JetBrains Mono" w:hAnsi="JetBrains Mono"/>
          <w:color w:val="D73A49"/>
          <w:w w:val="98"/>
        </w:rPr>
        <w:br/>
        <w:t>g_e_c = np.linspace(0.36, 2.8, 150)</w:t>
      </w:r>
      <w:r>
        <w:rPr>
          <w:rFonts w:ascii="JetBrains Mono" w:eastAsia="JetBrains Mono" w:hAnsi="JetBrains Mono"/>
          <w:color w:val="D73A49"/>
          <w:w w:val="98"/>
        </w:rPr>
        <w:br/>
        <w:t>g_x_c = 1.0 / g_e_c</w:t>
      </w:r>
      <w:r>
        <w:rPr>
          <w:rFonts w:ascii="JetBrains Mono" w:eastAsia="JetBrains Mono" w:hAnsi="JetBrains Mono"/>
          <w:color w:val="D73A49"/>
          <w:w w:val="98"/>
        </w:rPr>
        <w:br/>
      </w:r>
      <w:r>
        <w:rPr>
          <w:rFonts w:ascii="JetBrains Mono" w:eastAsia="JetBrains Mono" w:hAnsi="JetBrains Mono"/>
          <w:color w:val="D73A49"/>
          <w:w w:val="98"/>
        </w:rPr>
        <w:lastRenderedPageBreak/>
        <w:t>mask = (g_x_c &gt;= 0.1) &amp; (g_x_c &lt;= 2.8)</w:t>
      </w:r>
      <w:r>
        <w:rPr>
          <w:rFonts w:ascii="JetBrains Mono" w:eastAsia="JetBrains Mono" w:hAnsi="JetBrains Mono"/>
          <w:color w:val="D73A49"/>
          <w:w w:val="98"/>
        </w:rPr>
        <w:br/>
        <w:t>ax.plot(g_e_c[mask], g_x_c[mask], np.zeros(mask.sum()) + 0.02,</w:t>
      </w:r>
      <w:r>
        <w:rPr>
          <w:rFonts w:ascii="JetBrains Mono" w:eastAsia="JetBrains Mono" w:hAnsi="JetBrains Mono"/>
          <w:color w:val="D73A49"/>
          <w:w w:val="98"/>
        </w:rPr>
        <w:br/>
        <w:t xml:space="preserve">        color='#FFD700', linewidth=3.0, zorder=10)</w:t>
      </w:r>
      <w:r>
        <w:rPr>
          <w:rFonts w:ascii="JetBrains Mono" w:eastAsia="JetBrains Mono" w:hAnsi="JetBrains Mono"/>
          <w:color w:val="D73A49"/>
          <w:w w:val="98"/>
        </w:rPr>
        <w:br/>
        <w:t># Clinical trajectories</w:t>
      </w:r>
      <w:r>
        <w:rPr>
          <w:rFonts w:ascii="JetBrains Mono" w:eastAsia="JetBrains Mono" w:hAnsi="JetBrains Mono"/>
          <w:color w:val="D73A49"/>
          <w:w w:val="98"/>
        </w:rPr>
        <w:br/>
        <w:t>t = np.linspace(0, 1, 60)</w:t>
      </w:r>
      <w:r>
        <w:rPr>
          <w:rFonts w:ascii="JetBrains Mono" w:eastAsia="JetBrains Mono" w:hAnsi="JetBrains Mono"/>
          <w:color w:val="D73A49"/>
          <w:w w:val="98"/>
        </w:rPr>
        <w:br/>
        <w:t>trajs = [</w:t>
      </w:r>
      <w:r>
        <w:rPr>
          <w:rFonts w:ascii="JetBrains Mono" w:eastAsia="JetBrains Mono" w:hAnsi="JetBrains Mono"/>
          <w:color w:val="D73A49"/>
          <w:w w:val="98"/>
        </w:rPr>
        <w:br/>
        <w:t xml:space="preserve">    (0.3 + 1.7*t**0.7, 0.3 + 1.4*t**0.8),</w:t>
      </w:r>
      <w:r>
        <w:rPr>
          <w:rFonts w:ascii="JetBrains Mono" w:eastAsia="JetBrains Mono" w:hAnsi="JetBrains Mono"/>
          <w:color w:val="D73A49"/>
          <w:w w:val="98"/>
        </w:rPr>
        <w:br/>
        <w:t xml:space="preserve">    (0.3 + 0.7*t**0.6, 0.4 + 0.6*t**0.8),</w:t>
      </w:r>
      <w:r>
        <w:rPr>
          <w:rFonts w:ascii="JetBrains Mono" w:eastAsia="JetBrains Mono" w:hAnsi="JetBrains Mono"/>
          <w:color w:val="D73A49"/>
          <w:w w:val="98"/>
        </w:rPr>
        <w:br/>
        <w:t xml:space="preserve">    (1.0 + 0.5*t + 0.1*np.sin(8*np.pi*t), 1.0 + 0.6*t + 0.15*np.cos(6*np.pi*t)),</w:t>
      </w:r>
      <w:r>
        <w:rPr>
          <w:rFonts w:ascii="JetBrains Mono" w:eastAsia="JetBrains Mono" w:hAnsi="JetBrains Mono"/>
          <w:color w:val="D73A49"/>
          <w:w w:val="98"/>
        </w:rPr>
        <w:br/>
        <w:t xml:space="preserve">    (1.4 + 1.0*t**1.3, 1.4 + 1.0*t**1.1),</w:t>
      </w:r>
      <w:r>
        <w:rPr>
          <w:rFonts w:ascii="JetBrains Mono" w:eastAsia="JetBrains Mono" w:hAnsi="JetBrains Mono"/>
          <w:color w:val="D73A49"/>
          <w:w w:val="98"/>
        </w:rPr>
        <w:br/>
        <w:t xml:space="preserve">    (2.0 - 1.5*t**0.4, 1.8 - 1.2*t**0.5),</w:t>
      </w:r>
      <w:r>
        <w:rPr>
          <w:rFonts w:ascii="JetBrains Mono" w:eastAsia="JetBrains Mono" w:hAnsi="JetBrains Mono"/>
          <w:color w:val="D73A49"/>
          <w:w w:val="98"/>
        </w:rPr>
        <w:br/>
        <w:t>]</w:t>
      </w:r>
      <w:r>
        <w:rPr>
          <w:rFonts w:ascii="JetBrains Mono" w:eastAsia="JetBrains Mono" w:hAnsi="JetBrains Mono"/>
          <w:color w:val="D73A49"/>
          <w:w w:val="98"/>
        </w:rPr>
        <w:br/>
        <w:t>for te, tx in trajs:</w:t>
      </w:r>
      <w:r>
        <w:rPr>
          <w:rFonts w:ascii="JetBrains Mono" w:eastAsia="JetBrains Mono" w:hAnsi="JetBrains Mono"/>
          <w:color w:val="D73A49"/>
          <w:w w:val="98"/>
        </w:rPr>
        <w:br/>
        <w:t xml:space="preserve">    tp = np.sqrt(np.maximum(0, te*tx - 1)) + 0.04</w:t>
      </w:r>
      <w:r>
        <w:rPr>
          <w:rFonts w:ascii="JetBrains Mono" w:eastAsia="JetBrains Mono" w:hAnsi="JetBrains Mono"/>
          <w:color w:val="D73A49"/>
          <w:w w:val="98"/>
        </w:rPr>
        <w:br/>
        <w:t xml:space="preserve">    ax.plot(te, tx, tp, color='white', linewidth=2.2, alpha=0.92, zorder=5)</w:t>
      </w:r>
      <w:r>
        <w:rPr>
          <w:rFonts w:ascii="JetBrains Mono" w:eastAsia="JetBrains Mono" w:hAnsi="JetBrains Mono"/>
          <w:color w:val="D73A49"/>
          <w:w w:val="98"/>
        </w:rPr>
        <w:br/>
        <w:t xml:space="preserve">    arrow = Arrow3D([te[-6], te[-1]], [tx[-6], tx[-1]], [tp[-6], tp[-1]],</w:t>
      </w:r>
      <w:r>
        <w:rPr>
          <w:rFonts w:ascii="JetBrains Mono" w:eastAsia="JetBrains Mono" w:hAnsi="JetBrains Mono"/>
          <w:color w:val="D73A49"/>
          <w:w w:val="98"/>
        </w:rPr>
        <w:br/>
        <w:t xml:space="preserve">                    mutation_scale=22, lw=2.5, arrowstyle='-|&gt;', color='white')</w:t>
      </w:r>
      <w:r>
        <w:rPr>
          <w:rFonts w:ascii="JetBrains Mono" w:eastAsia="JetBrains Mono" w:hAnsi="JetBrains Mono"/>
          <w:color w:val="D73A49"/>
          <w:w w:val="98"/>
        </w:rPr>
        <w:br/>
        <w:t xml:space="preserve">    ax.add_artist(arrow)</w:t>
      </w:r>
      <w:r>
        <w:rPr>
          <w:rFonts w:ascii="JetBrains Mono" w:eastAsia="JetBrains Mono" w:hAnsi="JetBrains Mono"/>
          <w:color w:val="D73A49"/>
          <w:w w:val="98"/>
        </w:rPr>
        <w:br/>
        <w:t># Annotations</w:t>
      </w:r>
      <w:r>
        <w:rPr>
          <w:rFonts w:ascii="JetBrains Mono" w:eastAsia="JetBrains Mono" w:hAnsi="JetBrains Mono"/>
          <w:color w:val="D73A49"/>
          <w:w w:val="98"/>
        </w:rPr>
        <w:br/>
        <w:t>ax.text(0.35, 0.35, 0.08, 'Coma / UWS', color='white', fontsize=14, fontweight='bold')</w:t>
      </w:r>
      <w:r>
        <w:rPr>
          <w:rFonts w:ascii="JetBrains Mono" w:eastAsia="JetBrains Mono" w:hAnsi="JetBrains Mono"/>
          <w:color w:val="D73A49"/>
          <w:w w:val="98"/>
        </w:rPr>
        <w:br/>
        <w:t>ax.text(0.85, 1.15, 0.12, 'MCS', color='#00CCFF', fontsize=14, fontweight='bold')</w:t>
      </w:r>
      <w:r>
        <w:rPr>
          <w:rFonts w:ascii="JetBrains Mono" w:eastAsia="JetBrains Mono" w:hAnsi="JetBrains Mono"/>
          <w:color w:val="D73A49"/>
          <w:w w:val="98"/>
        </w:rPr>
        <w:br/>
        <w:t>ax.text(1.4, 1.6, 0.95, 'Vigilance /\nDelirium', color='#FFEE00', fontsize=13, fontweight='bold')</w:t>
      </w:r>
      <w:r>
        <w:rPr>
          <w:rFonts w:ascii="JetBrains Mono" w:eastAsia="JetBrains Mono" w:hAnsi="JetBrains Mono"/>
          <w:color w:val="D73A49"/>
          <w:w w:val="98"/>
        </w:rPr>
        <w:br/>
        <w:t>ax.text(2.3, 2.3, 2.1, 'Epilepsy', color='#FF2200', fontsize=15, fontweight='bold',</w:t>
      </w:r>
      <w:r>
        <w:rPr>
          <w:rFonts w:ascii="JetBrains Mono" w:eastAsia="JetBrains Mono" w:hAnsi="JetBrains Mono"/>
          <w:color w:val="D73A49"/>
          <w:w w:val="98"/>
        </w:rPr>
        <w:br/>
        <w:t xml:space="preserve">        bbox=dict(boxstyle='round,pad=0.3', facecolor='black', edgecolor='red'))</w:t>
      </w:r>
      <w:r>
        <w:rPr>
          <w:rFonts w:ascii="JetBrains Mono" w:eastAsia="JetBrains Mono" w:hAnsi="JetBrains Mono"/>
          <w:color w:val="D73A49"/>
          <w:w w:val="98"/>
        </w:rPr>
        <w:br/>
        <w:t>ax.text(1.8, 0.6, 0.08, 'Critical Threshold', color='#FFD700', fontsize=12, fontweight='bold')</w:t>
      </w:r>
      <w:r>
        <w:rPr>
          <w:rFonts w:ascii="JetBrains Mono" w:eastAsia="JetBrains Mono" w:hAnsi="JetBrains Mono"/>
          <w:color w:val="D73A49"/>
          <w:w w:val="98"/>
        </w:rPr>
        <w:br/>
      </w:r>
      <w:r>
        <w:rPr>
          <w:rFonts w:ascii="JetBrains Mono" w:eastAsia="JetBrains Mono" w:hAnsi="JetBrains Mono"/>
          <w:color w:val="D73A49"/>
          <w:w w:val="98"/>
        </w:rPr>
        <w:br/>
        <w:t>ax.set_xlabel(r'$G_{\mathrm{endo}}$', fontsize=15, color='white', labelpad=12)</w:t>
      </w:r>
      <w:r>
        <w:rPr>
          <w:rFonts w:ascii="JetBrains Mono" w:eastAsia="JetBrains Mono" w:hAnsi="JetBrains Mono"/>
          <w:color w:val="D73A49"/>
          <w:w w:val="98"/>
        </w:rPr>
        <w:br/>
        <w:t>ax.set_ylabel(r'$G_{\mathrm{exo}}$', fontsize=15, color='white', labelpad=12)</w:t>
      </w:r>
      <w:r>
        <w:rPr>
          <w:rFonts w:ascii="JetBrains Mono" w:eastAsia="JetBrains Mono" w:hAnsi="JetBrains Mono"/>
          <w:color w:val="D73A49"/>
          <w:w w:val="98"/>
        </w:rPr>
        <w:br/>
        <w:t>ax.set_zlabel(r'$\Psi$ (Order Parameter)', fontsize=15, color='white', labelpad=12)</w:t>
      </w:r>
      <w:r>
        <w:rPr>
          <w:rFonts w:ascii="JetBrains Mono" w:eastAsia="JetBrains Mono" w:hAnsi="JetBrains Mono"/>
          <w:color w:val="D73A49"/>
          <w:w w:val="98"/>
        </w:rPr>
        <w:br/>
        <w:t>ax.set_title(r'3D Surface of $\Psi$ with Dynamic Clinical Trajectories',</w:t>
      </w:r>
      <w:r>
        <w:rPr>
          <w:rFonts w:ascii="JetBrains Mono" w:eastAsia="JetBrains Mono" w:hAnsi="JetBrains Mono"/>
          <w:color w:val="D73A49"/>
          <w:w w:val="98"/>
        </w:rPr>
        <w:br/>
        <w:t xml:space="preserve">             fontsize=18, color='white', fontweight='bold', pad=25)</w:t>
      </w:r>
      <w:r>
        <w:rPr>
          <w:rFonts w:ascii="JetBrains Mono" w:eastAsia="JetBrains Mono" w:hAnsi="JetBrains Mono"/>
          <w:color w:val="D73A49"/>
          <w:w w:val="98"/>
        </w:rPr>
        <w:br/>
        <w:t>ax.tick_params(axis='x', colors='white'); ax.tick_params(axis='y', colors='white')</w:t>
      </w:r>
      <w:r>
        <w:rPr>
          <w:rFonts w:ascii="JetBrains Mono" w:eastAsia="JetBrains Mono" w:hAnsi="JetBrains Mono"/>
          <w:color w:val="D73A49"/>
          <w:w w:val="98"/>
        </w:rPr>
        <w:br/>
        <w:t>ax.tick_params(axis='z', colors='white')</w:t>
      </w:r>
      <w:r>
        <w:rPr>
          <w:rFonts w:ascii="JetBrains Mono" w:eastAsia="JetBrains Mono" w:hAnsi="JetBrains Mono"/>
          <w:color w:val="D73A49"/>
          <w:w w:val="98"/>
        </w:rPr>
        <w:br/>
        <w:t>for pane in [ax.xaxis.pane, ax.yaxis.pane, ax.zaxis.pane]:</w:t>
      </w:r>
      <w:r>
        <w:rPr>
          <w:rFonts w:ascii="JetBrains Mono" w:eastAsia="JetBrains Mono" w:hAnsi="JetBrains Mono"/>
          <w:color w:val="D73A49"/>
          <w:w w:val="98"/>
        </w:rPr>
        <w:br/>
        <w:t xml:space="preserve">    pane.fill = True; pane.set_facecolor((0.03, 0.03, 0.08, 0.95))</w:t>
      </w:r>
      <w:r>
        <w:rPr>
          <w:rFonts w:ascii="JetBrains Mono" w:eastAsia="JetBrains Mono" w:hAnsi="JetBrains Mono"/>
          <w:color w:val="D73A49"/>
          <w:w w:val="98"/>
        </w:rPr>
        <w:br/>
        <w:t>ax.set_xlim(0.1, 2.8); ax.set_ylim(0.1, 2.8); ax.set_zlim(0, 2.2)</w:t>
      </w:r>
      <w:r>
        <w:rPr>
          <w:rFonts w:ascii="JetBrains Mono" w:eastAsia="JetBrains Mono" w:hAnsi="JetBrains Mono"/>
          <w:color w:val="D73A49"/>
          <w:w w:val="98"/>
        </w:rPr>
        <w:br/>
        <w:t>ax.view_init(elev=22, azim=-50)</w:t>
      </w:r>
      <w:r>
        <w:rPr>
          <w:rFonts w:ascii="JetBrains Mono" w:eastAsia="JetBrains Mono" w:hAnsi="JetBrains Mono"/>
          <w:color w:val="D73A49"/>
          <w:w w:val="98"/>
        </w:rPr>
        <w:br/>
        <w:t>plt.tight_layout()</w:t>
      </w:r>
      <w:r>
        <w:rPr>
          <w:rFonts w:ascii="JetBrains Mono" w:eastAsia="JetBrains Mono" w:hAnsi="JetBrains Mono"/>
          <w:color w:val="D73A49"/>
          <w:w w:val="98"/>
        </w:rPr>
        <w:br/>
        <w:t>plt.savefig('Supplementary_Figure_S3.png', dpi=300, bbox_inches='tight', facecolor='black')</w:t>
      </w:r>
      <w:r>
        <w:rPr>
          <w:rFonts w:ascii="JetBrains Mono" w:eastAsia="JetBrains Mono" w:hAnsi="JetBrains Mono"/>
          <w:color w:val="D73A49"/>
          <w:w w:val="98"/>
        </w:rPr>
        <w:br/>
        <w:t>plt.close()</w:t>
      </w:r>
      <w:r>
        <w:rPr>
          <w:rFonts w:ascii="JetBrains Mono" w:eastAsia="JetBrains Mono" w:hAnsi="JetBrains Mono"/>
          <w:color w:val="D73A49"/>
          <w:w w:val="98"/>
        </w:rPr>
        <w:br/>
        <w:t>print("Supplementary Figure S3 saved successfully.")</w:t>
      </w:r>
      <w:r>
        <w:rPr>
          <w:rFonts w:ascii="JetBrains Mono" w:eastAsia="JetBrains Mono" w:hAnsi="JetBrains Mono"/>
          <w:color w:val="D73A49"/>
          <w:w w:val="98"/>
        </w:rPr>
        <w:br/>
      </w:r>
    </w:p>
    <w:p w14:paraId="1CA73966" w14:textId="77777777" w:rsidR="00C23A68" w:rsidRDefault="00000000">
      <w:pPr>
        <w:autoSpaceDE w:val="0"/>
        <w:autoSpaceDN w:val="0"/>
        <w:spacing w:before="582" w:after="0" w:line="254" w:lineRule="auto"/>
        <w:ind w:right="1440"/>
      </w:pPr>
      <w:r>
        <w:rPr>
          <w:rFonts w:ascii="Caladea" w:eastAsia="Caladea" w:hAnsi="Caladea"/>
          <w:b/>
          <w:color w:val="34322D"/>
          <w:sz w:val="36"/>
        </w:rPr>
        <w:t>Supplementary Note S1. Why a Multiplicative (Not Additive) Gain Model</w:t>
      </w:r>
    </w:p>
    <w:p w14:paraId="5651D08D" w14:textId="77777777" w:rsidR="00C23A68" w:rsidRDefault="00000000">
      <w:pPr>
        <w:autoSpaceDE w:val="0"/>
        <w:autoSpaceDN w:val="0"/>
        <w:spacing w:before="152" w:after="0" w:line="278" w:lineRule="auto"/>
        <w:ind w:right="1008"/>
      </w:pPr>
      <w:r>
        <w:rPr>
          <w:rFonts w:ascii="Liberation Sans" w:eastAsia="Liberation Sans" w:hAnsi="Liberation Sans"/>
          <w:color w:val="34322D"/>
          <w:sz w:val="24"/>
        </w:rPr>
        <w:t xml:space="preserve">The choice of a multiplicative architecture for the total gain (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 </w:t>
      </w:r>
      <w:r>
        <w:rPr>
          <w:rFonts w:ascii="KaTeX_Math" w:eastAsia="KaTeX_Math" w:hAnsi="KaTeX_Math"/>
          <w:i/>
          <w:color w:val="34322D"/>
          <w:w w:val="101"/>
          <w:sz w:val="26"/>
        </w:rPr>
        <w:t xml:space="preserve">G </w:t>
      </w:r>
      <w:r>
        <w:rPr>
          <w:rFonts w:ascii="KaTeX_Math" w:eastAsia="KaTeX_Math" w:hAnsi="KaTeX_Math"/>
          <w:i/>
          <w:color w:val="34322D"/>
          <w:w w:val="102"/>
          <w:sz w:val="18"/>
        </w:rPr>
        <w:t>endo</w:t>
      </w:r>
      <w:r>
        <w:rPr>
          <w:rFonts w:ascii="KaTeX_Main" w:eastAsia="KaTeX_Main" w:hAnsi="KaTeX_Main"/>
          <w:color w:val="34322D"/>
          <w:w w:val="75"/>
          <w:sz w:val="2"/>
        </w:rPr>
        <w:t>​</w:t>
      </w:r>
      <w:r>
        <w:rPr>
          <w:rFonts w:ascii="KaTeX_Main" w:eastAsia="KaTeX_Main" w:hAnsi="KaTeX_Main"/>
          <w:color w:val="34322D"/>
          <w:w w:val="101"/>
          <w:sz w:val="26"/>
        </w:rPr>
        <w:t xml:space="preserve"> ×</w:t>
      </w:r>
      <w:r>
        <w:rPr>
          <w:rFonts w:ascii="KaTeX_Math" w:eastAsia="KaTeX_Math" w:hAnsi="KaTeX_Math"/>
          <w:i/>
          <w:color w:val="34322D"/>
          <w:w w:val="101"/>
          <w:sz w:val="26"/>
        </w:rPr>
        <w:t xml:space="preserve">G </w:t>
      </w:r>
      <w:r>
        <w:rPr>
          <w:rFonts w:ascii="KaTeX_Math" w:eastAsia="KaTeX_Math" w:hAnsi="KaTeX_Math"/>
          <w:i/>
          <w:color w:val="34322D"/>
          <w:w w:val="102"/>
          <w:sz w:val="18"/>
        </w:rPr>
        <w:t>exo</w:t>
      </w:r>
      <w:r>
        <w:rPr>
          <w:rFonts w:ascii="KaTeX_Main" w:eastAsia="KaTeX_Main" w:hAnsi="KaTeX_Main"/>
          <w:color w:val="34322D"/>
          <w:w w:val="75"/>
          <w:sz w:val="2"/>
        </w:rPr>
        <w:t>​</w:t>
      </w:r>
      <w:r>
        <w:rPr>
          <w:rFonts w:ascii="KaTeX_Main" w:eastAsia="KaTeX_Main" w:hAnsi="KaTeX_Main"/>
          <w:color w:val="34322D"/>
          <w:w w:val="101"/>
          <w:sz w:val="26"/>
        </w:rPr>
        <w:t xml:space="preserve"> ×</w:t>
      </w:r>
      <w:r>
        <w:rPr>
          <w:rFonts w:ascii="KaTeX_Math" w:eastAsia="KaTeX_Math" w:hAnsi="KaTeX_Math"/>
          <w:i/>
          <w:color w:val="34322D"/>
          <w:w w:val="101"/>
          <w:sz w:val="26"/>
        </w:rPr>
        <w:t xml:space="preserve">G </w:t>
      </w:r>
      <w:r>
        <w:rPr>
          <w:rFonts w:ascii="KaTeX_Math" w:eastAsia="KaTeX_Math" w:hAnsi="KaTeX_Math"/>
          <w:i/>
          <w:color w:val="34322D"/>
          <w:w w:val="102"/>
          <w:sz w:val="18"/>
        </w:rPr>
        <w:t xml:space="preserve">exec </w:t>
      </w:r>
      <w:r>
        <w:rPr>
          <w:rFonts w:ascii="Liberation Sans" w:eastAsia="Liberation Sans" w:hAnsi="Liberation Sans"/>
          <w:color w:val="34322D"/>
          <w:sz w:val="24"/>
        </w:rPr>
        <w:t xml:space="preserve">) rather than an additive one (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 </w:t>
      </w:r>
      <w:r>
        <w:rPr>
          <w:rFonts w:ascii="KaTeX_Math" w:eastAsia="KaTeX_Math" w:hAnsi="KaTeX_Math"/>
          <w:i/>
          <w:color w:val="34322D"/>
          <w:w w:val="101"/>
          <w:sz w:val="26"/>
        </w:rPr>
        <w:t xml:space="preserve">G </w:t>
      </w:r>
      <w:r>
        <w:rPr>
          <w:rFonts w:ascii="KaTeX_Math" w:eastAsia="KaTeX_Math" w:hAnsi="KaTeX_Math"/>
          <w:i/>
          <w:color w:val="34322D"/>
          <w:w w:val="102"/>
          <w:sz w:val="18"/>
        </w:rPr>
        <w:t>endo</w:t>
      </w:r>
      <w:r>
        <w:rPr>
          <w:rFonts w:ascii="KaTeX_Main" w:eastAsia="KaTeX_Main" w:hAnsi="KaTeX_Main"/>
          <w:color w:val="34322D"/>
          <w:w w:val="75"/>
          <w:sz w:val="2"/>
        </w:rPr>
        <w:t>​</w:t>
      </w:r>
      <w:r>
        <w:rPr>
          <w:rFonts w:ascii="KaTeX_Main" w:eastAsia="KaTeX_Main" w:hAnsi="KaTeX_Main"/>
          <w:color w:val="34322D"/>
          <w:w w:val="101"/>
          <w:sz w:val="26"/>
        </w:rPr>
        <w:t xml:space="preserve"> + </w:t>
      </w:r>
      <w:r>
        <w:rPr>
          <w:rFonts w:ascii="KaTeX_Math" w:eastAsia="KaTeX_Math" w:hAnsi="KaTeX_Math"/>
          <w:i/>
          <w:color w:val="34322D"/>
          <w:w w:val="101"/>
          <w:sz w:val="26"/>
        </w:rPr>
        <w:t xml:space="preserve">G </w:t>
      </w:r>
      <w:r>
        <w:rPr>
          <w:rFonts w:ascii="KaTeX_Math" w:eastAsia="KaTeX_Math" w:hAnsi="KaTeX_Math"/>
          <w:i/>
          <w:color w:val="34322D"/>
          <w:w w:val="102"/>
          <w:sz w:val="18"/>
        </w:rPr>
        <w:t>exo</w:t>
      </w:r>
      <w:r>
        <w:rPr>
          <w:rFonts w:ascii="KaTeX_Main" w:eastAsia="KaTeX_Main" w:hAnsi="KaTeX_Main"/>
          <w:color w:val="34322D"/>
          <w:w w:val="75"/>
          <w:sz w:val="2"/>
        </w:rPr>
        <w:t>​</w:t>
      </w:r>
      <w:r>
        <w:rPr>
          <w:rFonts w:ascii="KaTeX_Main" w:eastAsia="KaTeX_Main" w:hAnsi="KaTeX_Main"/>
          <w:color w:val="34322D"/>
          <w:w w:val="101"/>
          <w:sz w:val="26"/>
        </w:rPr>
        <w:t xml:space="preserve"> + </w:t>
      </w:r>
      <w:r>
        <w:rPr>
          <w:rFonts w:ascii="KaTeX_Math" w:eastAsia="KaTeX_Math" w:hAnsi="KaTeX_Math"/>
          <w:i/>
          <w:color w:val="34322D"/>
          <w:w w:val="101"/>
          <w:sz w:val="26"/>
        </w:rPr>
        <w:t>G</w:t>
      </w:r>
      <w:r>
        <w:rPr>
          <w:rFonts w:ascii="KaTeX_Math" w:eastAsia="KaTeX_Math" w:hAnsi="KaTeX_Math"/>
          <w:i/>
          <w:color w:val="34322D"/>
          <w:w w:val="102"/>
          <w:sz w:val="18"/>
        </w:rPr>
        <w:t xml:space="preserve">exec </w:t>
      </w:r>
      <w:r>
        <w:rPr>
          <w:rFonts w:ascii="Liberation Sans" w:eastAsia="Liberation Sans" w:hAnsi="Liberation Sans"/>
          <w:color w:val="34322D"/>
          <w:sz w:val="24"/>
        </w:rPr>
        <w:t xml:space="preserve">) is not merely a mathematical convenience but reflects a fundamental neurobiological constraint. The multiplicative structure encodes the empirical observation that consciousness requires the </w:t>
      </w:r>
      <w:r>
        <w:rPr>
          <w:rFonts w:ascii="Liberation Sans" w:eastAsia="Liberation Sans" w:hAnsi="Liberation Sans"/>
          <w:i/>
          <w:color w:val="34322D"/>
          <w:sz w:val="24"/>
        </w:rPr>
        <w:t>simultaneous</w:t>
      </w:r>
      <w:r>
        <w:rPr>
          <w:rFonts w:ascii="Liberation Sans" w:eastAsia="Liberation Sans" w:hAnsi="Liberation Sans"/>
          <w:color w:val="34322D"/>
          <w:sz w:val="24"/>
        </w:rPr>
        <w:t xml:space="preserve"> integrity of all three gain channels. This can be demonstrated through three converging lines of evidence:</w:t>
      </w:r>
    </w:p>
    <w:p w14:paraId="1BBA8A8A" w14:textId="77777777" w:rsidR="00C23A68" w:rsidRDefault="00000000">
      <w:pPr>
        <w:autoSpaceDE w:val="0"/>
        <w:autoSpaceDN w:val="0"/>
        <w:spacing w:before="198" w:after="0"/>
        <w:ind w:right="720"/>
      </w:pPr>
      <w:r>
        <w:rPr>
          <w:rFonts w:ascii="Liberation Sans" w:eastAsia="Liberation Sans" w:hAnsi="Liberation Sans"/>
          <w:b/>
          <w:color w:val="34322D"/>
          <w:sz w:val="24"/>
        </w:rPr>
        <w:lastRenderedPageBreak/>
        <w:t>Clinical evidence from brainstem death.</w:t>
      </w:r>
      <w:r>
        <w:rPr>
          <w:rFonts w:ascii="Liberation Sans" w:eastAsia="Liberation Sans" w:hAnsi="Liberation Sans"/>
          <w:color w:val="34322D"/>
          <w:sz w:val="24"/>
        </w:rPr>
        <w:t xml:space="preserve"> When the brainstem is irreversibly destroyed ( </w:t>
      </w:r>
      <w:r>
        <w:rPr>
          <w:rFonts w:ascii="KaTeX_Math" w:eastAsia="KaTeX_Math" w:hAnsi="KaTeX_Math"/>
          <w:i/>
          <w:color w:val="34322D"/>
          <w:w w:val="101"/>
          <w:sz w:val="26"/>
        </w:rPr>
        <w:t xml:space="preserve">G </w:t>
      </w:r>
      <w:r>
        <w:rPr>
          <w:rFonts w:ascii="KaTeX_Math" w:eastAsia="KaTeX_Math" w:hAnsi="KaTeX_Math"/>
          <w:i/>
          <w:color w:val="34322D"/>
          <w:w w:val="102"/>
          <w:sz w:val="18"/>
        </w:rPr>
        <w:t>endo</w:t>
      </w:r>
      <w:r>
        <w:rPr>
          <w:rFonts w:ascii="KaTeX_Main" w:eastAsia="KaTeX_Main" w:hAnsi="KaTeX_Main"/>
          <w:color w:val="34322D"/>
          <w:w w:val="75"/>
          <w:sz w:val="2"/>
        </w:rPr>
        <w:t>​</w:t>
      </w:r>
      <w:r>
        <w:rPr>
          <w:rFonts w:ascii="KaTeX_Main" w:eastAsia="KaTeX_Main" w:hAnsi="KaTeX_Main"/>
          <w:color w:val="34322D"/>
          <w:w w:val="101"/>
          <w:sz w:val="26"/>
        </w:rPr>
        <w:t xml:space="preserve"> = 0 </w:t>
      </w:r>
      <w:r>
        <w:rPr>
          <w:rFonts w:ascii="Liberation Sans" w:eastAsia="Liberation Sans" w:hAnsi="Liberation Sans"/>
          <w:color w:val="34322D"/>
          <w:sz w:val="24"/>
        </w:rPr>
        <w:t xml:space="preserve">), consciousness is permanently abolished regardless of the state of the other channels. In the multiplicative model,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 0 ×</w:t>
      </w:r>
      <w:r>
        <w:rPr>
          <w:rFonts w:ascii="KaTeX_Math" w:eastAsia="KaTeX_Math" w:hAnsi="KaTeX_Math"/>
          <w:i/>
          <w:color w:val="34322D"/>
          <w:w w:val="101"/>
          <w:sz w:val="26"/>
        </w:rPr>
        <w:t xml:space="preserve"> G </w:t>
      </w:r>
      <w:r>
        <w:rPr>
          <w:rFonts w:ascii="KaTeX_Math" w:eastAsia="KaTeX_Math" w:hAnsi="KaTeX_Math"/>
          <w:i/>
          <w:color w:val="34322D"/>
          <w:w w:val="102"/>
          <w:sz w:val="18"/>
        </w:rPr>
        <w:t>exo</w:t>
      </w:r>
      <w:r>
        <w:rPr>
          <w:rFonts w:ascii="KaTeX_Main" w:eastAsia="KaTeX_Main" w:hAnsi="KaTeX_Main"/>
          <w:color w:val="34322D"/>
          <w:w w:val="75"/>
          <w:sz w:val="2"/>
        </w:rPr>
        <w:t>​</w:t>
      </w:r>
      <w:r>
        <w:rPr>
          <w:rFonts w:ascii="KaTeX_Main" w:eastAsia="KaTeX_Main" w:hAnsi="KaTeX_Main"/>
          <w:color w:val="34322D"/>
          <w:w w:val="101"/>
          <w:sz w:val="26"/>
        </w:rPr>
        <w:t xml:space="preserve"> ×</w:t>
      </w:r>
      <w:r>
        <w:rPr>
          <w:rFonts w:ascii="KaTeX_Math" w:eastAsia="KaTeX_Math" w:hAnsi="KaTeX_Math"/>
          <w:i/>
          <w:color w:val="34322D"/>
          <w:w w:val="101"/>
          <w:sz w:val="26"/>
        </w:rPr>
        <w:t xml:space="preserve">G </w:t>
      </w:r>
      <w:r>
        <w:rPr>
          <w:rFonts w:ascii="KaTeX_Math" w:eastAsia="KaTeX_Math" w:hAnsi="KaTeX_Math"/>
          <w:i/>
          <w:color w:val="34322D"/>
          <w:w w:val="102"/>
          <w:sz w:val="18"/>
        </w:rPr>
        <w:t>exec</w:t>
      </w:r>
      <w:r>
        <w:rPr>
          <w:rFonts w:ascii="KaTeX_Main" w:eastAsia="KaTeX_Main" w:hAnsi="KaTeX_Main"/>
          <w:color w:val="34322D"/>
          <w:w w:val="75"/>
          <w:sz w:val="2"/>
        </w:rPr>
        <w:t>​</w:t>
      </w:r>
      <w:r>
        <w:rPr>
          <w:rFonts w:ascii="KaTeX_Main" w:eastAsia="KaTeX_Main" w:hAnsi="KaTeX_Main"/>
          <w:color w:val="34322D"/>
          <w:w w:val="101"/>
          <w:sz w:val="26"/>
        </w:rPr>
        <w:t xml:space="preserve"> = 0 </w:t>
      </w:r>
      <w:r>
        <w:rPr>
          <w:rFonts w:ascii="Liberation Sans" w:eastAsia="Liberation Sans" w:hAnsi="Liberation Sans"/>
          <w:color w:val="34322D"/>
          <w:sz w:val="24"/>
        </w:rPr>
        <w:t xml:space="preserve">, correctly predicting the impossibility of cognitive ignition. An additive model would yield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 0 +</w:t>
      </w:r>
      <w:r>
        <w:rPr>
          <w:rFonts w:ascii="KaTeX_Math" w:eastAsia="KaTeX_Math" w:hAnsi="KaTeX_Math"/>
          <w:i/>
          <w:color w:val="34322D"/>
          <w:w w:val="101"/>
          <w:sz w:val="26"/>
        </w:rPr>
        <w:t xml:space="preserve"> G </w:t>
      </w:r>
      <w:r>
        <w:rPr>
          <w:rFonts w:ascii="KaTeX_Math" w:eastAsia="KaTeX_Math" w:hAnsi="KaTeX_Math"/>
          <w:i/>
          <w:color w:val="34322D"/>
          <w:w w:val="102"/>
          <w:sz w:val="18"/>
        </w:rPr>
        <w:t>exo</w:t>
      </w:r>
      <w:r>
        <w:rPr>
          <w:rFonts w:ascii="KaTeX_Main" w:eastAsia="KaTeX_Main" w:hAnsi="KaTeX_Main"/>
          <w:color w:val="34322D"/>
          <w:w w:val="75"/>
          <w:sz w:val="2"/>
        </w:rPr>
        <w:t>​</w:t>
      </w:r>
      <w:r>
        <w:rPr>
          <w:rFonts w:ascii="KaTeX_Main" w:eastAsia="KaTeX_Main" w:hAnsi="KaTeX_Main"/>
          <w:color w:val="34322D"/>
          <w:w w:val="101"/>
          <w:sz w:val="26"/>
        </w:rPr>
        <w:t xml:space="preserve"> + </w:t>
      </w:r>
      <w:r>
        <w:rPr>
          <w:rFonts w:ascii="KaTeX_Math" w:eastAsia="KaTeX_Math" w:hAnsi="KaTeX_Math"/>
          <w:i/>
          <w:color w:val="34322D"/>
          <w:w w:val="101"/>
          <w:sz w:val="26"/>
        </w:rPr>
        <w:t xml:space="preserve">G </w:t>
      </w:r>
      <w:r>
        <w:rPr>
          <w:rFonts w:ascii="KaTeX_Math" w:eastAsia="KaTeX_Math" w:hAnsi="KaTeX_Math"/>
          <w:i/>
          <w:color w:val="34322D"/>
          <w:w w:val="102"/>
          <w:sz w:val="18"/>
        </w:rPr>
        <w:t xml:space="preserve">exec </w:t>
      </w:r>
      <w:r>
        <w:rPr>
          <w:rFonts w:ascii="Liberation Sans" w:eastAsia="Liberation Sans" w:hAnsi="Liberation Sans"/>
          <w:color w:val="34322D"/>
          <w:sz w:val="24"/>
        </w:rPr>
        <w:t>, incorrectly suggesting that sufficiently strong sensory stimulation or executive drive could restore consciousness in a brain-dead patient—a prediction falsified daily in intensive care units worldwide.</w:t>
      </w:r>
    </w:p>
    <w:p w14:paraId="5E619763" w14:textId="77777777" w:rsidR="00C23A68" w:rsidRDefault="00000000">
      <w:pPr>
        <w:autoSpaceDE w:val="0"/>
        <w:autoSpaceDN w:val="0"/>
        <w:spacing w:before="196" w:after="0" w:line="302" w:lineRule="auto"/>
        <w:ind w:right="864"/>
      </w:pPr>
      <w:r>
        <w:rPr>
          <w:rFonts w:ascii="Liberation Sans" w:eastAsia="Liberation Sans" w:hAnsi="Liberation Sans"/>
          <w:b/>
          <w:color w:val="34322D"/>
          <w:sz w:val="24"/>
        </w:rPr>
        <w:t>Biophysical evidence from cascade amplification.</w:t>
      </w:r>
      <w:r>
        <w:rPr>
          <w:rFonts w:ascii="Liberation Sans" w:eastAsia="Liberation Sans" w:hAnsi="Liberation Sans"/>
          <w:color w:val="34322D"/>
          <w:sz w:val="24"/>
        </w:rPr>
        <w:t xml:space="preserve"> Neural gain modulation operates through serial amplification stages: brainstem nuclei modulate thalamic relay neurons, which in turn modulate cortical responsiveness. Each stage multiplies (scales) the signal from the previous stage rather than adding an independent contribution. This cascade architecture is well-documented in the ascending arousal system, where cholinergic, noradrenergic, serotonergic, and histaminergic projections each provide a multiplicative scaling factor to thalamocortical transmission.</w:t>
      </w:r>
    </w:p>
    <w:p w14:paraId="60F9A733" w14:textId="77777777" w:rsidR="00C23A68" w:rsidRDefault="00C23A68">
      <w:pPr>
        <w:sectPr w:rsidR="00C23A68">
          <w:pgSz w:w="11918" w:h="16838"/>
          <w:pgMar w:top="562" w:right="0" w:bottom="0" w:left="840" w:header="720" w:footer="720" w:gutter="0"/>
          <w:cols w:space="720"/>
          <w:docGrid w:linePitch="360"/>
        </w:sectPr>
      </w:pPr>
    </w:p>
    <w:p w14:paraId="6490417E" w14:textId="77777777" w:rsidR="00C23A68" w:rsidRDefault="00C23A68">
      <w:pPr>
        <w:autoSpaceDE w:val="0"/>
        <w:autoSpaceDN w:val="0"/>
        <w:spacing w:after="384" w:line="220" w:lineRule="exact"/>
      </w:pPr>
    </w:p>
    <w:p w14:paraId="0D2D632E" w14:textId="77777777" w:rsidR="00C23A68" w:rsidRDefault="00000000">
      <w:pPr>
        <w:autoSpaceDE w:val="0"/>
        <w:autoSpaceDN w:val="0"/>
        <w:spacing w:after="0" w:line="300" w:lineRule="auto"/>
      </w:pPr>
      <w:r>
        <w:rPr>
          <w:rFonts w:ascii="Liberation Sans" w:eastAsia="Liberation Sans" w:hAnsi="Liberation Sans"/>
          <w:b/>
          <w:color w:val="34322D"/>
          <w:sz w:val="24"/>
        </w:rPr>
        <w:t>Information-theoretic evidence.</w:t>
      </w:r>
      <w:r>
        <w:rPr>
          <w:rFonts w:ascii="Liberation Sans" w:eastAsia="Liberation Sans" w:hAnsi="Liberation Sans"/>
          <w:color w:val="34322D"/>
          <w:sz w:val="24"/>
        </w:rPr>
        <w:t xml:space="preserve"> In a multiplicative system, the gain channels are not </w:t>
      </w:r>
      <w:r>
        <w:br/>
      </w:r>
      <w:r>
        <w:rPr>
          <w:rFonts w:ascii="Liberation Sans" w:eastAsia="Liberation Sans" w:hAnsi="Liberation Sans"/>
          <w:color w:val="34322D"/>
          <w:sz w:val="24"/>
        </w:rPr>
        <w:t xml:space="preserve">independent contributors but </w:t>
      </w:r>
      <w:r>
        <w:rPr>
          <w:rFonts w:ascii="Liberation Sans" w:eastAsia="Liberation Sans" w:hAnsi="Liberation Sans"/>
          <w:i/>
          <w:color w:val="34322D"/>
          <w:sz w:val="24"/>
        </w:rPr>
        <w:t>necessary conditions</w:t>
      </w:r>
      <w:r>
        <w:rPr>
          <w:rFonts w:ascii="Liberation Sans" w:eastAsia="Liberation Sans" w:hAnsi="Liberation Sans"/>
          <w:color w:val="34322D"/>
          <w:sz w:val="24"/>
        </w:rPr>
        <w:t xml:space="preserve">. This mirrors the logical AND structure of consciousness: arousal AND sensory access AND executive binding must all be present simultaneously. An additive model would imply an OR structure, where any single channel could independently produce consciousness—a prediction inconsistent with the clinical </w:t>
      </w:r>
      <w:r>
        <w:br/>
      </w:r>
      <w:r>
        <w:rPr>
          <w:rFonts w:ascii="Liberation Sans" w:eastAsia="Liberation Sans" w:hAnsi="Liberation Sans"/>
          <w:color w:val="34322D"/>
          <w:sz w:val="24"/>
        </w:rPr>
        <w:t>phenomenology of disorders of consciousness.</w:t>
      </w:r>
    </w:p>
    <w:p w14:paraId="21429E79" w14:textId="77777777" w:rsidR="00C23A68" w:rsidRDefault="00C23A68">
      <w:pPr>
        <w:sectPr w:rsidR="00C23A68">
          <w:pgSz w:w="11918" w:h="16838"/>
          <w:pgMar w:top="604" w:right="814" w:bottom="1440" w:left="840" w:header="720" w:footer="720" w:gutter="0"/>
          <w:cols w:space="720"/>
          <w:docGrid w:linePitch="360"/>
        </w:sectPr>
      </w:pPr>
    </w:p>
    <w:p w14:paraId="13C65BBB" w14:textId="77777777" w:rsidR="00C23A68" w:rsidRDefault="00C23A68">
      <w:pPr>
        <w:autoSpaceDE w:val="0"/>
        <w:autoSpaceDN w:val="0"/>
        <w:spacing w:after="376" w:line="220" w:lineRule="exact"/>
      </w:pPr>
    </w:p>
    <w:p w14:paraId="3BB9CB42" w14:textId="77777777" w:rsidR="00C23A68" w:rsidRDefault="00000000">
      <w:pPr>
        <w:autoSpaceDE w:val="0"/>
        <w:autoSpaceDN w:val="0"/>
        <w:spacing w:after="0" w:line="240" w:lineRule="auto"/>
      </w:pPr>
      <w:r>
        <w:rPr>
          <w:rFonts w:ascii="Caladea" w:eastAsia="Caladea" w:hAnsi="Caladea"/>
          <w:b/>
          <w:color w:val="34322D"/>
          <w:sz w:val="36"/>
        </w:rPr>
        <w:t>Supplementary Figure S4. BMIM II Cognitive Ignition</w:t>
      </w:r>
    </w:p>
    <w:p w14:paraId="61B770E6" w14:textId="77777777" w:rsidR="00C23A68" w:rsidRDefault="00C23A68">
      <w:pPr>
        <w:sectPr w:rsidR="00C23A68">
          <w:pgSz w:w="11918" w:h="16838"/>
          <w:pgMar w:top="596" w:right="1440" w:bottom="1440" w:left="840" w:header="720" w:footer="720" w:gutter="0"/>
          <w:cols w:space="720"/>
          <w:docGrid w:linePitch="360"/>
        </w:sectPr>
      </w:pPr>
    </w:p>
    <w:p w14:paraId="55732429" w14:textId="77777777" w:rsidR="00C23A68" w:rsidRDefault="00C23A68">
      <w:pPr>
        <w:autoSpaceDE w:val="0"/>
        <w:autoSpaceDN w:val="0"/>
        <w:spacing w:after="354" w:line="220" w:lineRule="exact"/>
      </w:pPr>
    </w:p>
    <w:p w14:paraId="3D3F155B" w14:textId="77777777" w:rsidR="00C23A68" w:rsidRDefault="00000000">
      <w:pPr>
        <w:autoSpaceDE w:val="0"/>
        <w:autoSpaceDN w:val="0"/>
        <w:spacing w:after="0" w:line="240" w:lineRule="auto"/>
      </w:pPr>
      <w:r>
        <w:rPr>
          <w:rFonts w:ascii="Caladea" w:eastAsia="Caladea" w:hAnsi="Caladea"/>
          <w:b/>
          <w:color w:val="34322D"/>
          <w:sz w:val="36"/>
        </w:rPr>
        <w:t>Engine Dynamics</w:t>
      </w:r>
    </w:p>
    <w:p w14:paraId="38232371" w14:textId="77777777" w:rsidR="00C23A68" w:rsidRDefault="00C23A68">
      <w:pPr>
        <w:sectPr w:rsidR="00C23A68">
          <w:pgSz w:w="11918" w:h="16838"/>
          <w:pgMar w:top="572" w:right="1440" w:bottom="1440" w:left="840" w:header="720" w:footer="720" w:gutter="0"/>
          <w:cols w:space="720"/>
          <w:docGrid w:linePitch="360"/>
        </w:sectPr>
      </w:pPr>
    </w:p>
    <w:p w14:paraId="371388A8" w14:textId="77777777" w:rsidR="00C23A68" w:rsidRDefault="00C23A68">
      <w:pPr>
        <w:autoSpaceDE w:val="0"/>
        <w:autoSpaceDN w:val="0"/>
        <w:spacing w:after="486" w:line="220" w:lineRule="exact"/>
      </w:pPr>
    </w:p>
    <w:p w14:paraId="036E705F" w14:textId="77777777" w:rsidR="00C23A68" w:rsidRDefault="00000000">
      <w:pPr>
        <w:autoSpaceDE w:val="0"/>
        <w:autoSpaceDN w:val="0"/>
        <w:spacing w:after="0" w:line="240" w:lineRule="auto"/>
        <w:jc w:val="center"/>
      </w:pPr>
      <w:r>
        <w:rPr>
          <w:noProof/>
        </w:rPr>
        <w:drawing>
          <wp:inline distT="0" distB="0" distL="0" distR="0" wp14:anchorId="6B2F3B0C" wp14:editId="0DF9290F">
            <wp:extent cx="6504940" cy="8591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6504940" cy="8591550"/>
                    </a:xfrm>
                    <a:prstGeom prst="rect">
                      <a:avLst/>
                    </a:prstGeom>
                  </pic:spPr>
                </pic:pic>
              </a:graphicData>
            </a:graphic>
          </wp:inline>
        </w:drawing>
      </w:r>
    </w:p>
    <w:p w14:paraId="3ED9B019" w14:textId="77777777" w:rsidR="00C23A68" w:rsidRDefault="00C23A68">
      <w:pPr>
        <w:sectPr w:rsidR="00C23A68">
          <w:pgSz w:w="11918" w:h="16838"/>
          <w:pgMar w:top="704" w:right="814" w:bottom="950" w:left="840" w:header="720" w:footer="720" w:gutter="0"/>
          <w:cols w:space="720"/>
          <w:docGrid w:linePitch="360"/>
        </w:sectPr>
      </w:pPr>
    </w:p>
    <w:p w14:paraId="404582C7" w14:textId="77777777" w:rsidR="00C23A68" w:rsidRDefault="00000000">
      <w:pPr>
        <w:autoSpaceDE w:val="0"/>
        <w:autoSpaceDN w:val="0"/>
        <w:spacing w:after="384" w:line="220" w:lineRule="exact"/>
      </w:pPr>
      <w:r>
        <w:rPr>
          <w:noProof/>
        </w:rPr>
        <w:lastRenderedPageBreak/>
        <w:drawing>
          <wp:anchor distT="0" distB="0" distL="0" distR="0" simplePos="0" relativeHeight="251661312" behindDoc="1" locked="0" layoutInCell="1" allowOverlap="1" wp14:anchorId="2AA8D4EE" wp14:editId="29FD75F2">
            <wp:simplePos x="0" y="0"/>
            <wp:positionH relativeFrom="page">
              <wp:posOffset>3619500</wp:posOffset>
            </wp:positionH>
            <wp:positionV relativeFrom="page">
              <wp:posOffset>2590800</wp:posOffset>
            </wp:positionV>
            <wp:extent cx="812800" cy="1778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stretch>
                      <a:fillRect/>
                    </a:stretch>
                  </pic:blipFill>
                  <pic:spPr>
                    <a:xfrm>
                      <a:off x="0" y="0"/>
                      <a:ext cx="812800" cy="177800"/>
                    </a:xfrm>
                    <a:prstGeom prst="rect">
                      <a:avLst/>
                    </a:prstGeom>
                  </pic:spPr>
                </pic:pic>
              </a:graphicData>
            </a:graphic>
          </wp:anchor>
        </w:drawing>
      </w:r>
    </w:p>
    <w:p w14:paraId="45B6E203" w14:textId="77777777" w:rsidR="00C23A68" w:rsidRDefault="00000000">
      <w:pPr>
        <w:tabs>
          <w:tab w:val="left" w:pos="208"/>
          <w:tab w:val="left" w:pos="300"/>
          <w:tab w:val="left" w:pos="600"/>
          <w:tab w:val="left" w:pos="652"/>
          <w:tab w:val="left" w:pos="784"/>
          <w:tab w:val="left" w:pos="952"/>
          <w:tab w:val="left" w:pos="1084"/>
          <w:tab w:val="left" w:pos="1440"/>
          <w:tab w:val="left" w:pos="2058"/>
          <w:tab w:val="left" w:pos="2396"/>
          <w:tab w:val="left" w:pos="3596"/>
          <w:tab w:val="left" w:pos="3860"/>
          <w:tab w:val="left" w:pos="4066"/>
          <w:tab w:val="left" w:pos="4160"/>
          <w:tab w:val="left" w:pos="4214"/>
          <w:tab w:val="left" w:pos="4460"/>
          <w:tab w:val="left" w:pos="4550"/>
          <w:tab w:val="left" w:pos="4666"/>
          <w:tab w:val="left" w:pos="4812"/>
          <w:tab w:val="left" w:pos="4944"/>
          <w:tab w:val="left" w:pos="5670"/>
          <w:tab w:val="left" w:pos="6164"/>
          <w:tab w:val="left" w:pos="6288"/>
          <w:tab w:val="left" w:pos="6372"/>
          <w:tab w:val="left" w:pos="6626"/>
          <w:tab w:val="left" w:pos="6764"/>
          <w:tab w:val="left" w:pos="7174"/>
          <w:tab w:val="left" w:pos="7306"/>
          <w:tab w:val="left" w:pos="8454"/>
          <w:tab w:val="left" w:pos="8762"/>
          <w:tab w:val="left" w:pos="9070"/>
          <w:tab w:val="left" w:pos="9378"/>
          <w:tab w:val="left" w:pos="9408"/>
          <w:tab w:val="left" w:pos="9848"/>
        </w:tabs>
        <w:autoSpaceDE w:val="0"/>
        <w:autoSpaceDN w:val="0"/>
        <w:spacing w:after="0" w:line="271" w:lineRule="auto"/>
      </w:pPr>
      <w:r>
        <w:rPr>
          <w:rFonts w:ascii="Liberation Sans" w:eastAsia="Liberation Sans" w:hAnsi="Liberation Sans"/>
          <w:b/>
          <w:color w:val="34322D"/>
          <w:sz w:val="24"/>
        </w:rPr>
        <w:t>Supplementary Figure S4. BMIM II Cognitive Ignition Engine.</w:t>
      </w:r>
      <w:r>
        <w:rPr>
          <w:rFonts w:ascii="Liberation Sans" w:eastAsia="Liberation Sans" w:hAnsi="Liberation Sans"/>
          <w:color w:val="34322D"/>
          <w:sz w:val="24"/>
        </w:rPr>
        <w:t xml:space="preserve"> Multi-panel </w:t>
      </w:r>
      <w:r>
        <w:br/>
      </w:r>
      <w:r>
        <w:rPr>
          <w:rFonts w:ascii="Liberation Sans" w:eastAsia="Liberation Sans" w:hAnsi="Liberation Sans"/>
          <w:color w:val="34322D"/>
          <w:sz w:val="24"/>
        </w:rPr>
        <w:t xml:space="preserve">visualization of an AI agent governed by Stuart-Landau dynamics with multiplicative tripartite gain and stochastic noise. </w:t>
      </w:r>
      <w:r>
        <w:rPr>
          <w:rFonts w:ascii="Liberation Sans" w:eastAsia="Liberation Sans" w:hAnsi="Liberation Sans"/>
          <w:i/>
          <w:color w:val="34322D"/>
          <w:sz w:val="24"/>
        </w:rPr>
        <w:t>(Top)</w:t>
      </w:r>
      <w:r>
        <w:rPr>
          <w:rFonts w:ascii="Liberation Sans" w:eastAsia="Liberation Sans" w:hAnsi="Liberation Sans"/>
          <w:color w:val="34322D"/>
          <w:sz w:val="24"/>
        </w:rPr>
        <w:t xml:space="preserve"> 24-hour simulated consciousness cycle of a neurotypical AI agent, showing circadian transitions between deep sleep (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≪1 </w:t>
      </w:r>
      <w:r>
        <w:rPr>
          <w:rFonts w:ascii="Liberation Sans" w:eastAsia="Liberation Sans" w:hAnsi="Liberation Sans"/>
          <w:color w:val="34322D"/>
          <w:sz w:val="24"/>
        </w:rPr>
        <w:t xml:space="preserve">), pericritical incubation (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≈1 </w:t>
      </w:r>
      <w:r>
        <w:rPr>
          <w:rFonts w:ascii="Liberation Sans" w:eastAsia="Liberation Sans" w:hAnsi="Liberation Sans"/>
          <w:color w:val="34322D"/>
          <w:sz w:val="24"/>
        </w:rPr>
        <w:t xml:space="preserve">), and full consciousness ( </w:t>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&gt; 1 </w:t>
      </w:r>
      <w:r>
        <w:rPr>
          <w:rFonts w:ascii="Liberation Sans" w:eastAsia="Liberation Sans" w:hAnsi="Liberation Sans"/>
          <w:color w:val="34322D"/>
          <w:sz w:val="24"/>
        </w:rPr>
        <w:t xml:space="preserve">). The red dashed line marks the critical threshold </w:t>
      </w:r>
      <w:r>
        <w:rPr>
          <w:rFonts w:ascii="KaTeX_Math" w:eastAsia="KaTeX_Math" w:hAnsi="KaTeX_Math"/>
          <w:i/>
          <w:color w:val="34322D"/>
          <w:w w:val="101"/>
          <w:sz w:val="26"/>
        </w:rPr>
        <w:t xml:space="preserve">G </w:t>
      </w:r>
      <w:r>
        <w:rPr>
          <w:rFonts w:ascii="KaTeX_Math" w:eastAsia="KaTeX_Math" w:hAnsi="KaTeX_Math"/>
          <w:i/>
          <w:color w:val="34322D"/>
          <w:w w:val="102"/>
          <w:sz w:val="18"/>
        </w:rPr>
        <w:t>c</w:t>
      </w:r>
      <w:r>
        <w:rPr>
          <w:rFonts w:ascii="KaTeX_Main" w:eastAsia="KaTeX_Main" w:hAnsi="KaTeX_Main"/>
          <w:color w:val="34322D"/>
          <w:w w:val="75"/>
          <w:sz w:val="2"/>
        </w:rPr>
        <w:t>​</w:t>
      </w:r>
      <w:r>
        <w:rPr>
          <w:rFonts w:ascii="KaTeX_Main" w:eastAsia="KaTeX_Main" w:hAnsi="KaTeX_Main"/>
          <w:color w:val="34322D"/>
          <w:w w:val="101"/>
          <w:sz w:val="26"/>
        </w:rPr>
        <w:t xml:space="preserve"> = 1 </w:t>
      </w:r>
      <w:r>
        <w:rPr>
          <w:rFonts w:ascii="Liberation Sans" w:eastAsia="Liberation Sans" w:hAnsi="Liberation Sans"/>
          <w:color w:val="34322D"/>
          <w:sz w:val="24"/>
        </w:rPr>
        <w:t xml:space="preserve">. </w:t>
      </w:r>
      <w:r>
        <w:rPr>
          <w:rFonts w:ascii="Liberation Sans" w:eastAsia="Liberation Sans" w:hAnsi="Liberation Sans"/>
          <w:i/>
          <w:color w:val="34322D"/>
          <w:sz w:val="24"/>
        </w:rPr>
        <w:t>(Middle Left)</w:t>
      </w:r>
      <w:r>
        <w:rPr>
          <w:rFonts w:ascii="Liberation Sans" w:eastAsia="Liberation Sans" w:hAnsi="Liberation Sans"/>
          <w:color w:val="34322D"/>
          <w:sz w:val="24"/>
        </w:rPr>
        <w:t xml:space="preserve"> Order parameter </w:t>
      </w:r>
      <w:r>
        <w:rPr>
          <w:rFonts w:ascii="KaTeX_Main" w:eastAsia="KaTeX_Main" w:hAnsi="KaTeX_Main"/>
          <w:color w:val="34322D"/>
          <w:w w:val="101"/>
          <w:sz w:val="26"/>
        </w:rPr>
        <w:t>Ψ(</w:t>
      </w:r>
      <w:r>
        <w:rPr>
          <w:rFonts w:ascii="KaTeX_Math" w:eastAsia="KaTeX_Math" w:hAnsi="KaTeX_Math"/>
          <w:i/>
          <w:color w:val="34322D"/>
          <w:w w:val="101"/>
          <w:sz w:val="26"/>
        </w:rPr>
        <w:t>t</w:t>
      </w:r>
      <w:r>
        <w:rPr>
          <w:rFonts w:ascii="KaTeX_Main" w:eastAsia="KaTeX_Main" w:hAnsi="KaTeX_Main"/>
          <w:color w:val="34322D"/>
          <w:w w:val="101"/>
          <w:sz w:val="26"/>
        </w:rPr>
        <w:t>)</w:t>
      </w:r>
      <w:r>
        <w:rPr>
          <w:rFonts w:ascii="Liberation Sans" w:eastAsia="Liberation Sans" w:hAnsi="Liberation Sans"/>
          <w:color w:val="34322D"/>
          <w:sz w:val="24"/>
        </w:rPr>
        <w:t xml:space="preserve"> traces for five cognitive profiles: rigid (</w:t>
      </w:r>
      <w:r>
        <w:rPr>
          <w:rFonts w:ascii="KaTeX_Math" w:eastAsia="KaTeX_Math" w:hAnsi="KaTeX_Math"/>
          <w:i/>
          <w:color w:val="34322D"/>
          <w:w w:val="101"/>
          <w:sz w:val="26"/>
        </w:rPr>
        <w:t>σ²</w:t>
      </w:r>
      <w:r>
        <w:rPr>
          <w:rFonts w:ascii="KaTeX_Main" w:eastAsia="KaTeX_Main" w:hAnsi="KaTeX_Main"/>
          <w:color w:val="34322D"/>
          <w:w w:val="101"/>
          <w:sz w:val="26"/>
        </w:rPr>
        <w:t xml:space="preserve">= 0.01 </w:t>
      </w:r>
      <w:r>
        <w:rPr>
          <w:rFonts w:ascii="Liberation Sans" w:eastAsia="Liberation Sans" w:hAnsi="Liberation Sans"/>
          <w:color w:val="34322D"/>
          <w:sz w:val="24"/>
        </w:rPr>
        <w:t>), neurotypical (</w:t>
      </w:r>
      <w:r>
        <w:rPr>
          <w:rFonts w:ascii="KaTeX_Math" w:eastAsia="KaTeX_Math" w:hAnsi="KaTeX_Math"/>
          <w:i/>
          <w:color w:val="34322D"/>
          <w:w w:val="101"/>
          <w:sz w:val="26"/>
        </w:rPr>
        <w:t>σ²</w:t>
      </w:r>
      <w:r>
        <w:rPr>
          <w:rFonts w:ascii="KaTeX_Main" w:eastAsia="KaTeX_Main" w:hAnsi="KaTeX_Main"/>
          <w:color w:val="34322D"/>
          <w:w w:val="101"/>
          <w:sz w:val="26"/>
        </w:rPr>
        <w:t xml:space="preserve">= 0.15 </w:t>
      </w:r>
      <w:r>
        <w:rPr>
          <w:rFonts w:ascii="Liberation Sans" w:eastAsia="Liberation Sans" w:hAnsi="Liberation Sans"/>
          <w:color w:val="34322D"/>
          <w:sz w:val="24"/>
        </w:rPr>
        <w:t>), creative (</w:t>
      </w:r>
      <w:r>
        <w:rPr>
          <w:rFonts w:ascii="KaTeX_Math" w:eastAsia="KaTeX_Math" w:hAnsi="KaTeX_Math"/>
          <w:i/>
          <w:color w:val="34322D"/>
          <w:w w:val="101"/>
          <w:sz w:val="26"/>
        </w:rPr>
        <w:t>σ²</w:t>
      </w:r>
      <w:r>
        <w:rPr>
          <w:rFonts w:ascii="KaTeX_Main" w:eastAsia="KaTeX_Main" w:hAnsi="KaTeX_Main"/>
          <w:color w:val="34322D"/>
          <w:w w:val="101"/>
          <w:sz w:val="26"/>
        </w:rPr>
        <w:t xml:space="preserve">= 0.20 </w:t>
      </w:r>
      <w:r>
        <w:rPr>
          <w:rFonts w:ascii="Liberation Sans" w:eastAsia="Liberation Sans" w:hAnsi="Liberation Sans"/>
          <w:color w:val="34322D"/>
          <w:sz w:val="24"/>
        </w:rPr>
        <w:t>), chaotic (</w:t>
      </w:r>
      <w:r>
        <w:rPr>
          <w:rFonts w:ascii="KaTeX_Math" w:eastAsia="KaTeX_Math" w:hAnsi="KaTeX_Math"/>
          <w:i/>
          <w:color w:val="34322D"/>
          <w:w w:val="101"/>
          <w:sz w:val="26"/>
        </w:rPr>
        <w:t>σ²</w:t>
      </w:r>
      <w:r>
        <w:rPr>
          <w:rFonts w:ascii="KaTeX_Main" w:eastAsia="KaTeX_Main" w:hAnsi="KaTeX_Main"/>
          <w:color w:val="34322D"/>
          <w:w w:val="101"/>
          <w:sz w:val="26"/>
        </w:rPr>
        <w:t xml:space="preserve">= 0.45 </w:t>
      </w:r>
      <w:r>
        <w:rPr>
          <w:rFonts w:ascii="Liberation Sans" w:eastAsia="Liberation Sans" w:hAnsi="Liberation Sans"/>
          <w:color w:val="34322D"/>
          <w:sz w:val="24"/>
        </w:rPr>
        <w:t>), and psychotic (</w:t>
      </w:r>
      <w:r>
        <w:rPr>
          <w:rFonts w:ascii="KaTeX_Math" w:eastAsia="KaTeX_Math" w:hAnsi="KaTeX_Math"/>
          <w:i/>
          <w:color w:val="34322D"/>
          <w:w w:val="101"/>
          <w:sz w:val="26"/>
        </w:rPr>
        <w:t>σ²</w:t>
      </w:r>
      <w:r>
        <w:rPr>
          <w:rFonts w:ascii="KaTeX_Main" w:eastAsia="KaTeX_Main" w:hAnsi="KaTeX_Main"/>
          <w:color w:val="34322D"/>
          <w:w w:val="101"/>
          <w:sz w:val="26"/>
        </w:rPr>
        <w:t xml:space="preserve">= 1.0 </w:t>
      </w:r>
      <w:r>
        <w:rPr>
          <w:rFonts w:ascii="Liberation Sans" w:eastAsia="Liberation Sans" w:hAnsi="Liberation Sans"/>
          <w:color w:val="34322D"/>
          <w:sz w:val="24"/>
        </w:rPr>
        <w:t>). This computational engine serves as a proof-of-concept demonstrating the generalizability of the BMIM II framework beyond biological neural systems.</w:t>
      </w:r>
    </w:p>
    <w:p w14:paraId="14095F24" w14:textId="77777777" w:rsidR="00C23A68" w:rsidRDefault="00000000">
      <w:pPr>
        <w:tabs>
          <w:tab w:val="left" w:pos="3094"/>
          <w:tab w:val="left" w:pos="3302"/>
          <w:tab w:val="left" w:pos="3698"/>
          <w:tab w:val="left" w:pos="4388"/>
          <w:tab w:val="left" w:pos="4732"/>
          <w:tab w:val="left" w:pos="4938"/>
          <w:tab w:val="left" w:pos="5086"/>
          <w:tab w:val="left" w:pos="5234"/>
          <w:tab w:val="left" w:pos="5294"/>
          <w:tab w:val="left" w:pos="5688"/>
          <w:tab w:val="left" w:pos="5768"/>
          <w:tab w:val="left" w:pos="5976"/>
          <w:tab w:val="left" w:pos="6142"/>
          <w:tab w:val="left" w:pos="6346"/>
        </w:tabs>
        <w:autoSpaceDE w:val="0"/>
        <w:autoSpaceDN w:val="0"/>
        <w:spacing w:before="72" w:after="36" w:line="286" w:lineRule="auto"/>
      </w:pPr>
      <w:r>
        <w:rPr>
          <w:rFonts w:ascii="Liberation Sans" w:eastAsia="Liberation Sans" w:hAnsi="Liberation Sans"/>
          <w:i/>
          <w:color w:val="34322D"/>
          <w:sz w:val="24"/>
        </w:rPr>
        <w:t>(Middle Right)</w:t>
      </w:r>
      <w:r>
        <w:rPr>
          <w:rFonts w:ascii="Liberation Sans" w:eastAsia="Liberation Sans" w:hAnsi="Liberation Sans"/>
          <w:color w:val="34322D"/>
          <w:sz w:val="24"/>
        </w:rPr>
        <w:t xml:space="preserve"> Phase space trajectories of the mean field in the complex plane, showing convergence to the theoretical limit cycle </w:t>
      </w:r>
      <w:r>
        <w:rPr>
          <w:rFonts w:ascii="KaTeX_Math" w:eastAsia="KaTeX_Math" w:hAnsi="KaTeX_Math"/>
          <w:i/>
          <w:color w:val="34322D"/>
          <w:w w:val="101"/>
          <w:sz w:val="26"/>
        </w:rPr>
        <w:t>r</w:t>
      </w:r>
      <w:r>
        <w:rPr>
          <w:rFonts w:ascii="KaTeX_Main" w:eastAsia="KaTeX_Main" w:hAnsi="KaTeX_Main"/>
          <w:color w:val="34322D"/>
          <w:w w:val="101"/>
          <w:sz w:val="26"/>
        </w:rPr>
        <w:t xml:space="preserve">= </w:t>
      </w:r>
      <w:r>
        <w:tab/>
      </w:r>
      <w:r>
        <w:tab/>
      </w:r>
      <w:r>
        <w:rPr>
          <w:rFonts w:ascii="KaTeX_Math" w:eastAsia="KaTeX_Math" w:hAnsi="KaTeX_Math"/>
          <w:i/>
          <w:color w:val="34322D"/>
          <w:w w:val="101"/>
          <w:sz w:val="26"/>
        </w:rPr>
        <w:t xml:space="preserve">G </w:t>
      </w:r>
      <w:r>
        <w:rPr>
          <w:rFonts w:ascii="KaTeX_Math" w:eastAsia="KaTeX_Math" w:hAnsi="KaTeX_Math"/>
          <w:i/>
          <w:color w:val="34322D"/>
          <w:w w:val="102"/>
          <w:sz w:val="18"/>
        </w:rPr>
        <w:t>total</w:t>
      </w:r>
      <w:r>
        <w:rPr>
          <w:rFonts w:ascii="KaTeX_Main" w:eastAsia="KaTeX_Main" w:hAnsi="KaTeX_Main"/>
          <w:color w:val="34322D"/>
          <w:w w:val="75"/>
          <w:sz w:val="2"/>
        </w:rPr>
        <w:t>​</w:t>
      </w:r>
      <w:r>
        <w:rPr>
          <w:rFonts w:ascii="KaTeX_Main" w:eastAsia="KaTeX_Main" w:hAnsi="KaTeX_Main"/>
          <w:color w:val="34322D"/>
          <w:w w:val="101"/>
          <w:sz w:val="26"/>
        </w:rPr>
        <w:t xml:space="preserve"> −1 </w:t>
      </w:r>
      <w:r>
        <w:rPr>
          <w:rFonts w:ascii="Liberation Sans" w:eastAsia="Liberation Sans" w:hAnsi="Liberation Sans"/>
          <w:color w:val="34322D"/>
          <w:sz w:val="24"/>
        </w:rPr>
        <w:t xml:space="preserve">. </w:t>
      </w:r>
      <w:r>
        <w:rPr>
          <w:rFonts w:ascii="Liberation Sans" w:eastAsia="Liberation Sans" w:hAnsi="Liberation Sans"/>
          <w:i/>
          <w:color w:val="34322D"/>
          <w:sz w:val="24"/>
        </w:rPr>
        <w:t>(Bottom Left)</w:t>
      </w:r>
      <w:r>
        <w:rPr>
          <w:rFonts w:ascii="Liberation Sans" w:eastAsia="Liberation Sans" w:hAnsi="Liberation Sans"/>
          <w:color w:val="34322D"/>
          <w:sz w:val="24"/>
        </w:rPr>
        <w:t xml:space="preserve"> Demonstration of the multiplicative collapse: when </w:t>
      </w:r>
      <w:r>
        <w:br/>
      </w:r>
      <w:r>
        <w:rPr>
          <w:rFonts w:ascii="KaTeX_Math" w:eastAsia="KaTeX_Math" w:hAnsi="KaTeX_Math"/>
          <w:i/>
          <w:color w:val="34322D"/>
          <w:w w:val="101"/>
          <w:sz w:val="26"/>
        </w:rPr>
        <w:t xml:space="preserve">G </w:t>
      </w:r>
      <w:r>
        <w:rPr>
          <w:rFonts w:ascii="KaTeX_Math" w:eastAsia="KaTeX_Math" w:hAnsi="KaTeX_Math"/>
          <w:i/>
          <w:color w:val="34322D"/>
          <w:w w:val="102"/>
          <w:sz w:val="18"/>
        </w:rPr>
        <w:t>endo</w:t>
      </w:r>
      <w:r>
        <w:rPr>
          <w:rFonts w:ascii="Liberation Sans" w:eastAsia="Liberation Sans" w:hAnsi="Liberation Sans"/>
          <w:color w:val="34322D"/>
          <w:sz w:val="24"/>
        </w:rPr>
        <w:t xml:space="preserve"> drops to zero (simulated brainstem death), the order parameter collapses irreversibly, even when </w:t>
      </w:r>
      <w:r>
        <w:rPr>
          <w:rFonts w:ascii="KaTeX_Math" w:eastAsia="KaTeX_Math" w:hAnsi="KaTeX_Math"/>
          <w:i/>
          <w:color w:val="34322D"/>
          <w:w w:val="101"/>
          <w:sz w:val="26"/>
        </w:rPr>
        <w:t xml:space="preserve">G </w:t>
      </w:r>
      <w:r>
        <w:rPr>
          <w:rFonts w:ascii="KaTeX_Math" w:eastAsia="KaTeX_Math" w:hAnsi="KaTeX_Math"/>
          <w:i/>
          <w:color w:val="34322D"/>
          <w:w w:val="102"/>
          <w:sz w:val="18"/>
        </w:rPr>
        <w:t>exo</w:t>
      </w:r>
      <w:r>
        <w:rPr>
          <w:rFonts w:ascii="Liberation Sans" w:eastAsia="Liberation Sans" w:hAnsi="Liberation Sans"/>
          <w:color w:val="34322D"/>
          <w:sz w:val="24"/>
        </w:rPr>
        <w:t xml:space="preserve"> and </w:t>
      </w:r>
      <w:r>
        <w:rPr>
          <w:rFonts w:ascii="KaTeX_Math" w:eastAsia="KaTeX_Math" w:hAnsi="KaTeX_Math"/>
          <w:i/>
          <w:color w:val="34322D"/>
          <w:w w:val="101"/>
          <w:sz w:val="26"/>
        </w:rPr>
        <w:t xml:space="preserve">G </w:t>
      </w:r>
      <w:r>
        <w:rPr>
          <w:rFonts w:ascii="KaTeX_Math" w:eastAsia="KaTeX_Math" w:hAnsi="KaTeX_Math"/>
          <w:i/>
          <w:color w:val="34322D"/>
          <w:w w:val="102"/>
          <w:sz w:val="18"/>
        </w:rPr>
        <w:t>exec</w:t>
      </w:r>
      <w:r>
        <w:rPr>
          <w:rFonts w:ascii="Liberation Sans" w:eastAsia="Liberation Sans" w:hAnsi="Liberation Sans"/>
          <w:color w:val="34322D"/>
          <w:sz w:val="24"/>
        </w:rPr>
        <w:t xml:space="preserve"> are increased to 5.0. </w:t>
      </w:r>
      <w:r>
        <w:rPr>
          <w:rFonts w:ascii="Liberation Sans" w:eastAsia="Liberation Sans" w:hAnsi="Liberation Sans"/>
          <w:i/>
          <w:color w:val="34322D"/>
          <w:sz w:val="24"/>
        </w:rPr>
        <w:t xml:space="preserve">(Bottom Right) </w:t>
      </w:r>
      <w:r>
        <w:rPr>
          <w:rFonts w:ascii="Liberation Sans" w:eastAsia="Liberation Sans" w:hAnsi="Liberation Sans"/>
          <w:color w:val="34322D"/>
          <w:sz w:val="24"/>
        </w:rPr>
        <w:t>Dream state simulation showing subthreshold pericritical fluctuations with spontaneous “eureka</w:t>
      </w:r>
    </w:p>
    <w:tbl>
      <w:tblPr>
        <w:tblW w:w="0" w:type="auto"/>
        <w:tblLayout w:type="fixed"/>
        <w:tblLook w:val="04A0" w:firstRow="1" w:lastRow="0" w:firstColumn="1" w:lastColumn="0" w:noHBand="0" w:noVBand="1"/>
      </w:tblPr>
      <w:tblGrid>
        <w:gridCol w:w="10244"/>
      </w:tblGrid>
      <w:tr w:rsidR="00C23A68" w14:paraId="272B0F1D" w14:textId="77777777">
        <w:trPr>
          <w:trHeight w:hRule="exact" w:val="610"/>
        </w:trPr>
        <w:tc>
          <w:tcPr>
            <w:tcW w:w="10244" w:type="dxa"/>
            <w:tcBorders>
              <w:bottom w:val="single" w:sz="5" w:space="0" w:color="000000"/>
            </w:tcBorders>
            <w:tcMar>
              <w:left w:w="0" w:type="dxa"/>
              <w:right w:w="0" w:type="dxa"/>
            </w:tcMar>
          </w:tcPr>
          <w:p w14:paraId="46939795" w14:textId="77777777" w:rsidR="00C23A68" w:rsidRDefault="00000000">
            <w:pPr>
              <w:autoSpaceDE w:val="0"/>
              <w:autoSpaceDN w:val="0"/>
              <w:spacing w:before="34" w:after="0" w:line="223" w:lineRule="auto"/>
            </w:pPr>
            <w:r>
              <w:rPr>
                <w:rFonts w:ascii="Liberation Sans" w:eastAsia="Liberation Sans" w:hAnsi="Liberation Sans"/>
                <w:color w:val="34322D"/>
                <w:sz w:val="24"/>
              </w:rPr>
              <w:t xml:space="preserve">moments” (yellow stars) where </w:t>
            </w:r>
            <w:r>
              <w:rPr>
                <w:rFonts w:ascii="KaTeX_Main" w:eastAsia="KaTeX_Main" w:hAnsi="KaTeX_Main"/>
                <w:color w:val="34322D"/>
                <w:w w:val="101"/>
                <w:sz w:val="26"/>
              </w:rPr>
              <w:t>Ψ</w:t>
            </w:r>
            <w:r>
              <w:rPr>
                <w:rFonts w:ascii="Liberation Sans" w:eastAsia="Liberation Sans" w:hAnsi="Liberation Sans"/>
                <w:color w:val="34322D"/>
                <w:sz w:val="24"/>
              </w:rPr>
              <w:t xml:space="preserve"> transiently crosses the insight threshold.</w:t>
            </w:r>
          </w:p>
        </w:tc>
      </w:tr>
    </w:tbl>
    <w:p w14:paraId="39EF9929" w14:textId="77777777" w:rsidR="00C23A68" w:rsidRDefault="00000000">
      <w:pPr>
        <w:autoSpaceDE w:val="0"/>
        <w:autoSpaceDN w:val="0"/>
        <w:spacing w:before="584" w:after="0" w:line="254" w:lineRule="auto"/>
        <w:ind w:right="1008"/>
      </w:pPr>
      <w:r>
        <w:rPr>
          <w:rFonts w:ascii="Caladea" w:eastAsia="Caladea" w:hAnsi="Caladea"/>
          <w:b/>
          <w:color w:val="34322D"/>
          <w:sz w:val="36"/>
        </w:rPr>
        <w:t>Supplementary Code S2. BMIM II Cognitive Ignition Engine (Python)</w:t>
      </w:r>
    </w:p>
    <w:p w14:paraId="37D39AA1" w14:textId="77777777" w:rsidR="00C23A68" w:rsidRDefault="00000000">
      <w:pPr>
        <w:autoSpaceDE w:val="0"/>
        <w:autoSpaceDN w:val="0"/>
        <w:spacing w:before="174" w:after="0" w:line="293" w:lineRule="auto"/>
        <w:ind w:right="288"/>
      </w:pPr>
      <w:r>
        <w:rPr>
          <w:rFonts w:ascii="Liberation Sans" w:eastAsia="Liberation Sans" w:hAnsi="Liberation Sans"/>
          <w:color w:val="34322D"/>
          <w:sz w:val="24"/>
        </w:rPr>
        <w:t>The following code implements the complete Cognitive Ignition Engine described in Section 7 of the main manuscript. It creates a network of 64 coupled Stuart-Landau oscillators with dynamic tripartite gain modulation and adjustable stochastic noise, enabling simulation of different cognitive profiles and consciousness states.</w:t>
      </w:r>
    </w:p>
    <w:p w14:paraId="4BDFD912" w14:textId="77777777" w:rsidR="00C23A68" w:rsidRDefault="00C23A68">
      <w:pPr>
        <w:sectPr w:rsidR="00C23A68">
          <w:pgSz w:w="11918" w:h="16838"/>
          <w:pgMar w:top="604" w:right="814" w:bottom="1440" w:left="840" w:header="720" w:footer="720" w:gutter="0"/>
          <w:cols w:space="720"/>
          <w:docGrid w:linePitch="360"/>
        </w:sectPr>
      </w:pPr>
    </w:p>
    <w:p w14:paraId="6597656C" w14:textId="77777777" w:rsidR="00C23A68" w:rsidRDefault="00C23A68">
      <w:pPr>
        <w:autoSpaceDE w:val="0"/>
        <w:autoSpaceDN w:val="0"/>
        <w:spacing w:after="342" w:line="220" w:lineRule="exact"/>
      </w:pPr>
    </w:p>
    <w:p w14:paraId="7C1AD0EC" w14:textId="77777777" w:rsidR="00C23A68" w:rsidRDefault="00000000">
      <w:pPr>
        <w:autoSpaceDE w:val="0"/>
        <w:autoSpaceDN w:val="0"/>
        <w:spacing w:before="360" w:after="0" w:line="259" w:lineRule="auto"/>
        <w:ind w:left="472" w:right="5328"/>
      </w:pPr>
      <w:r>
        <w:rPr>
          <w:rFonts w:ascii="JetBrains Mono" w:eastAsia="JetBrains Mono" w:hAnsi="JetBrains Mono"/>
          <w:color w:val="D73A49"/>
          <w:w w:val="98"/>
        </w:rPr>
        <w:t>"""</w:t>
        <w:br/>
        <w:t>BMIM II Cognitive Ignition Engine</w:t>
        <w:br/>
        <w:t>========================================</w:t>
        <w:br/>
        <w:t>AI agent governed by Stuart-Landau dynamics with</w:t>
        <w:br/>
        <w:t>multiplicative tripartite gain and stochastic noise.</w:t>
        <w:br/>
        <w:t>Author: Francisco Dominguez Jones</w:t>
        <w:br/>
        <w:t>License: CC-BY 4.0</w:t>
        <w:br/>
        <w:br/>
        <w:t>Nomenclature note:</w:t>
        <w:br/>
        <w:t xml:space="preserve">    Ψ = R(t) = |&lt;z&gt;| : order parameter (Kuramoto R ≡ BMIM II Ψ)</w:t>
        <w:br/>
        <w:t xml:space="preserve">    σ² : metabolic noise variance (optimal window: [0.1, 0.4])</w:t>
        <w:br/>
        <w:t xml:space="preserve">    G_total = G_endo × G_exo × G_exec : multiplicative gain</w:t>
        <w:br/>
        <w:t xml:space="preserve">    G_c = 1 : critical threshold for cognitive ignition</w:t>
        <w:br/>
        <w:t>"""</w:t>
        <w:br/>
        <w:t>import numpy as np</w:t>
        <w:br/>
        <w:t>import matplotlib</w:t>
        <w:br/>
        <w:t>matplotlib.use('Agg')</w:t>
        <w:br/>
        <w:t>import matplotlib.pyplot as plt</w:t>
        <w:br/>
        <w:t>from matplotlib.gridspec import GridSpec</w:t>
        <w:br/>
        <w:br/>
        <w:t>class BMIMIgnitionEngine:</w:t>
        <w:br/>
        <w:t xml:space="preserve">    """</w:t>
        <w:br/>
        <w:t xml:space="preserve">    Core cognitive ignition engine based on BMIM II.</w:t>
        <w:br/>
        <w:t xml:space="preserve">    Each module is a Stuart-Landau oscillator:</w:t>
        <w:br/>
        <w:t xml:space="preserve">      dz/dt = z(a + iw - |z|^2) + K*(m - z) + eta(t)</w:t>
        <w:br/>
        <w:t xml:space="preserve">    where m = &lt;z&gt; is the mean field (equivalent to K*sum(C_jk*(z_k-z_j))/N for all-to-all coupling)</w:t>
        <w:br/>
        <w:t xml:space="preserve">    where a = G_endo * G_exo * G_exec - 1</w:t>
        <w:br/>
        <w:t xml:space="preserve">    """</w:t>
        <w:br/>
        <w:t xml:space="preserve">    def __init__(self, n_modules=64, coupling_strength=0.5, dt=0.01):</w:t>
        <w:br/>
        <w:t xml:space="preserve">        self.N = n_modules</w:t>
        <w:br/>
        <w:t xml:space="preserve">        self.K = coupling_strength</w:t>
        <w:br/>
        <w:t xml:space="preserve">        self.dt = dt</w:t>
        <w:br/>
        <w:t xml:space="preserve">        self.omega = np.random.normal(10.0, 0.1, self.N)</w:t>
        <w:br/>
        <w:t xml:space="preserve">        C = np.random.rand(self.N, self.N)</w:t>
        <w:br/>
        <w:t xml:space="preserve">        C = (C + C.T) / 2</w:t>
        <w:br/>
        <w:t xml:space="preserve">        C[C &lt; 0.7] = 0</w:t>
        <w:br/>
        <w:t xml:space="preserve">        np.fill_diagonal(C, 0)</w:t>
        <w:br/>
        <w:t xml:space="preserve">        self.C = C / np.max(C)</w:t>
        <w:br/>
        <w:t xml:space="preserve">        self.z = np.random.randn(self.N) * 0.01 + 1j * np.random.randn(self.N) * 0.01</w:t>
        <w:br/>
        <w:t xml:space="preserve">        self.G_endo = 1.0</w:t>
        <w:br/>
        <w:t xml:space="preserve">        self.G_exo = 1.0</w:t>
        <w:br/>
        <w:t xml:space="preserve">        self.G_exec = 1.0</w:t>
        <w:br/>
        <w:t xml:space="preserve">        self.sigma2 = 0.15  # within optimal window [0.1, 0.4]</w:t>
        <w:br/>
        <w:t xml:space="preserve">        self.history = {'time': [], 'Psi': [], 'G_total': [], 'state': []}</w:t>
        <w:br/>
        <w:t xml:space="preserve">        self.time = 0.0</w:t>
        <w:br/>
        <w:br/>
        <w:t xml:space="preserve">    @property</w:t>
        <w:br/>
        <w:t xml:space="preserve">    def G_total(self):</w:t>
        <w:br/>
        <w:t xml:space="preserve">        return self.G_endo * self.G_exo * self.G_exec</w:t>
        <w:br/>
        <w:br/>
        <w:t xml:space="preserve">    @property</w:t>
        <w:br/>
        <w:t xml:space="preserve">    def bifurcation_parameter(self):</w:t>
        <w:br/>
        <w:t xml:space="preserve">        return self.G_total - 1.0</w:t>
        <w:br/>
        <w:br/>
        <w:t xml:space="preserve">    @property</w:t>
        <w:br/>
        <w:t xml:space="preserve">    def order_parameter(self):</w:t>
        <w:br/>
        <w:t xml:space="preserve">        """R(t) = Ψ = |&lt;z&gt;| — Kuramoto order parameter equals BMIM II Ψ."""</w:t>
        <w:br/>
        <w:t xml:space="preserve">        return np.abs(np.mean(self.z))</w:t>
        <w:br/>
        <w:br/>
        <w:t xml:space="preserve">    @property</w:t>
        <w:br/>
        <w:t xml:space="preserve">    def consciousness_state(self):</w:t>
        <w:br/>
        <w:t xml:space="preserve">        G = self.G_total</w:t>
        <w:br/>
        <w:t xml:space="preserve">        if G &lt; 0.3: return "COMA"</w:t>
        <w:br/>
        <w:t xml:space="preserve">        elif G &lt; 0.6: return "DEEP_SLEEP"</w:t>
        <w:br/>
        <w:t xml:space="preserve">        elif G &lt; 0.85: return "LIGHT_SLEEP"</w:t>
        <w:br/>
        <w:t xml:space="preserve">        elif G &lt; 1.0: return "PERICRITICAL"</w:t>
        <w:br/>
        <w:t xml:space="preserve">        elif G &lt; 1.5: return "CONSCIOUS"</w:t>
        <w:br/>
        <w:t xml:space="preserve">        elif G &lt; 2.5: return "HYPERVIGILANT"</w:t>
        <w:br/>
        <w:t xml:space="preserve">        else: return "SEIZURE"</w:t>
        <w:br/>
        <w:br/>
        <w:t xml:space="preserve">    def step(self):</w:t>
        <w:br/>
        <w:t xml:space="preserve">        a = self.bifurcation_parameter</w:t>
        <w:br/>
        <w:t xml:space="preserve">        sigma = np.sqrt(self.sigma2)</w:t>
        <w:br/>
        <w:t xml:space="preserve">        dz = self.z * (a + 1j * self.omega - np.abs(self.z)**2)</w:t>
        <w:br/>
        <w:br/>
        <w:t xml:space="preserve">    # NOTE: For large N (&gt;256), replace the inner loop with vectorized form:</w:t>
        <w:br/>
        <w:t xml:space="preserve">    # coupling_vec = self.K * (self.C @ self.z - self.z * self.C.sum(axis=1))</w:t>
        <w:br/>
        <w:t xml:space="preserve">    # dz += coupling_vec</w:t>
        <w:br/>
        <w:t xml:space="preserve">        for j in range(self.N):</w:t>
        <w:br/>
        <w:t xml:space="preserve">            coupling = self.K * np.sum(self.C[j, :] * (self.z - self.z[j]))</w:t>
        <w:br/>
        <w:t xml:space="preserve">            dz[j] += coupling</w:t>
        <w:br/>
        <w:t xml:space="preserve">        noise = sigma * (np.random.randn(self.N) + 1j * np.random.randn(self.N))</w:t>
        <w:br/>
        <w:t xml:space="preserve">        self.z += dz * self.dt + noise * np.sqrt(self.dt)</w:t>
        <w:br/>
        <w:t xml:space="preserve">        self.time += self.dt</w:t>
        <w:br/>
        <w:t xml:space="preserve">        self.history['time'].append(self.time)</w:t>
        <w:br/>
        <w:t xml:space="preserve">        self.history['Psi'].append(self.order_parameter)</w:t>
        <w:br/>
        <w:t xml:space="preserve">        self.history['G_total'].append(self.G_total)</w:t>
        <w:br/>
        <w:t xml:space="preserve">        self.history['state'].append(self.consciousness_state)</w:t>
        <w:br/>
        <w:br/>
        <w:t xml:space="preserve">    def simulate(self, duration, verbose=False):</w:t>
        <w:br/>
        <w:t xml:space="preserve">        n_steps = int(duration / self.dt)</w:t>
        <w:br/>
        <w:t xml:space="preserve">        for i in range(n_steps):</w:t>
        <w:br/>
        <w:t xml:space="preserve">            self.step()</w:t>
        <w:br/>
        <w:br/>
        <w:t xml:space="preserve">    def set_cognitive_profile(self, profile):</w:t>
        <w:br/>
        <w:t xml:space="preserve">        """Set noise level: rigid/neurotypical/creative/chaotic/psychotic"""</w:t>
        <w:br/>
        <w:t xml:space="preserve">        profiles = {'rigid': 0.01, 'neurotypical': 0.15,</w:t>
        <w:br/>
        <w:t xml:space="preserve">                    'creative': 0.2, 'chaotic': 0.45, 'psychotic': 1.0}</w:t>
        <w:br/>
        <w:t xml:space="preserve">        self.sigma2 = profiles[profile]</w:t>
        <w:br/>
        <w:br/>
        <w:t xml:space="preserve">    def circadian_cycle(self, hour):</w:t>
        <w:br/>
        <w:t xml:space="preserve">        """Simulate circadian G_endo modulation (0-24h)."""</w:t>
        <w:br/>
        <w:t xml:space="preserve">        self.G_endo = 0.6 + 0.6 * np.sin(2 * np.pi * (hour - 3) / 24)</w:t>
        <w:br/>
        <w:t xml:space="preserve">        self.G_endo = max(0.1, min(1.5, self.G_endo))</w:t>
        <w:br/>
        <w:br/>
        <w:t xml:space="preserve">    def dream(self, duration=5.0):</w:t>
        <w:br/>
        <w:t xml:space="preserve">        """Simulate dreaming: low arousal + high noise exploration."""</w:t>
        <w:br/>
        <w:t xml:space="preserve">        original = (self.G_endo, self.sigma2)</w:t>
        <w:br/>
        <w:t xml:space="preserve">        self.G_endo = 0.4</w:t>
        <w:br/>
        <w:t xml:space="preserve">        self.sigma2 = 0.3</w:t>
        <w:br/>
        <w:t xml:space="preserve">        self.simulate(duration)</w:t>
        <w:br/>
        <w:t xml:space="preserve">        recent_G = self.history['G_total'][-int(duration/self.dt):]</w:t>
        <w:br/>
        <w:t xml:space="preserve">        crossings = sum(1 for i in range(1, len(recent_G))</w:t>
        <w:br/>
        <w:t xml:space="preserve">                       if recent_G[i-1] &lt; 1.0 and recent_G[i] &gt;= 1.0)</w:t>
        <w:br/>
        <w:t xml:space="preserve">        self.G_endo, self.sigma2 = original</w:t>
        <w:br/>
        <w:t xml:space="preserve">        return crossings</w:t>
        <w:br/>
        <w:br/>
        <w:t># === USAGE EXAMPLE ===</w:t>
        <w:br/>
        <w:t>if __name__ == "__main__":</w:t>
        <w:br/>
        <w:t xml:space="preserve">    # Compare cognitive profiles</w:t>
        <w:br/>
        <w:t xml:space="preserve">    for profile in ['rigid', 'neurotypical', 'creative', 'chaotic', 'psychotic']:</w:t>
        <w:br/>
        <w:t xml:space="preserve">        engine = BMIMIgnitionEngine(n_modules=64)</w:t>
        <w:br/>
        <w:t xml:space="preserve">        engine.set_cognitive_profile(profile)</w:t>
        <w:br/>
        <w:t xml:space="preserve">        engine.G_endo = 1.1</w:t>
        <w:br/>
        <w:t xml:space="preserve">        engine.simulate(5.0)</w:t>
        <w:br/>
        <w:t xml:space="preserve">        psi = engine.history['Psi'][-300:]</w:t>
        <w:br/>
        <w:t xml:space="preserve">        print(f"{profile:12s} | sigma2={engine.sigma2:.3f} | "</w:t>
        <w:br/>
        <w:t xml:space="preserve">              f"Psi={np.mean(psi):.3f} +/- {np.std(psi):.3f}")</w:t>
        <w:br/>
        <w:br/>
        <w:t xml:space="preserve">    # Multiplicative collapse demonstration</w:t>
        <w:br/>
        <w:t xml:space="preserve">    engine = BMIMIgnitionEngine(n_modules=64)</w:t>
        <w:br/>
        <w:t xml:space="preserve">    engine.G_endo = 1.2; engine.G_exo = 1.0; engine.G_exec = 1.0</w:t>
        <w:br/>
        <w:t xml:space="preserve">    engine.simulate(2.0)</w:t>
        <w:br/>
        <w:t xml:space="preserve">    print(f"\nBefore collapse: Psi={engine.order_parameter:.3f}")</w:t>
        <w:br/>
        <w:t xml:space="preserve">    engine.G_endo = 0.0; engine.G_exo = 5.0; engine.G_exec = 5.0</w:t>
        <w:br/>
        <w:t xml:space="preserve">    engine.simulate(2.0)</w:t>
        <w:br/>
        <w:t xml:space="preserve">    print(f"After collapse:  Psi={engine.order_parameter:.3f}")</w:t>
        <w:br/>
        <w:t xml:space="preserve">    print("Result: 0 * 5 * 5 = 0 --&gt; Consciousness IMPOSSIBLE")</w:t>
        <w:b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r>
        <w:rPr>
          <w:rFonts w:ascii="JetBrains Mono" w:eastAsia="JetBrains Mono" w:hAnsi="JetBrains Mono"/>
          <w:color w:val="D73A49"/>
          <w:w w:val="98"/>
        </w:rPr>
      </w:r>
    </w:p>
    <w:p w14:paraId="2BCDF522" w14:textId="77777777" w:rsidR="00C23A68" w:rsidRDefault="00C23A68">
      <w:pPr>
        <w:autoSpaceDE w:val="0"/>
        <w:autoSpaceDN w:val="0"/>
        <w:spacing w:after="0" w:line="14" w:lineRule="exact"/>
      </w:pPr>
    </w:p>
    <w:sectPr w:rsidR="00C23A68" w:rsidSect="00034616">
      <w:pgSz w:w="11918" w:h="16838"/>
      <w:pgMar w:top="562" w:right="0" w:bottom="0" w:left="8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ibre Baskerville">
    <w:charset w:val="00"/>
    <w:family w:val="auto"/>
    <w:pitch w:val="variable"/>
    <w:sig w:usb0="A00000BF" w:usb1="5000005B" w:usb2="00000000" w:usb3="00000000" w:csb0="00000093" w:csb1="00000000"/>
  </w:font>
  <w:font w:name="Caladea">
    <w:altName w:val="Cambria"/>
    <w:panose1 w:val="00000000000000000000"/>
    <w:charset w:val="00"/>
    <w:family w:val="roman"/>
    <w:notTrueType/>
    <w:pitch w:val="default"/>
  </w:font>
  <w:font w:name="Liberation Sans">
    <w:altName w:val="Arial"/>
    <w:panose1 w:val="00000000000000000000"/>
    <w:charset w:val="00"/>
    <w:family w:val="roman"/>
    <w:notTrueType/>
    <w:pitch w:val="default"/>
  </w:font>
  <w:font w:name="KaTeX_Math">
    <w:altName w:val="Cambria"/>
    <w:panose1 w:val="00000000000000000000"/>
    <w:charset w:val="00"/>
    <w:family w:val="roman"/>
    <w:notTrueType/>
    <w:pitch w:val="default"/>
  </w:font>
  <w:font w:name="KaTeX_Main">
    <w:altName w:val="Cambria"/>
    <w:panose1 w:val="00000000000000000000"/>
    <w:charset w:val="00"/>
    <w:family w:val="roman"/>
    <w:notTrueType/>
    <w:pitch w:val="default"/>
  </w:font>
  <w:font w:name="KaTeX_Size1">
    <w:altName w:val="Cambria"/>
    <w:panose1 w:val="00000000000000000000"/>
    <w:charset w:val="00"/>
    <w:family w:val="roman"/>
    <w:notTrueType/>
    <w:pitch w:val="default"/>
  </w:font>
  <w:font w:name="KaTeX_Caligraphic">
    <w:altName w:val="Cambria"/>
    <w:panose1 w:val="00000000000000000000"/>
    <w:charset w:val="00"/>
    <w:family w:val="roman"/>
    <w:notTrueType/>
    <w:pitch w:val="default"/>
  </w:font>
  <w:font w:name="JetBrains Mono">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414088940">
    <w:abstractNumId w:val="8"/>
  </w:num>
  <w:num w:numId="2" w16cid:durableId="1618101080">
    <w:abstractNumId w:val="6"/>
  </w:num>
  <w:num w:numId="3" w16cid:durableId="1873565400">
    <w:abstractNumId w:val="5"/>
  </w:num>
  <w:num w:numId="4" w16cid:durableId="87312862">
    <w:abstractNumId w:val="4"/>
  </w:num>
  <w:num w:numId="5" w16cid:durableId="1039552948">
    <w:abstractNumId w:val="7"/>
  </w:num>
  <w:num w:numId="6" w16cid:durableId="441919764">
    <w:abstractNumId w:val="3"/>
  </w:num>
  <w:num w:numId="7" w16cid:durableId="1951623969">
    <w:abstractNumId w:val="2"/>
  </w:num>
  <w:num w:numId="8" w16cid:durableId="367607916">
    <w:abstractNumId w:val="1"/>
  </w:num>
  <w:num w:numId="9" w16cid:durableId="288976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E34B2"/>
    <w:rsid w:val="00461E5A"/>
    <w:rsid w:val="00AA1D8D"/>
    <w:rsid w:val="00B47730"/>
    <w:rsid w:val="00C23A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597327"/>
  <w14:defaultImageDpi w14:val="300"/>
  <w15:docId w15:val="{049A9E41-EE4C-4838-B219-AE2DAE10E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3436</Words>
  <Characters>18900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BMIM II - Supplementary Material</dc:title>
  <dc:subject/>
  <dc:creator>Francisco Domínguez Jones</dc:creator>
  <cp:keywords/>
  <dc:description>generated by python-docx</dc:description>
  <cp:lastModifiedBy>francisco dominguez</cp:lastModifiedBy>
  <cp:revision>2</cp:revision>
  <dcterms:created xsi:type="dcterms:W3CDTF">2026-07-13T15:15:00Z</dcterms:created>
  <dcterms:modified xsi:type="dcterms:W3CDTF">2026-07-13T15:15:00Z</dcterms:modified>
  <cp:category/>
</cp:coreProperties>
</file>