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345E76" w14:textId="77777777" w:rsidR="00233804" w:rsidRDefault="00233804" w:rsidP="00233804">
      <w:pPr>
        <w:rPr>
          <w:rFonts w:asciiTheme="majorHAnsi" w:hAnsiTheme="majorHAnsi" w:cstheme="majorHAnsi"/>
        </w:rPr>
      </w:pPr>
      <w:r>
        <w:rPr>
          <w:rFonts w:asciiTheme="majorHAnsi" w:hAnsiTheme="majorHAnsi" w:cstheme="majorHAnsi"/>
          <w:noProof/>
        </w:rPr>
        <w:drawing>
          <wp:inline distT="0" distB="0" distL="0" distR="0" wp14:anchorId="311F999D" wp14:editId="2454E53E">
            <wp:extent cx="5274310" cy="3914123"/>
            <wp:effectExtent l="0" t="0" r="0" b="0"/>
            <wp:docPr id="17055663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566374" name="Picture 5"/>
                    <pic:cNvPicPr/>
                  </pic:nvPicPr>
                  <pic:blipFill>
                    <a:blip r:embed="rId6"/>
                    <a:stretch>
                      <a:fillRect/>
                    </a:stretch>
                  </pic:blipFill>
                  <pic:spPr>
                    <a:xfrm>
                      <a:off x="0" y="0"/>
                      <a:ext cx="5274310" cy="3914123"/>
                    </a:xfrm>
                    <a:prstGeom prst="rect">
                      <a:avLst/>
                    </a:prstGeom>
                  </pic:spPr>
                </pic:pic>
              </a:graphicData>
            </a:graphic>
          </wp:inline>
        </w:drawing>
      </w:r>
    </w:p>
    <w:p w14:paraId="4F1888B8" w14:textId="70B48DA8" w:rsidR="00233804" w:rsidRDefault="0033144B" w:rsidP="00233804">
      <w:pPr>
        <w:rPr>
          <w:rFonts w:asciiTheme="majorHAnsi" w:hAnsiTheme="majorHAnsi" w:cstheme="majorHAnsi"/>
          <w:lang w:val="en-GB"/>
        </w:rPr>
      </w:pPr>
      <w:r>
        <w:rPr>
          <w:rFonts w:asciiTheme="majorHAnsi" w:hAnsiTheme="majorHAnsi" w:cstheme="majorHAnsi"/>
          <w:b/>
          <w:bCs/>
          <w:lang w:val="en-GB"/>
        </w:rPr>
        <w:t xml:space="preserve">Supplementary </w:t>
      </w:r>
      <w:r w:rsidR="00233804" w:rsidRPr="00090907">
        <w:rPr>
          <w:rFonts w:asciiTheme="majorHAnsi" w:hAnsiTheme="majorHAnsi" w:cstheme="majorHAnsi"/>
          <w:b/>
          <w:bCs/>
          <w:lang w:val="en-GB"/>
        </w:rPr>
        <w:t xml:space="preserve">Figure </w:t>
      </w:r>
      <w:r w:rsidR="0083511B">
        <w:rPr>
          <w:rFonts w:asciiTheme="majorHAnsi" w:hAnsiTheme="majorHAnsi" w:cstheme="majorHAnsi"/>
          <w:b/>
          <w:bCs/>
          <w:lang w:val="en-GB"/>
        </w:rPr>
        <w:t>1</w:t>
      </w:r>
      <w:r w:rsidR="00233804" w:rsidRPr="00090907">
        <w:rPr>
          <w:rFonts w:asciiTheme="majorHAnsi" w:hAnsiTheme="majorHAnsi" w:cstheme="majorHAnsi"/>
          <w:b/>
          <w:bCs/>
          <w:lang w:val="en-GB"/>
        </w:rPr>
        <w:t xml:space="preserve">. Phylogenetic analysis of </w:t>
      </w:r>
      <w:proofErr w:type="spellStart"/>
      <w:r w:rsidR="00233804" w:rsidRPr="00090907">
        <w:rPr>
          <w:rFonts w:asciiTheme="majorHAnsi" w:hAnsiTheme="majorHAnsi" w:cstheme="majorHAnsi"/>
          <w:b/>
          <w:bCs/>
          <w:i/>
          <w:iCs/>
          <w:lang w:val="en-GB"/>
        </w:rPr>
        <w:t>Rocahepevirus</w:t>
      </w:r>
      <w:proofErr w:type="spellEnd"/>
      <w:r w:rsidR="00233804">
        <w:rPr>
          <w:rFonts w:asciiTheme="majorHAnsi" w:hAnsiTheme="majorHAnsi" w:cstheme="majorHAnsi"/>
          <w:b/>
          <w:bCs/>
          <w:i/>
          <w:iCs/>
          <w:lang w:val="en-GB"/>
        </w:rPr>
        <w:t xml:space="preserve"> </w:t>
      </w:r>
      <w:r w:rsidR="00233804" w:rsidRPr="00AF6415">
        <w:rPr>
          <w:rFonts w:asciiTheme="majorHAnsi" w:hAnsiTheme="majorHAnsi" w:cstheme="majorHAnsi"/>
          <w:b/>
          <w:bCs/>
          <w:lang w:val="en-GB"/>
        </w:rPr>
        <w:t>sequences</w:t>
      </w:r>
      <w:r w:rsidR="00233804">
        <w:rPr>
          <w:rFonts w:asciiTheme="majorHAnsi" w:hAnsiTheme="majorHAnsi" w:cstheme="majorHAnsi"/>
          <w:b/>
          <w:bCs/>
          <w:lang w:val="en-GB"/>
        </w:rPr>
        <w:t xml:space="preserve"> detected </w:t>
      </w:r>
      <w:r w:rsidR="00233804" w:rsidRPr="00090907">
        <w:rPr>
          <w:rFonts w:asciiTheme="majorHAnsi" w:hAnsiTheme="majorHAnsi" w:cstheme="majorHAnsi"/>
          <w:b/>
          <w:bCs/>
          <w:lang w:val="en-GB"/>
        </w:rPr>
        <w:t xml:space="preserve">in wastewater based on </w:t>
      </w:r>
      <w:r w:rsidR="00FC2D11">
        <w:rPr>
          <w:rFonts w:asciiTheme="majorHAnsi" w:hAnsiTheme="majorHAnsi" w:cstheme="majorHAnsi"/>
          <w:b/>
          <w:bCs/>
          <w:lang w:val="en-GB"/>
        </w:rPr>
        <w:t xml:space="preserve">partial </w:t>
      </w:r>
      <w:r w:rsidR="00233804" w:rsidRPr="00090907">
        <w:rPr>
          <w:rFonts w:asciiTheme="majorHAnsi" w:hAnsiTheme="majorHAnsi" w:cstheme="majorHAnsi"/>
          <w:b/>
          <w:bCs/>
          <w:lang w:val="en-GB"/>
        </w:rPr>
        <w:t>ORF1 (RNA-dependent RNA polymerase).</w:t>
      </w:r>
      <w:r w:rsidR="00233804" w:rsidRPr="00090907">
        <w:rPr>
          <w:rFonts w:asciiTheme="majorHAnsi" w:hAnsiTheme="majorHAnsi" w:cstheme="majorHAnsi"/>
          <w:lang w:val="en-GB"/>
        </w:rPr>
        <w:t xml:space="preserve"> Maximum-likelihood tree of a 500-bp ORF1 region (nucleotide positions 4351–4851</w:t>
      </w:r>
      <w:r w:rsidR="00233804">
        <w:rPr>
          <w:rFonts w:asciiTheme="majorHAnsi" w:hAnsiTheme="majorHAnsi" w:cstheme="majorHAnsi"/>
          <w:lang w:val="en-GB"/>
        </w:rPr>
        <w:t xml:space="preserve"> </w:t>
      </w:r>
      <w:r w:rsidR="00233804" w:rsidRPr="00090907">
        <w:rPr>
          <w:rFonts w:asciiTheme="majorHAnsi" w:hAnsiTheme="majorHAnsi" w:cstheme="majorHAnsi"/>
          <w:lang w:val="en-GB"/>
        </w:rPr>
        <w:t xml:space="preserve">relative to </w:t>
      </w:r>
      <w:r w:rsidR="00233804" w:rsidRPr="00090907">
        <w:rPr>
          <w:rFonts w:asciiTheme="majorHAnsi" w:hAnsiTheme="majorHAnsi" w:cstheme="majorHAnsi"/>
          <w:i/>
          <w:iCs/>
          <w:lang w:val="en-GB"/>
        </w:rPr>
        <w:t>NC_038504.1</w:t>
      </w:r>
      <w:r w:rsidR="00233804" w:rsidRPr="00090907">
        <w:rPr>
          <w:rFonts w:asciiTheme="majorHAnsi" w:hAnsiTheme="majorHAnsi" w:cstheme="majorHAnsi"/>
          <w:lang w:val="en-GB"/>
        </w:rPr>
        <w:t>) including wastewater contigs</w:t>
      </w:r>
      <w:r w:rsidR="00233804">
        <w:rPr>
          <w:rFonts w:asciiTheme="majorHAnsi" w:hAnsiTheme="majorHAnsi" w:cstheme="majorHAnsi"/>
          <w:lang w:val="en-GB"/>
        </w:rPr>
        <w:t xml:space="preserve"> (red)</w:t>
      </w:r>
      <w:r w:rsidR="00233804" w:rsidRPr="00090907">
        <w:rPr>
          <w:rFonts w:asciiTheme="majorHAnsi" w:hAnsiTheme="majorHAnsi" w:cstheme="majorHAnsi"/>
          <w:lang w:val="en-GB"/>
        </w:rPr>
        <w:t xml:space="preserve"> and GenBank reference sequences</w:t>
      </w:r>
      <w:r w:rsidR="00233804">
        <w:rPr>
          <w:rFonts w:asciiTheme="majorHAnsi" w:hAnsiTheme="majorHAnsi" w:cstheme="majorHAnsi"/>
          <w:lang w:val="en-GB"/>
        </w:rPr>
        <w:t xml:space="preserve"> (black)</w:t>
      </w:r>
      <w:r w:rsidR="00233804" w:rsidRPr="00090907">
        <w:rPr>
          <w:rFonts w:asciiTheme="majorHAnsi" w:hAnsiTheme="majorHAnsi" w:cstheme="majorHAnsi"/>
          <w:lang w:val="en-GB"/>
        </w:rPr>
        <w:t xml:space="preserve">. The inner ring represents </w:t>
      </w:r>
      <w:r w:rsidR="003C2D62" w:rsidRPr="00090907">
        <w:rPr>
          <w:rFonts w:asciiTheme="majorHAnsi" w:hAnsiTheme="majorHAnsi" w:cstheme="majorHAnsi"/>
          <w:lang w:val="en-GB"/>
        </w:rPr>
        <w:t>continent,</w:t>
      </w:r>
      <w:r w:rsidR="00233804" w:rsidRPr="00090907">
        <w:rPr>
          <w:rFonts w:asciiTheme="majorHAnsi" w:hAnsiTheme="majorHAnsi" w:cstheme="majorHAnsi"/>
          <w:lang w:val="en-GB"/>
        </w:rPr>
        <w:t xml:space="preserve"> and the outer ring represents country of origin.</w:t>
      </w:r>
    </w:p>
    <w:p w14:paraId="7B41C8FE" w14:textId="77777777" w:rsidR="00233804" w:rsidRDefault="00233804" w:rsidP="00233804">
      <w:pPr>
        <w:rPr>
          <w:rFonts w:asciiTheme="majorHAnsi" w:hAnsiTheme="majorHAnsi" w:cstheme="majorHAnsi"/>
          <w:lang w:val="en-GB"/>
        </w:rPr>
      </w:pPr>
    </w:p>
    <w:p w14:paraId="25C8A36C" w14:textId="77777777" w:rsidR="00233804" w:rsidRPr="00090907" w:rsidRDefault="00233804" w:rsidP="00233804">
      <w:pPr>
        <w:rPr>
          <w:rFonts w:asciiTheme="majorHAnsi" w:hAnsiTheme="majorHAnsi" w:cstheme="majorHAnsi"/>
          <w:lang w:val="en-GB"/>
        </w:rPr>
      </w:pPr>
    </w:p>
    <w:p w14:paraId="1D323656" w14:textId="77777777" w:rsidR="00233804" w:rsidRPr="00FA66ED" w:rsidRDefault="00233804" w:rsidP="00233804">
      <w:pPr>
        <w:rPr>
          <w:rFonts w:asciiTheme="majorHAnsi" w:hAnsiTheme="majorHAnsi" w:cstheme="majorHAnsi"/>
        </w:rPr>
      </w:pPr>
    </w:p>
    <w:p w14:paraId="2A5B3B63" w14:textId="77777777" w:rsidR="00233804" w:rsidRDefault="00233804" w:rsidP="00233804">
      <w:pPr>
        <w:rPr>
          <w:rFonts w:asciiTheme="majorHAnsi" w:hAnsiTheme="majorHAnsi" w:cstheme="majorHAnsi"/>
        </w:rPr>
      </w:pPr>
      <w:r>
        <w:rPr>
          <w:rFonts w:asciiTheme="majorHAnsi" w:hAnsiTheme="majorHAnsi" w:cstheme="majorHAnsi"/>
          <w:noProof/>
        </w:rPr>
        <w:lastRenderedPageBreak/>
        <w:drawing>
          <wp:inline distT="0" distB="0" distL="0" distR="0" wp14:anchorId="67EB40C1" wp14:editId="47202606">
            <wp:extent cx="5274310" cy="3852539"/>
            <wp:effectExtent l="0" t="0" r="0" b="0"/>
            <wp:docPr id="1898644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4494" name="Picture 4"/>
                    <pic:cNvPicPr/>
                  </pic:nvPicPr>
                  <pic:blipFill>
                    <a:blip r:embed="rId7"/>
                    <a:stretch>
                      <a:fillRect/>
                    </a:stretch>
                  </pic:blipFill>
                  <pic:spPr>
                    <a:xfrm>
                      <a:off x="0" y="0"/>
                      <a:ext cx="5274310" cy="3852539"/>
                    </a:xfrm>
                    <a:prstGeom prst="rect">
                      <a:avLst/>
                    </a:prstGeom>
                  </pic:spPr>
                </pic:pic>
              </a:graphicData>
            </a:graphic>
          </wp:inline>
        </w:drawing>
      </w:r>
    </w:p>
    <w:p w14:paraId="09021D02" w14:textId="2705A3D0" w:rsidR="00233804" w:rsidRPr="009C383E" w:rsidRDefault="0033144B" w:rsidP="00233804">
      <w:pPr>
        <w:rPr>
          <w:rFonts w:asciiTheme="majorHAnsi" w:hAnsiTheme="majorHAnsi" w:cstheme="majorHAnsi"/>
          <w:lang w:val="en-GB"/>
        </w:rPr>
      </w:pPr>
      <w:r>
        <w:rPr>
          <w:rFonts w:asciiTheme="majorHAnsi" w:hAnsiTheme="majorHAnsi" w:cstheme="majorHAnsi"/>
          <w:b/>
          <w:bCs/>
          <w:lang w:val="en-GB"/>
        </w:rPr>
        <w:t xml:space="preserve">Supplementary </w:t>
      </w:r>
      <w:r w:rsidR="00233804" w:rsidRPr="009C383E">
        <w:rPr>
          <w:rFonts w:asciiTheme="majorHAnsi" w:hAnsiTheme="majorHAnsi" w:cstheme="majorHAnsi"/>
          <w:b/>
          <w:bCs/>
          <w:lang w:val="en-GB"/>
        </w:rPr>
        <w:t xml:space="preserve">Figure </w:t>
      </w:r>
      <w:r w:rsidR="0083511B">
        <w:rPr>
          <w:rFonts w:asciiTheme="majorHAnsi" w:hAnsiTheme="majorHAnsi" w:cstheme="majorHAnsi"/>
          <w:b/>
          <w:bCs/>
          <w:lang w:val="en-GB"/>
        </w:rPr>
        <w:t>2</w:t>
      </w:r>
      <w:r w:rsidR="00233804" w:rsidRPr="009C383E">
        <w:rPr>
          <w:rFonts w:asciiTheme="majorHAnsi" w:hAnsiTheme="majorHAnsi" w:cstheme="majorHAnsi"/>
          <w:b/>
          <w:bCs/>
          <w:lang w:val="en-GB"/>
        </w:rPr>
        <w:t xml:space="preserve">. Phylogenetic analysis of </w:t>
      </w:r>
      <w:proofErr w:type="spellStart"/>
      <w:r w:rsidR="00233804" w:rsidRPr="00A847BB">
        <w:rPr>
          <w:rFonts w:asciiTheme="majorHAnsi" w:hAnsiTheme="majorHAnsi" w:cstheme="majorHAnsi"/>
          <w:b/>
          <w:bCs/>
          <w:i/>
          <w:iCs/>
          <w:lang w:val="en-GB"/>
        </w:rPr>
        <w:t>Rocahepevirus</w:t>
      </w:r>
      <w:proofErr w:type="spellEnd"/>
      <w:r w:rsidR="00233804" w:rsidRPr="00A847BB">
        <w:rPr>
          <w:rFonts w:asciiTheme="majorHAnsi" w:hAnsiTheme="majorHAnsi" w:cstheme="majorHAnsi"/>
          <w:b/>
          <w:bCs/>
          <w:i/>
          <w:iCs/>
          <w:lang w:val="en-GB"/>
        </w:rPr>
        <w:t xml:space="preserve"> </w:t>
      </w:r>
      <w:r w:rsidR="00233804" w:rsidRPr="006049BD">
        <w:rPr>
          <w:rFonts w:asciiTheme="majorHAnsi" w:hAnsiTheme="majorHAnsi" w:cstheme="majorHAnsi"/>
          <w:b/>
          <w:bCs/>
          <w:lang w:val="en-GB"/>
        </w:rPr>
        <w:t>sequences detected</w:t>
      </w:r>
      <w:r w:rsidR="00233804" w:rsidRPr="009C383E">
        <w:rPr>
          <w:rFonts w:asciiTheme="majorHAnsi" w:hAnsiTheme="majorHAnsi" w:cstheme="majorHAnsi"/>
          <w:b/>
          <w:bCs/>
          <w:i/>
          <w:iCs/>
          <w:lang w:val="en-GB"/>
        </w:rPr>
        <w:t xml:space="preserve"> </w:t>
      </w:r>
      <w:r w:rsidR="00233804" w:rsidRPr="009C383E">
        <w:rPr>
          <w:rFonts w:asciiTheme="majorHAnsi" w:hAnsiTheme="majorHAnsi" w:cstheme="majorHAnsi"/>
          <w:b/>
          <w:bCs/>
          <w:lang w:val="en-GB"/>
        </w:rPr>
        <w:t xml:space="preserve">in wastewater based on </w:t>
      </w:r>
      <w:r w:rsidR="00FC2D11">
        <w:rPr>
          <w:rFonts w:asciiTheme="majorHAnsi" w:hAnsiTheme="majorHAnsi" w:cstheme="majorHAnsi"/>
          <w:b/>
          <w:bCs/>
          <w:lang w:val="en-GB"/>
        </w:rPr>
        <w:t xml:space="preserve">partial </w:t>
      </w:r>
      <w:r w:rsidR="00233804" w:rsidRPr="009C383E">
        <w:rPr>
          <w:rFonts w:asciiTheme="majorHAnsi" w:hAnsiTheme="majorHAnsi" w:cstheme="majorHAnsi"/>
          <w:b/>
          <w:bCs/>
          <w:lang w:val="en-GB"/>
        </w:rPr>
        <w:t>ORF2 (capsid protein).</w:t>
      </w:r>
      <w:r w:rsidR="00233804" w:rsidRPr="009C383E">
        <w:rPr>
          <w:rFonts w:asciiTheme="majorHAnsi" w:hAnsiTheme="majorHAnsi" w:cstheme="majorHAnsi"/>
          <w:lang w:val="en-GB"/>
        </w:rPr>
        <w:t xml:space="preserve"> Maximum-likelihood tree of a 500-bp ORF2 region (nucleotide positions 5701–6201 relative to NC_038504</w:t>
      </w:r>
      <w:r w:rsidR="00233804">
        <w:rPr>
          <w:rFonts w:asciiTheme="majorHAnsi" w:hAnsiTheme="majorHAnsi" w:cstheme="majorHAnsi"/>
          <w:lang w:val="en-GB"/>
        </w:rPr>
        <w:t>.1</w:t>
      </w:r>
      <w:r w:rsidR="00233804" w:rsidRPr="009C383E">
        <w:rPr>
          <w:rFonts w:asciiTheme="majorHAnsi" w:hAnsiTheme="majorHAnsi" w:cstheme="majorHAnsi"/>
          <w:lang w:val="en-GB"/>
        </w:rPr>
        <w:t>) including wastewater contigs</w:t>
      </w:r>
      <w:r w:rsidR="00233804">
        <w:rPr>
          <w:rFonts w:asciiTheme="majorHAnsi" w:hAnsiTheme="majorHAnsi" w:cstheme="majorHAnsi"/>
          <w:lang w:val="en-GB"/>
        </w:rPr>
        <w:t xml:space="preserve"> (red)</w:t>
      </w:r>
      <w:r w:rsidR="00233804" w:rsidRPr="009C383E">
        <w:rPr>
          <w:rFonts w:asciiTheme="majorHAnsi" w:hAnsiTheme="majorHAnsi" w:cstheme="majorHAnsi"/>
          <w:lang w:val="en-GB"/>
        </w:rPr>
        <w:t xml:space="preserve"> and GenBank reference sequences</w:t>
      </w:r>
      <w:r w:rsidR="00233804">
        <w:rPr>
          <w:rFonts w:asciiTheme="majorHAnsi" w:hAnsiTheme="majorHAnsi" w:cstheme="majorHAnsi"/>
          <w:lang w:val="en-GB"/>
        </w:rPr>
        <w:t xml:space="preserve"> (black)</w:t>
      </w:r>
      <w:r w:rsidR="00233804" w:rsidRPr="009C383E">
        <w:rPr>
          <w:rFonts w:asciiTheme="majorHAnsi" w:hAnsiTheme="majorHAnsi" w:cstheme="majorHAnsi"/>
          <w:lang w:val="en-GB"/>
        </w:rPr>
        <w:t xml:space="preserve">. The inner ring represents </w:t>
      </w:r>
      <w:r w:rsidR="003C2D62" w:rsidRPr="009C383E">
        <w:rPr>
          <w:rFonts w:asciiTheme="majorHAnsi" w:hAnsiTheme="majorHAnsi" w:cstheme="majorHAnsi"/>
          <w:lang w:val="en-GB"/>
        </w:rPr>
        <w:t>continent,</w:t>
      </w:r>
      <w:r w:rsidR="00233804" w:rsidRPr="009C383E">
        <w:rPr>
          <w:rFonts w:asciiTheme="majorHAnsi" w:hAnsiTheme="majorHAnsi" w:cstheme="majorHAnsi"/>
          <w:lang w:val="en-GB"/>
        </w:rPr>
        <w:t xml:space="preserve"> and the outer ring represents country of origin.</w:t>
      </w:r>
    </w:p>
    <w:p w14:paraId="17CC7F1E" w14:textId="77777777" w:rsidR="00B468EA" w:rsidRPr="00233804" w:rsidRDefault="00B468EA" w:rsidP="000213BD">
      <w:pPr>
        <w:jc w:val="both"/>
        <w:rPr>
          <w:rFonts w:ascii="Calibri" w:hAnsi="Calibri" w:cs="Calibri"/>
          <w:b/>
          <w:bCs/>
          <w:lang w:val="en-GB"/>
        </w:rPr>
      </w:pPr>
    </w:p>
    <w:p w14:paraId="2C4712F4" w14:textId="773A1A27" w:rsidR="00FB002D" w:rsidRDefault="00FB002D" w:rsidP="000213BD">
      <w:pPr>
        <w:jc w:val="both"/>
        <w:rPr>
          <w:rFonts w:ascii="Calibri" w:hAnsi="Calibri" w:cs="Calibri"/>
          <w:b/>
          <w:bCs/>
        </w:rPr>
      </w:pPr>
      <w:r>
        <w:rPr>
          <w:rFonts w:ascii="Calibri" w:hAnsi="Calibri" w:cs="Calibri"/>
          <w:b/>
          <w:bCs/>
          <w:noProof/>
        </w:rPr>
        <w:lastRenderedPageBreak/>
        <w:drawing>
          <wp:inline distT="0" distB="0" distL="0" distR="0" wp14:anchorId="0B0A3DF0" wp14:editId="675FDC3E">
            <wp:extent cx="5890369" cy="3876675"/>
            <wp:effectExtent l="0" t="0" r="2540" b="0"/>
            <wp:docPr id="7549846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84696" name="Picture 4"/>
                    <pic:cNvPicPr/>
                  </pic:nvPicPr>
                  <pic:blipFill>
                    <a:blip r:embed="rId8"/>
                    <a:stretch>
                      <a:fillRect/>
                    </a:stretch>
                  </pic:blipFill>
                  <pic:spPr>
                    <a:xfrm>
                      <a:off x="0" y="0"/>
                      <a:ext cx="5892425" cy="3878028"/>
                    </a:xfrm>
                    <a:prstGeom prst="rect">
                      <a:avLst/>
                    </a:prstGeom>
                  </pic:spPr>
                </pic:pic>
              </a:graphicData>
            </a:graphic>
          </wp:inline>
        </w:drawing>
      </w:r>
    </w:p>
    <w:p w14:paraId="1BF98607" w14:textId="15131D28" w:rsidR="00585EA6" w:rsidRDefault="00FB002D" w:rsidP="00585EA6">
      <w:pPr>
        <w:rPr>
          <w:rFonts w:asciiTheme="majorHAnsi" w:hAnsiTheme="majorHAnsi" w:cstheme="majorHAnsi"/>
          <w:lang w:val="en-GB"/>
        </w:rPr>
      </w:pPr>
      <w:r>
        <w:rPr>
          <w:rFonts w:ascii="Calibri" w:hAnsi="Calibri" w:cs="Calibri"/>
          <w:b/>
          <w:bCs/>
        </w:rPr>
        <w:t xml:space="preserve">Supplementary Figure </w:t>
      </w:r>
      <w:r w:rsidR="0083511B">
        <w:rPr>
          <w:rFonts w:ascii="Calibri" w:hAnsi="Calibri" w:cs="Calibri"/>
          <w:b/>
          <w:bCs/>
        </w:rPr>
        <w:t>3</w:t>
      </w:r>
      <w:r>
        <w:rPr>
          <w:rFonts w:ascii="Calibri" w:hAnsi="Calibri" w:cs="Calibri"/>
          <w:b/>
          <w:bCs/>
        </w:rPr>
        <w:t xml:space="preserve">. </w:t>
      </w:r>
      <w:r w:rsidR="00585EA6" w:rsidRPr="00090907">
        <w:rPr>
          <w:rFonts w:asciiTheme="majorHAnsi" w:hAnsiTheme="majorHAnsi" w:cstheme="majorHAnsi"/>
          <w:b/>
          <w:bCs/>
          <w:lang w:val="en-GB"/>
        </w:rPr>
        <w:t xml:space="preserve">Phylogenetic analysis of </w:t>
      </w:r>
      <w:proofErr w:type="spellStart"/>
      <w:r w:rsidR="00585EA6" w:rsidRPr="00090907">
        <w:rPr>
          <w:rFonts w:asciiTheme="majorHAnsi" w:hAnsiTheme="majorHAnsi" w:cstheme="majorHAnsi"/>
          <w:b/>
          <w:bCs/>
          <w:i/>
          <w:iCs/>
          <w:lang w:val="en-GB"/>
        </w:rPr>
        <w:t>Rocahepevirus</w:t>
      </w:r>
      <w:proofErr w:type="spellEnd"/>
      <w:r w:rsidR="00585EA6">
        <w:rPr>
          <w:rFonts w:asciiTheme="majorHAnsi" w:hAnsiTheme="majorHAnsi" w:cstheme="majorHAnsi"/>
          <w:b/>
          <w:bCs/>
          <w:i/>
          <w:iCs/>
          <w:lang w:val="en-GB"/>
        </w:rPr>
        <w:t xml:space="preserve"> ratti genotype C1 </w:t>
      </w:r>
      <w:r w:rsidR="00585EA6" w:rsidRPr="00AF6415">
        <w:rPr>
          <w:rFonts w:asciiTheme="majorHAnsi" w:hAnsiTheme="majorHAnsi" w:cstheme="majorHAnsi"/>
          <w:b/>
          <w:bCs/>
          <w:lang w:val="en-GB"/>
        </w:rPr>
        <w:t>sequences</w:t>
      </w:r>
      <w:r w:rsidR="00585EA6">
        <w:rPr>
          <w:rFonts w:asciiTheme="majorHAnsi" w:hAnsiTheme="majorHAnsi" w:cstheme="majorHAnsi"/>
          <w:b/>
          <w:bCs/>
          <w:lang w:val="en-GB"/>
        </w:rPr>
        <w:t xml:space="preserve"> detected </w:t>
      </w:r>
      <w:r w:rsidR="00585EA6" w:rsidRPr="00090907">
        <w:rPr>
          <w:rFonts w:asciiTheme="majorHAnsi" w:hAnsiTheme="majorHAnsi" w:cstheme="majorHAnsi"/>
          <w:b/>
          <w:bCs/>
          <w:lang w:val="en-GB"/>
        </w:rPr>
        <w:t>in wastewater based on</w:t>
      </w:r>
      <w:r w:rsidR="00585EA6">
        <w:rPr>
          <w:rFonts w:asciiTheme="majorHAnsi" w:hAnsiTheme="majorHAnsi" w:cstheme="majorHAnsi"/>
          <w:b/>
          <w:bCs/>
          <w:lang w:val="en-GB"/>
        </w:rPr>
        <w:t xml:space="preserve"> partial ORF1 </w:t>
      </w:r>
      <w:r w:rsidR="00585EA6" w:rsidRPr="00090907">
        <w:rPr>
          <w:rFonts w:asciiTheme="majorHAnsi" w:hAnsiTheme="majorHAnsi" w:cstheme="majorHAnsi"/>
          <w:b/>
          <w:bCs/>
          <w:lang w:val="en-GB"/>
        </w:rPr>
        <w:t>(RNA-dependent RNA polymerase).</w:t>
      </w:r>
      <w:r w:rsidR="00585EA6" w:rsidRPr="00090907">
        <w:rPr>
          <w:rFonts w:asciiTheme="majorHAnsi" w:hAnsiTheme="majorHAnsi" w:cstheme="majorHAnsi"/>
          <w:lang w:val="en-GB"/>
        </w:rPr>
        <w:t xml:space="preserve"> Maximum-likelihood tree of a 500-bp ORF1 region (nucleotide positions 4351–4851</w:t>
      </w:r>
      <w:r w:rsidR="00585EA6">
        <w:rPr>
          <w:rFonts w:asciiTheme="majorHAnsi" w:hAnsiTheme="majorHAnsi" w:cstheme="majorHAnsi"/>
          <w:lang w:val="en-GB"/>
        </w:rPr>
        <w:t xml:space="preserve"> </w:t>
      </w:r>
      <w:r w:rsidR="00585EA6" w:rsidRPr="00090907">
        <w:rPr>
          <w:rFonts w:asciiTheme="majorHAnsi" w:hAnsiTheme="majorHAnsi" w:cstheme="majorHAnsi"/>
          <w:lang w:val="en-GB"/>
        </w:rPr>
        <w:t xml:space="preserve">relative to </w:t>
      </w:r>
      <w:r w:rsidR="00585EA6" w:rsidRPr="00090907">
        <w:rPr>
          <w:rFonts w:asciiTheme="majorHAnsi" w:hAnsiTheme="majorHAnsi" w:cstheme="majorHAnsi"/>
          <w:i/>
          <w:iCs/>
          <w:lang w:val="en-GB"/>
        </w:rPr>
        <w:t>NC_038504.1</w:t>
      </w:r>
      <w:r w:rsidR="00585EA6" w:rsidRPr="00090907">
        <w:rPr>
          <w:rFonts w:asciiTheme="majorHAnsi" w:hAnsiTheme="majorHAnsi" w:cstheme="majorHAnsi"/>
          <w:lang w:val="en-GB"/>
        </w:rPr>
        <w:t>)</w:t>
      </w:r>
      <w:r w:rsidR="00412AE3">
        <w:rPr>
          <w:rFonts w:asciiTheme="majorHAnsi" w:hAnsiTheme="majorHAnsi" w:cstheme="majorHAnsi"/>
          <w:lang w:val="en-GB"/>
        </w:rPr>
        <w:t>,</w:t>
      </w:r>
      <w:r w:rsidR="00585EA6" w:rsidRPr="00090907">
        <w:rPr>
          <w:rFonts w:asciiTheme="majorHAnsi" w:hAnsiTheme="majorHAnsi" w:cstheme="majorHAnsi"/>
          <w:lang w:val="en-GB"/>
        </w:rPr>
        <w:t xml:space="preserve"> </w:t>
      </w:r>
      <w:r w:rsidR="00412AE3">
        <w:rPr>
          <w:rFonts w:asciiTheme="majorHAnsi" w:hAnsiTheme="majorHAnsi" w:cstheme="majorHAnsi"/>
          <w:lang w:val="en-GB"/>
        </w:rPr>
        <w:t xml:space="preserve">including </w:t>
      </w:r>
      <w:r w:rsidR="00412AE3" w:rsidRPr="0052648D">
        <w:rPr>
          <w:rFonts w:asciiTheme="majorHAnsi" w:hAnsiTheme="majorHAnsi" w:cstheme="majorHAnsi"/>
          <w:lang w:val="en-GB"/>
        </w:rPr>
        <w:t xml:space="preserve">wastewater contigs (circles, </w:t>
      </w:r>
      <w:r w:rsidR="00A847BB" w:rsidRPr="0052648D">
        <w:rPr>
          <w:rFonts w:asciiTheme="majorHAnsi" w:hAnsiTheme="majorHAnsi" w:cstheme="majorHAnsi"/>
          <w:lang w:val="en-GB"/>
        </w:rPr>
        <w:t>coloured</w:t>
      </w:r>
      <w:r w:rsidR="00412AE3" w:rsidRPr="0052648D">
        <w:rPr>
          <w:rFonts w:asciiTheme="majorHAnsi" w:hAnsiTheme="majorHAnsi" w:cstheme="majorHAnsi"/>
          <w:lang w:val="en-GB"/>
        </w:rPr>
        <w:t xml:space="preserve"> by continent) and GenBank sequences (squares).</w:t>
      </w:r>
      <w:r w:rsidR="00412AE3">
        <w:rPr>
          <w:rFonts w:asciiTheme="majorHAnsi" w:hAnsiTheme="majorHAnsi" w:cstheme="majorHAnsi"/>
          <w:lang w:val="en-GB"/>
        </w:rPr>
        <w:t xml:space="preserve"> </w:t>
      </w:r>
      <w:r w:rsidR="00412AE3" w:rsidRPr="00090907">
        <w:rPr>
          <w:rFonts w:asciiTheme="majorHAnsi" w:hAnsiTheme="majorHAnsi" w:cstheme="majorHAnsi"/>
          <w:lang w:val="en-GB"/>
        </w:rPr>
        <w:t xml:space="preserve">The </w:t>
      </w:r>
      <w:r w:rsidR="00412AE3">
        <w:rPr>
          <w:rFonts w:asciiTheme="majorHAnsi" w:hAnsiTheme="majorHAnsi" w:cstheme="majorHAnsi"/>
          <w:lang w:val="en-GB"/>
        </w:rPr>
        <w:t>bars on the side</w:t>
      </w:r>
      <w:r w:rsidR="00412AE3" w:rsidRPr="00090907">
        <w:rPr>
          <w:rFonts w:asciiTheme="majorHAnsi" w:hAnsiTheme="majorHAnsi" w:cstheme="majorHAnsi"/>
          <w:lang w:val="en-GB"/>
        </w:rPr>
        <w:t xml:space="preserve"> represent continent and country of origin</w:t>
      </w:r>
      <w:r w:rsidR="00412AE3">
        <w:rPr>
          <w:rFonts w:asciiTheme="majorHAnsi" w:hAnsiTheme="majorHAnsi" w:cstheme="majorHAnsi"/>
          <w:lang w:val="en-GB"/>
        </w:rPr>
        <w:t xml:space="preserve"> from left to right</w:t>
      </w:r>
      <w:r w:rsidR="00412AE3" w:rsidRPr="00090907">
        <w:rPr>
          <w:rFonts w:asciiTheme="majorHAnsi" w:hAnsiTheme="majorHAnsi" w:cstheme="majorHAnsi"/>
          <w:lang w:val="en-GB"/>
        </w:rPr>
        <w:t>.</w:t>
      </w:r>
    </w:p>
    <w:p w14:paraId="12F5D95C" w14:textId="77777777" w:rsidR="00CD769F" w:rsidRPr="00430D9D" w:rsidRDefault="00CD769F" w:rsidP="00CD769F">
      <w:pPr>
        <w:jc w:val="both"/>
        <w:rPr>
          <w:rFonts w:ascii="Calibri" w:hAnsi="Calibri" w:cs="Calibri"/>
        </w:rPr>
      </w:pPr>
      <w:r>
        <w:rPr>
          <w:rFonts w:ascii="Calibri" w:hAnsi="Calibri" w:cs="Calibri"/>
          <w:noProof/>
        </w:rPr>
        <w:lastRenderedPageBreak/>
        <w:drawing>
          <wp:inline distT="0" distB="0" distL="0" distR="0" wp14:anchorId="2EFF6462" wp14:editId="176FDF0C">
            <wp:extent cx="3943405" cy="5580067"/>
            <wp:effectExtent l="0" t="0" r="0" b="0"/>
            <wp:docPr id="402353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53742" name="Picture 1"/>
                    <pic:cNvPicPr/>
                  </pic:nvPicPr>
                  <pic:blipFill>
                    <a:blip r:embed="rId9"/>
                    <a:stretch>
                      <a:fillRect/>
                    </a:stretch>
                  </pic:blipFill>
                  <pic:spPr>
                    <a:xfrm>
                      <a:off x="0" y="0"/>
                      <a:ext cx="3943405" cy="5580067"/>
                    </a:xfrm>
                    <a:prstGeom prst="rect">
                      <a:avLst/>
                    </a:prstGeom>
                  </pic:spPr>
                </pic:pic>
              </a:graphicData>
            </a:graphic>
          </wp:inline>
        </w:drawing>
      </w:r>
    </w:p>
    <w:p w14:paraId="7CA05C3C" w14:textId="02107484" w:rsidR="00CD769F" w:rsidRDefault="00CD769F" w:rsidP="00CD769F">
      <w:pPr>
        <w:rPr>
          <w:rFonts w:asciiTheme="majorHAnsi" w:hAnsiTheme="majorHAnsi" w:cstheme="majorHAnsi"/>
          <w:lang w:val="en-GB"/>
        </w:rPr>
      </w:pPr>
      <w:r w:rsidRPr="00487466">
        <w:rPr>
          <w:rFonts w:ascii="Calibri" w:hAnsi="Calibri" w:cs="Calibri"/>
          <w:b/>
          <w:bCs/>
        </w:rPr>
        <w:t>Supplementary Figu</w:t>
      </w:r>
      <w:r w:rsidRPr="00CD769F">
        <w:rPr>
          <w:rFonts w:ascii="Calibri" w:hAnsi="Calibri" w:cs="Calibri"/>
          <w:b/>
          <w:bCs/>
        </w:rPr>
        <w:t>re</w:t>
      </w:r>
      <w:r w:rsidRPr="00CD769F">
        <w:rPr>
          <w:rFonts w:ascii="Calibri" w:hAnsi="Calibri" w:cs="Calibri"/>
        </w:rPr>
        <w:t xml:space="preserve"> </w:t>
      </w:r>
      <w:r w:rsidR="0083511B">
        <w:rPr>
          <w:rFonts w:ascii="Calibri" w:hAnsi="Calibri" w:cs="Calibri"/>
          <w:b/>
          <w:bCs/>
        </w:rPr>
        <w:t>4</w:t>
      </w:r>
      <w:r w:rsidRPr="00487466">
        <w:rPr>
          <w:rFonts w:ascii="Calibri" w:hAnsi="Calibri" w:cs="Calibri"/>
          <w:b/>
          <w:bCs/>
        </w:rPr>
        <w:t xml:space="preserve">. </w:t>
      </w:r>
      <w:r w:rsidRPr="00CA5C54">
        <w:rPr>
          <w:rFonts w:asciiTheme="majorHAnsi" w:hAnsiTheme="majorHAnsi" w:cstheme="majorHAnsi"/>
          <w:b/>
          <w:bCs/>
          <w:lang w:val="en-GB"/>
        </w:rPr>
        <w:t>Phylogenetic placement of hepatitis A virus genotype IA sequences detected in wastewater.</w:t>
      </w:r>
      <w:r>
        <w:rPr>
          <w:rFonts w:asciiTheme="majorHAnsi" w:hAnsiTheme="majorHAnsi" w:cstheme="majorHAnsi"/>
          <w:b/>
          <w:bCs/>
          <w:lang w:val="en-GB"/>
        </w:rPr>
        <w:t xml:space="preserve"> </w:t>
      </w:r>
      <w:r w:rsidRPr="0052648D">
        <w:rPr>
          <w:rFonts w:asciiTheme="majorHAnsi" w:hAnsiTheme="majorHAnsi" w:cstheme="majorHAnsi"/>
          <w:lang w:val="en-GB"/>
        </w:rPr>
        <w:t>Maximum-likelihood tree based on the RIVM HAV typing tool genotype IA reference alignment (n</w:t>
      </w:r>
      <w:r>
        <w:rPr>
          <w:rFonts w:asciiTheme="majorHAnsi" w:hAnsiTheme="majorHAnsi" w:cstheme="majorHAnsi"/>
          <w:lang w:val="en-GB"/>
        </w:rPr>
        <w:t>ucleotide positions</w:t>
      </w:r>
      <w:r w:rsidRPr="0052648D">
        <w:rPr>
          <w:rFonts w:asciiTheme="majorHAnsi" w:hAnsiTheme="majorHAnsi" w:cstheme="majorHAnsi"/>
          <w:lang w:val="en-GB"/>
        </w:rPr>
        <w:t xml:space="preserve"> 2192–3369 relative to NC_001489.1</w:t>
      </w:r>
      <w:r>
        <w:rPr>
          <w:rFonts w:asciiTheme="majorHAnsi" w:hAnsiTheme="majorHAnsi" w:cstheme="majorHAnsi"/>
          <w:lang w:val="en-GB"/>
        </w:rPr>
        <w:t>, VP1/2A junction</w:t>
      </w:r>
      <w:r w:rsidRPr="0052648D">
        <w:rPr>
          <w:rFonts w:asciiTheme="majorHAnsi" w:hAnsiTheme="majorHAnsi" w:cstheme="majorHAnsi"/>
          <w:lang w:val="en-GB"/>
        </w:rPr>
        <w:t xml:space="preserve">) including wastewater contigs (circles, </w:t>
      </w:r>
      <w:r w:rsidR="00A847BB" w:rsidRPr="0052648D">
        <w:rPr>
          <w:rFonts w:asciiTheme="majorHAnsi" w:hAnsiTheme="majorHAnsi" w:cstheme="majorHAnsi"/>
          <w:lang w:val="en-GB"/>
        </w:rPr>
        <w:t>coloured</w:t>
      </w:r>
      <w:r w:rsidRPr="0052648D">
        <w:rPr>
          <w:rFonts w:asciiTheme="majorHAnsi" w:hAnsiTheme="majorHAnsi" w:cstheme="majorHAnsi"/>
          <w:lang w:val="en-GB"/>
        </w:rPr>
        <w:t xml:space="preserve"> by continent) and GenBank reference sequences (squares).</w:t>
      </w:r>
      <w:r w:rsidRPr="00090907">
        <w:rPr>
          <w:rFonts w:asciiTheme="majorHAnsi" w:hAnsiTheme="majorHAnsi" w:cstheme="majorHAnsi"/>
          <w:lang w:val="en-GB"/>
        </w:rPr>
        <w:t xml:space="preserve">The </w:t>
      </w:r>
      <w:r>
        <w:rPr>
          <w:rFonts w:asciiTheme="majorHAnsi" w:hAnsiTheme="majorHAnsi" w:cstheme="majorHAnsi"/>
          <w:lang w:val="en-GB"/>
        </w:rPr>
        <w:t>bars on the side</w:t>
      </w:r>
      <w:r w:rsidRPr="00090907">
        <w:rPr>
          <w:rFonts w:asciiTheme="majorHAnsi" w:hAnsiTheme="majorHAnsi" w:cstheme="majorHAnsi"/>
          <w:lang w:val="en-GB"/>
        </w:rPr>
        <w:t xml:space="preserve"> represent continent and country of origin</w:t>
      </w:r>
      <w:r>
        <w:rPr>
          <w:rFonts w:asciiTheme="majorHAnsi" w:hAnsiTheme="majorHAnsi" w:cstheme="majorHAnsi"/>
          <w:lang w:val="en-GB"/>
        </w:rPr>
        <w:t xml:space="preserve"> from left to right</w:t>
      </w:r>
      <w:r w:rsidRPr="00090907">
        <w:rPr>
          <w:rFonts w:asciiTheme="majorHAnsi" w:hAnsiTheme="majorHAnsi" w:cstheme="majorHAnsi"/>
          <w:lang w:val="en-GB"/>
        </w:rPr>
        <w:t>.</w:t>
      </w:r>
    </w:p>
    <w:p w14:paraId="330CF3E8" w14:textId="77777777" w:rsidR="00CD769F" w:rsidRPr="00585EA6" w:rsidRDefault="00CD769F" w:rsidP="00585EA6">
      <w:pPr>
        <w:rPr>
          <w:rFonts w:asciiTheme="majorHAnsi" w:hAnsiTheme="majorHAnsi" w:cstheme="majorHAnsi"/>
          <w:b/>
          <w:bCs/>
          <w:lang w:val="en-GB"/>
        </w:rPr>
      </w:pPr>
    </w:p>
    <w:p w14:paraId="00D52162" w14:textId="4E977CA1" w:rsidR="00FB002D" w:rsidRPr="00585EA6" w:rsidRDefault="00FB002D" w:rsidP="000213BD">
      <w:pPr>
        <w:jc w:val="both"/>
        <w:rPr>
          <w:rFonts w:ascii="Calibri" w:hAnsi="Calibri" w:cs="Calibri"/>
          <w:b/>
          <w:bCs/>
          <w:lang w:val="en-GB"/>
        </w:rPr>
      </w:pPr>
    </w:p>
    <w:p w14:paraId="21F35F5D" w14:textId="77777777" w:rsidR="000213BD" w:rsidRPr="00430D9D" w:rsidRDefault="000213BD" w:rsidP="00F45CCD">
      <w:pPr>
        <w:jc w:val="both"/>
        <w:rPr>
          <w:rFonts w:ascii="Calibri" w:hAnsi="Calibri" w:cs="Calibri"/>
        </w:rPr>
      </w:pPr>
    </w:p>
    <w:p w14:paraId="2F9FE9A8" w14:textId="3BF1A9C1" w:rsidR="00AD5C70" w:rsidRPr="00430D9D" w:rsidRDefault="00FE4B22">
      <w:pPr>
        <w:rPr>
          <w:rFonts w:ascii="Calibri" w:hAnsi="Calibri" w:cs="Calibri"/>
        </w:rPr>
      </w:pPr>
      <w:r w:rsidRPr="00430D9D">
        <w:rPr>
          <w:rFonts w:ascii="Calibri" w:hAnsi="Calibri" w:cs="Calibri"/>
          <w:noProof/>
        </w:rPr>
        <w:lastRenderedPageBreak/>
        <w:drawing>
          <wp:inline distT="0" distB="0" distL="0" distR="0" wp14:anchorId="231AB32F" wp14:editId="4B3B0026">
            <wp:extent cx="5274310" cy="2926724"/>
            <wp:effectExtent l="0" t="0" r="0" b="0"/>
            <wp:docPr id="11452474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47406" name="Picture 11"/>
                    <pic:cNvPicPr/>
                  </pic:nvPicPr>
                  <pic:blipFill>
                    <a:blip r:embed="rId10"/>
                    <a:stretch>
                      <a:fillRect/>
                    </a:stretch>
                  </pic:blipFill>
                  <pic:spPr>
                    <a:xfrm>
                      <a:off x="0" y="0"/>
                      <a:ext cx="5274310" cy="2926724"/>
                    </a:xfrm>
                    <a:prstGeom prst="rect">
                      <a:avLst/>
                    </a:prstGeom>
                  </pic:spPr>
                </pic:pic>
              </a:graphicData>
            </a:graphic>
          </wp:inline>
        </w:drawing>
      </w:r>
    </w:p>
    <w:p w14:paraId="64F3D293" w14:textId="1822B77E" w:rsidR="000218C1" w:rsidRPr="00430D9D" w:rsidRDefault="000218C1" w:rsidP="000218C1">
      <w:pPr>
        <w:rPr>
          <w:rFonts w:ascii="Calibri" w:hAnsi="Calibri" w:cs="Calibri"/>
        </w:rPr>
      </w:pPr>
      <w:r w:rsidRPr="00430D9D">
        <w:rPr>
          <w:rFonts w:ascii="Calibri" w:hAnsi="Calibri" w:cs="Calibri"/>
          <w:b/>
          <w:bCs/>
        </w:rPr>
        <w:t xml:space="preserve">Supplementary figure </w:t>
      </w:r>
      <w:r w:rsidR="0083511B">
        <w:rPr>
          <w:rFonts w:ascii="Calibri" w:hAnsi="Calibri" w:cs="Calibri"/>
          <w:b/>
          <w:bCs/>
        </w:rPr>
        <w:t>5</w:t>
      </w:r>
      <w:r w:rsidRPr="00430D9D">
        <w:rPr>
          <w:rFonts w:ascii="Calibri" w:hAnsi="Calibri" w:cs="Calibri"/>
          <w:b/>
          <w:bCs/>
        </w:rPr>
        <w:t xml:space="preserve">: </w:t>
      </w:r>
      <w:r w:rsidR="00E73E8A" w:rsidRPr="00E73E8A">
        <w:rPr>
          <w:rFonts w:ascii="Calibri" w:hAnsi="Calibri" w:cs="Calibri"/>
        </w:rPr>
        <w:t>Per-capita pork consumption in 18 European countries included in this study, 2000–2021. (A) Annual trend for each country; (B) the same data shown as a country-by-year heat-mapped table. Data are expressed as food supply quantity (kg/capita/year). The shaded area in (A) indicates the wastewater sampling period (2017–2021).</w:t>
      </w:r>
      <w:r w:rsidR="00E73E8A">
        <w:rPr>
          <w:rFonts w:ascii="Calibri" w:hAnsi="Calibri" w:cs="Calibri"/>
        </w:rPr>
        <w:t xml:space="preserve"> </w:t>
      </w:r>
      <w:r w:rsidRPr="00430D9D">
        <w:rPr>
          <w:rFonts w:ascii="Calibri" w:hAnsi="Calibri" w:cs="Calibri"/>
        </w:rPr>
        <w:t>Source: FAOSTAT Food Balance Sheets via Our World in Data</w:t>
      </w:r>
      <w:r w:rsidR="008D6D10" w:rsidRPr="008D6D10">
        <w:rPr>
          <w:rFonts w:ascii="Calibri" w:eastAsia="Calibri" w:hAnsi="Calibri" w:cs="Calibri"/>
          <w:color w:val="000000"/>
          <w:vertAlign w:val="superscript"/>
        </w:rPr>
        <w:t xml:space="preserve"> </w:t>
      </w:r>
      <w:sdt>
        <w:sdtPr>
          <w:rPr>
            <w:rFonts w:ascii="Calibri" w:eastAsia="Calibri" w:hAnsi="Calibri" w:cs="Calibri"/>
            <w:color w:val="000000"/>
            <w:vertAlign w:val="superscript"/>
          </w:rPr>
          <w:tag w:val="MENDELEY_CITATION_v3_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"/>
          <w:id w:val="-1437139645"/>
          <w:placeholder>
            <w:docPart w:val="1B847E55C1E6444DAD3B36ED17A0F307"/>
          </w:placeholder>
        </w:sdtPr>
        <w:sdtContent>
          <w:r w:rsidR="00F97252" w:rsidRPr="00F97252">
            <w:rPr>
              <w:rFonts w:ascii="Calibri" w:eastAsia="Calibri" w:hAnsi="Calibri" w:cs="Calibri"/>
              <w:color w:val="000000"/>
              <w:vertAlign w:val="superscript"/>
            </w:rPr>
            <w:t>1</w:t>
          </w:r>
        </w:sdtContent>
      </w:sdt>
      <w:r w:rsidRPr="00430D9D">
        <w:rPr>
          <w:rFonts w:ascii="Calibri" w:hAnsi="Calibri" w:cs="Calibri"/>
        </w:rPr>
        <w:t>.</w:t>
      </w:r>
    </w:p>
    <w:p w14:paraId="3B21A139" w14:textId="050A9741" w:rsidR="000218C1" w:rsidRDefault="000218C1" w:rsidP="000218C1">
      <w:pPr>
        <w:rPr>
          <w:rFonts w:ascii="Calibri" w:hAnsi="Calibri" w:cs="Calibri"/>
          <w:b/>
          <w:bCs/>
        </w:rPr>
      </w:pPr>
    </w:p>
    <w:p w14:paraId="0D62ED40" w14:textId="77777777" w:rsidR="00DA4211" w:rsidRPr="00430D9D" w:rsidRDefault="00DA4211" w:rsidP="00DA4211">
      <w:pPr>
        <w:jc w:val="both"/>
        <w:rPr>
          <w:rFonts w:ascii="Calibri" w:hAnsi="Calibri" w:cs="Calibri"/>
        </w:rPr>
      </w:pPr>
    </w:p>
    <w:p w14:paraId="273466A6" w14:textId="77777777" w:rsidR="00DA4211" w:rsidRPr="00430D9D" w:rsidRDefault="00DA4211" w:rsidP="00DA4211">
      <w:pPr>
        <w:jc w:val="both"/>
        <w:rPr>
          <w:rFonts w:ascii="Calibri" w:hAnsi="Calibri" w:cs="Calibri"/>
        </w:rPr>
      </w:pPr>
      <w:r w:rsidRPr="00430D9D">
        <w:rPr>
          <w:rFonts w:ascii="Calibri" w:hAnsi="Calibri" w:cs="Calibri"/>
          <w:noProof/>
        </w:rPr>
        <w:lastRenderedPageBreak/>
        <w:drawing>
          <wp:inline distT="0" distB="0" distL="0" distR="0" wp14:anchorId="7CFA5EF0" wp14:editId="2C19118D">
            <wp:extent cx="5274310" cy="8074660"/>
            <wp:effectExtent l="0" t="0" r="0" b="2540"/>
            <wp:docPr id="18321258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125838" name="Picture 1832125838"/>
                    <pic:cNvPicPr/>
                  </pic:nvPicPr>
                  <pic:blipFill>
                    <a:blip r:embed="rId11"/>
                    <a:stretch>
                      <a:fillRect/>
                    </a:stretch>
                  </pic:blipFill>
                  <pic:spPr>
                    <a:xfrm>
                      <a:off x="0" y="0"/>
                      <a:ext cx="5274310" cy="8074660"/>
                    </a:xfrm>
                    <a:prstGeom prst="rect">
                      <a:avLst/>
                    </a:prstGeom>
                  </pic:spPr>
                </pic:pic>
              </a:graphicData>
            </a:graphic>
          </wp:inline>
        </w:drawing>
      </w:r>
    </w:p>
    <w:p w14:paraId="2052C333" w14:textId="77777777" w:rsidR="00DA4211" w:rsidRPr="00430D9D" w:rsidRDefault="00DA4211" w:rsidP="00DA4211">
      <w:pPr>
        <w:jc w:val="both"/>
        <w:rPr>
          <w:rFonts w:ascii="Calibri" w:hAnsi="Calibri" w:cs="Calibri"/>
        </w:rPr>
      </w:pPr>
    </w:p>
    <w:p w14:paraId="22174DA7" w14:textId="77777777" w:rsidR="00DA4211" w:rsidRPr="00430D9D" w:rsidRDefault="00DA4211" w:rsidP="00DA4211">
      <w:pPr>
        <w:jc w:val="both"/>
        <w:rPr>
          <w:rFonts w:ascii="Calibri" w:hAnsi="Calibri" w:cs="Calibri"/>
        </w:rPr>
      </w:pPr>
    </w:p>
    <w:p w14:paraId="44582331" w14:textId="66E73CE7" w:rsidR="00A7665D" w:rsidRDefault="00DA4211" w:rsidP="00DA4211">
      <w:pPr>
        <w:jc w:val="both"/>
        <w:rPr>
          <w:rFonts w:ascii="Calibri" w:hAnsi="Calibri" w:cs="Calibri"/>
        </w:rPr>
      </w:pPr>
      <w:r w:rsidRPr="001A1610">
        <w:rPr>
          <w:rFonts w:ascii="Calibri" w:hAnsi="Calibri" w:cs="Calibri"/>
          <w:b/>
          <w:bCs/>
        </w:rPr>
        <w:lastRenderedPageBreak/>
        <w:t>Supplementa</w:t>
      </w:r>
      <w:r w:rsidRPr="00430D9D">
        <w:rPr>
          <w:rFonts w:ascii="Calibri" w:hAnsi="Calibri" w:cs="Calibri"/>
          <w:b/>
          <w:bCs/>
        </w:rPr>
        <w:t xml:space="preserve">ry Figure </w:t>
      </w:r>
      <w:r w:rsidR="00C36AFB">
        <w:rPr>
          <w:rFonts w:ascii="Calibri" w:hAnsi="Calibri" w:cs="Calibri"/>
          <w:b/>
          <w:bCs/>
        </w:rPr>
        <w:t>6</w:t>
      </w:r>
      <w:r w:rsidRPr="00430D9D">
        <w:rPr>
          <w:rFonts w:ascii="Calibri" w:hAnsi="Calibri" w:cs="Calibri"/>
          <w:b/>
          <w:bCs/>
        </w:rPr>
        <w:t xml:space="preserve">. </w:t>
      </w:r>
      <w:r w:rsidR="00A847BB">
        <w:rPr>
          <w:rFonts w:ascii="Calibri" w:hAnsi="Calibri" w:cs="Calibri"/>
          <w:b/>
          <w:bCs/>
        </w:rPr>
        <w:t>Hepatitis E g</w:t>
      </w:r>
      <w:r w:rsidRPr="00430D9D">
        <w:rPr>
          <w:rFonts w:ascii="Calibri" w:hAnsi="Calibri" w:cs="Calibri"/>
          <w:b/>
          <w:bCs/>
        </w:rPr>
        <w:t>enotyping validation by in silico fragmentation.</w:t>
      </w:r>
      <w:r w:rsidRPr="00430D9D">
        <w:rPr>
          <w:rFonts w:ascii="Calibri" w:hAnsi="Calibri" w:cs="Calibri"/>
        </w:rPr>
        <w:t xml:space="preserve"> Reference genomes representing all recognized </w:t>
      </w:r>
      <w:r w:rsidRPr="00BB621D">
        <w:rPr>
          <w:rFonts w:ascii="Calibri" w:hAnsi="Calibri" w:cs="Calibri"/>
          <w:i/>
          <w:iCs/>
        </w:rPr>
        <w:t>Paslahepevirus balayani</w:t>
      </w:r>
      <w:r w:rsidRPr="00430D9D">
        <w:rPr>
          <w:rFonts w:ascii="Calibri" w:hAnsi="Calibri" w:cs="Calibri"/>
        </w:rPr>
        <w:t xml:space="preserve"> subtypes (HEV-</w:t>
      </w:r>
      <w:proofErr w:type="spellStart"/>
      <w:r w:rsidRPr="00430D9D">
        <w:rPr>
          <w:rFonts w:ascii="Calibri" w:hAnsi="Calibri" w:cs="Calibri"/>
        </w:rPr>
        <w:t>1a</w:t>
      </w:r>
      <w:proofErr w:type="spellEnd"/>
      <w:r w:rsidRPr="00430D9D">
        <w:rPr>
          <w:rFonts w:ascii="Calibri" w:hAnsi="Calibri" w:cs="Calibri"/>
        </w:rPr>
        <w:t>–</w:t>
      </w:r>
      <w:proofErr w:type="spellStart"/>
      <w:r w:rsidRPr="00430D9D">
        <w:rPr>
          <w:rFonts w:ascii="Calibri" w:hAnsi="Calibri" w:cs="Calibri"/>
        </w:rPr>
        <w:t>1g</w:t>
      </w:r>
      <w:proofErr w:type="spellEnd"/>
      <w:r w:rsidRPr="00430D9D">
        <w:rPr>
          <w:rFonts w:ascii="Calibri" w:hAnsi="Calibri" w:cs="Calibri"/>
        </w:rPr>
        <w:t xml:space="preserve">, </w:t>
      </w:r>
      <w:proofErr w:type="spellStart"/>
      <w:r w:rsidRPr="00430D9D">
        <w:rPr>
          <w:rFonts w:ascii="Calibri" w:hAnsi="Calibri" w:cs="Calibri"/>
        </w:rPr>
        <w:t>2a</w:t>
      </w:r>
      <w:proofErr w:type="spellEnd"/>
      <w:r w:rsidRPr="00430D9D">
        <w:rPr>
          <w:rFonts w:ascii="Calibri" w:hAnsi="Calibri" w:cs="Calibri"/>
        </w:rPr>
        <w:t>–</w:t>
      </w:r>
      <w:proofErr w:type="spellStart"/>
      <w:r w:rsidRPr="00430D9D">
        <w:rPr>
          <w:rFonts w:ascii="Calibri" w:hAnsi="Calibri" w:cs="Calibri"/>
        </w:rPr>
        <w:t>2b</w:t>
      </w:r>
      <w:proofErr w:type="spellEnd"/>
      <w:r w:rsidRPr="00430D9D">
        <w:rPr>
          <w:rFonts w:ascii="Calibri" w:hAnsi="Calibri" w:cs="Calibri"/>
        </w:rPr>
        <w:t xml:space="preserve">, 3a–3m, 3ra, 4a–4i, 5a, 6a, </w:t>
      </w:r>
      <w:proofErr w:type="spellStart"/>
      <w:r w:rsidRPr="00430D9D">
        <w:rPr>
          <w:rFonts w:ascii="Calibri" w:hAnsi="Calibri" w:cs="Calibri"/>
        </w:rPr>
        <w:t>7a</w:t>
      </w:r>
      <w:proofErr w:type="spellEnd"/>
      <w:r w:rsidRPr="00430D9D">
        <w:rPr>
          <w:rFonts w:ascii="Calibri" w:hAnsi="Calibri" w:cs="Calibri"/>
        </w:rPr>
        <w:t xml:space="preserve">, </w:t>
      </w:r>
      <w:proofErr w:type="spellStart"/>
      <w:r w:rsidRPr="00430D9D">
        <w:rPr>
          <w:rFonts w:ascii="Calibri" w:hAnsi="Calibri" w:cs="Calibri"/>
        </w:rPr>
        <w:t>8a</w:t>
      </w:r>
      <w:proofErr w:type="spellEnd"/>
      <w:r w:rsidRPr="00430D9D">
        <w:rPr>
          <w:rFonts w:ascii="Calibri" w:hAnsi="Calibri" w:cs="Calibri"/>
        </w:rPr>
        <w:t xml:space="preserve">) and </w:t>
      </w:r>
      <w:proofErr w:type="spellStart"/>
      <w:r w:rsidRPr="00BB621D">
        <w:rPr>
          <w:rFonts w:ascii="Calibri" w:hAnsi="Calibri" w:cs="Calibri"/>
          <w:i/>
          <w:iCs/>
        </w:rPr>
        <w:t>Rocahepevirus</w:t>
      </w:r>
      <w:proofErr w:type="spellEnd"/>
      <w:r w:rsidRPr="00BB621D">
        <w:rPr>
          <w:rFonts w:ascii="Calibri" w:hAnsi="Calibri" w:cs="Calibri"/>
          <w:i/>
          <w:iCs/>
        </w:rPr>
        <w:t xml:space="preserve"> ratti </w:t>
      </w:r>
      <w:r w:rsidRPr="00430D9D">
        <w:rPr>
          <w:rFonts w:ascii="Calibri" w:hAnsi="Calibri" w:cs="Calibri"/>
        </w:rPr>
        <w:t>were fragmented in silico into overlapping segments of five sizes (300, 500, 1000, 3000, and 6000 bp) at 100-bp intervals across the full genome. Each fragment was submitted to the RIVM HEV Genotyping Tool, and the assigned classification was compared to the known genotype of the source genome. Each dot represents one fragment, positioned at its start coordinate along the reference genome (x-axis) and grouped by fragment size (y-axis). Colours indicate classification outcomes: teal, correct subtype; dark blue, correct genus-level identification (</w:t>
      </w:r>
      <w:proofErr w:type="spellStart"/>
      <w:r w:rsidRPr="00BB621D">
        <w:rPr>
          <w:rFonts w:ascii="Calibri" w:hAnsi="Calibri" w:cs="Calibri"/>
          <w:i/>
          <w:iCs/>
        </w:rPr>
        <w:t>Rocahepevirus</w:t>
      </w:r>
      <w:proofErr w:type="spellEnd"/>
      <w:r w:rsidRPr="00430D9D">
        <w:rPr>
          <w:rFonts w:ascii="Calibri" w:hAnsi="Calibri" w:cs="Calibri"/>
        </w:rPr>
        <w:t>, for which no phylogenetic references are available in the typing tool); salmon, correct genotype but subtype not resolved; blue-grey, incorrect subtype; dark red, incorrect genotype; red, cross-genus misclassification (</w:t>
      </w:r>
      <w:proofErr w:type="spellStart"/>
      <w:r w:rsidRPr="00BB621D">
        <w:rPr>
          <w:rFonts w:ascii="Calibri" w:hAnsi="Calibri" w:cs="Calibri"/>
          <w:i/>
          <w:iCs/>
        </w:rPr>
        <w:t>Rocahepevirus</w:t>
      </w:r>
      <w:proofErr w:type="spellEnd"/>
      <w:r w:rsidRPr="00BB621D">
        <w:rPr>
          <w:rFonts w:ascii="Calibri" w:hAnsi="Calibri" w:cs="Calibri"/>
          <w:i/>
          <w:iCs/>
        </w:rPr>
        <w:t xml:space="preserve"> </w:t>
      </w:r>
      <w:r w:rsidRPr="00430D9D">
        <w:rPr>
          <w:rFonts w:ascii="Calibri" w:hAnsi="Calibri" w:cs="Calibri"/>
        </w:rPr>
        <w:t xml:space="preserve">classified as </w:t>
      </w:r>
      <w:r w:rsidRPr="00BB621D">
        <w:rPr>
          <w:rFonts w:ascii="Calibri" w:hAnsi="Calibri" w:cs="Calibri"/>
          <w:i/>
          <w:iCs/>
        </w:rPr>
        <w:t>Paslahepevirus</w:t>
      </w:r>
      <w:r w:rsidRPr="00430D9D">
        <w:rPr>
          <w:rFonts w:ascii="Calibri" w:hAnsi="Calibri" w:cs="Calibri"/>
        </w:rPr>
        <w:t>); grey, unassigned.</w:t>
      </w:r>
      <w:r w:rsidR="00A7665D">
        <w:rPr>
          <w:rFonts w:ascii="Calibri" w:hAnsi="Calibri" w:cs="Calibri"/>
        </w:rPr>
        <w:t xml:space="preserve"> </w:t>
      </w:r>
      <w:r w:rsidR="00A7665D" w:rsidRPr="001947AF">
        <w:rPr>
          <w:rFonts w:ascii="Calibri" w:hAnsi="Calibri" w:cs="Calibri"/>
          <w:color w:val="000000" w:themeColor="text1"/>
        </w:rPr>
        <w:t>Overall, 93.0% of fragments were correctly assigned at the genotype level</w:t>
      </w:r>
      <w:r w:rsidR="00A7665D">
        <w:rPr>
          <w:rFonts w:ascii="Calibri" w:hAnsi="Calibri" w:cs="Calibri"/>
          <w:color w:val="000000" w:themeColor="text1"/>
        </w:rPr>
        <w:t xml:space="preserve">, </w:t>
      </w:r>
      <w:r w:rsidR="00A7665D" w:rsidRPr="00685B0A">
        <w:rPr>
          <w:rFonts w:ascii="Calibri" w:hAnsi="Calibri" w:cs="Calibri"/>
          <w:color w:val="000000" w:themeColor="text1"/>
        </w:rPr>
        <w:t>but subtype resolution was limited for shorter contigs, with 17% remaining unassigned at the subtype level.</w:t>
      </w:r>
      <w:r w:rsidR="00A7665D">
        <w:rPr>
          <w:rFonts w:ascii="Calibri" w:hAnsi="Calibri" w:cs="Calibri"/>
          <w:i/>
          <w:iCs/>
          <w:color w:val="000000" w:themeColor="text1"/>
        </w:rPr>
        <w:t xml:space="preserve"> </w:t>
      </w:r>
      <w:r w:rsidR="00A7665D" w:rsidRPr="001947AF">
        <w:rPr>
          <w:rFonts w:ascii="Calibri" w:hAnsi="Calibri" w:cs="Calibri"/>
          <w:color w:val="000000" w:themeColor="text1"/>
        </w:rPr>
        <w:t xml:space="preserve">No cross-genus misclassification of </w:t>
      </w:r>
      <w:proofErr w:type="spellStart"/>
      <w:r w:rsidR="00A7665D" w:rsidRPr="00EA4DCB">
        <w:rPr>
          <w:rFonts w:ascii="Calibri" w:hAnsi="Calibri" w:cs="Calibri"/>
          <w:i/>
          <w:iCs/>
          <w:color w:val="000000" w:themeColor="text1"/>
        </w:rPr>
        <w:t>Rocahepevirus</w:t>
      </w:r>
      <w:proofErr w:type="spellEnd"/>
      <w:r w:rsidR="00A7665D" w:rsidRPr="00EA4DCB">
        <w:rPr>
          <w:rFonts w:ascii="Calibri" w:hAnsi="Calibri" w:cs="Calibri"/>
          <w:i/>
          <w:iCs/>
          <w:color w:val="000000" w:themeColor="text1"/>
        </w:rPr>
        <w:t xml:space="preserve"> </w:t>
      </w:r>
      <w:r w:rsidR="00A7665D" w:rsidRPr="001947AF">
        <w:rPr>
          <w:rFonts w:ascii="Calibri" w:hAnsi="Calibri" w:cs="Calibri"/>
          <w:color w:val="000000" w:themeColor="text1"/>
        </w:rPr>
        <w:t>as</w:t>
      </w:r>
      <w:r w:rsidR="00A7665D">
        <w:rPr>
          <w:rFonts w:ascii="Calibri" w:hAnsi="Calibri" w:cs="Calibri"/>
          <w:color w:val="000000" w:themeColor="text1"/>
        </w:rPr>
        <w:t xml:space="preserve"> </w:t>
      </w:r>
      <w:r w:rsidR="00A7665D" w:rsidRPr="00EA4DCB">
        <w:rPr>
          <w:rFonts w:ascii="Calibri" w:hAnsi="Calibri" w:cs="Calibri"/>
          <w:i/>
          <w:iCs/>
          <w:color w:val="000000" w:themeColor="text1"/>
        </w:rPr>
        <w:t>Paslahepevirus</w:t>
      </w:r>
      <w:r w:rsidR="00A7665D" w:rsidRPr="001947AF">
        <w:rPr>
          <w:rFonts w:ascii="Calibri" w:hAnsi="Calibri" w:cs="Calibri"/>
          <w:color w:val="000000" w:themeColor="text1"/>
        </w:rPr>
        <w:t xml:space="preserve"> was observed</w:t>
      </w:r>
      <w:r w:rsidR="00300CF0">
        <w:rPr>
          <w:rFonts w:ascii="Calibri" w:hAnsi="Calibri" w:cs="Calibri"/>
          <w:color w:val="000000" w:themeColor="text1"/>
        </w:rPr>
        <w:t xml:space="preserve">. </w:t>
      </w:r>
    </w:p>
    <w:p w14:paraId="55C8A4B1" w14:textId="77777777" w:rsidR="00DA4211" w:rsidRPr="00430D9D" w:rsidRDefault="00DA4211" w:rsidP="000218C1">
      <w:pPr>
        <w:rPr>
          <w:rFonts w:ascii="Calibri" w:hAnsi="Calibri" w:cs="Calibri"/>
          <w:b/>
          <w:bCs/>
        </w:rPr>
      </w:pPr>
    </w:p>
    <w:sectPr w:rsidR="00DA4211" w:rsidRPr="00430D9D" w:rsidSect="00034616">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C633D02"/>
    <w:multiLevelType w:val="hybridMultilevel"/>
    <w:tmpl w:val="7A4A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4409225">
    <w:abstractNumId w:val="8"/>
  </w:num>
  <w:num w:numId="2" w16cid:durableId="365177891">
    <w:abstractNumId w:val="6"/>
  </w:num>
  <w:num w:numId="3" w16cid:durableId="202329588">
    <w:abstractNumId w:val="5"/>
  </w:num>
  <w:num w:numId="4" w16cid:durableId="206570135">
    <w:abstractNumId w:val="4"/>
  </w:num>
  <w:num w:numId="5" w16cid:durableId="1292134087">
    <w:abstractNumId w:val="7"/>
  </w:num>
  <w:num w:numId="6" w16cid:durableId="322782063">
    <w:abstractNumId w:val="3"/>
  </w:num>
  <w:num w:numId="7" w16cid:durableId="214662967">
    <w:abstractNumId w:val="2"/>
  </w:num>
  <w:num w:numId="8" w16cid:durableId="1084254563">
    <w:abstractNumId w:val="1"/>
  </w:num>
  <w:num w:numId="9" w16cid:durableId="63378226">
    <w:abstractNumId w:val="0"/>
  </w:num>
  <w:num w:numId="10" w16cid:durableId="190645380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3BD"/>
    <w:rsid w:val="000218C1"/>
    <w:rsid w:val="00032EAB"/>
    <w:rsid w:val="00034616"/>
    <w:rsid w:val="00052F27"/>
    <w:rsid w:val="0006063C"/>
    <w:rsid w:val="000837C2"/>
    <w:rsid w:val="000B438D"/>
    <w:rsid w:val="000C3EBA"/>
    <w:rsid w:val="00100E06"/>
    <w:rsid w:val="00147466"/>
    <w:rsid w:val="0015074B"/>
    <w:rsid w:val="001A1610"/>
    <w:rsid w:val="0020124F"/>
    <w:rsid w:val="002058F3"/>
    <w:rsid w:val="00233804"/>
    <w:rsid w:val="0027737F"/>
    <w:rsid w:val="0029639D"/>
    <w:rsid w:val="002F09A6"/>
    <w:rsid w:val="00300CF0"/>
    <w:rsid w:val="00326F90"/>
    <w:rsid w:val="0033144B"/>
    <w:rsid w:val="0033282C"/>
    <w:rsid w:val="003C2D62"/>
    <w:rsid w:val="003D4F1C"/>
    <w:rsid w:val="003E531E"/>
    <w:rsid w:val="00412AE3"/>
    <w:rsid w:val="00430D9D"/>
    <w:rsid w:val="00444289"/>
    <w:rsid w:val="00465CC1"/>
    <w:rsid w:val="00487466"/>
    <w:rsid w:val="0052648D"/>
    <w:rsid w:val="0055757D"/>
    <w:rsid w:val="00573FD2"/>
    <w:rsid w:val="00581C72"/>
    <w:rsid w:val="00585EA6"/>
    <w:rsid w:val="00593ED6"/>
    <w:rsid w:val="005C76F1"/>
    <w:rsid w:val="006763A8"/>
    <w:rsid w:val="006C039D"/>
    <w:rsid w:val="006C359A"/>
    <w:rsid w:val="006F0BA6"/>
    <w:rsid w:val="00733129"/>
    <w:rsid w:val="0074731E"/>
    <w:rsid w:val="00764AD9"/>
    <w:rsid w:val="007C0089"/>
    <w:rsid w:val="007F77AA"/>
    <w:rsid w:val="0083511B"/>
    <w:rsid w:val="008529F7"/>
    <w:rsid w:val="00856B48"/>
    <w:rsid w:val="008C4942"/>
    <w:rsid w:val="008D6D10"/>
    <w:rsid w:val="008D759F"/>
    <w:rsid w:val="00911865"/>
    <w:rsid w:val="009255B0"/>
    <w:rsid w:val="009903C9"/>
    <w:rsid w:val="00990FCF"/>
    <w:rsid w:val="009E172A"/>
    <w:rsid w:val="009F1677"/>
    <w:rsid w:val="00A37EE8"/>
    <w:rsid w:val="00A501B0"/>
    <w:rsid w:val="00A7665D"/>
    <w:rsid w:val="00A8252D"/>
    <w:rsid w:val="00A847BB"/>
    <w:rsid w:val="00A95D79"/>
    <w:rsid w:val="00AA1D8D"/>
    <w:rsid w:val="00AD5C70"/>
    <w:rsid w:val="00AF271C"/>
    <w:rsid w:val="00B12BDC"/>
    <w:rsid w:val="00B35EA6"/>
    <w:rsid w:val="00B4099E"/>
    <w:rsid w:val="00B468EA"/>
    <w:rsid w:val="00B47730"/>
    <w:rsid w:val="00B53A47"/>
    <w:rsid w:val="00B54635"/>
    <w:rsid w:val="00B65713"/>
    <w:rsid w:val="00BB0E7C"/>
    <w:rsid w:val="00BB621D"/>
    <w:rsid w:val="00C06E27"/>
    <w:rsid w:val="00C36AFB"/>
    <w:rsid w:val="00CA30EF"/>
    <w:rsid w:val="00CA5C54"/>
    <w:rsid w:val="00CB0664"/>
    <w:rsid w:val="00CD769F"/>
    <w:rsid w:val="00CE2364"/>
    <w:rsid w:val="00D54889"/>
    <w:rsid w:val="00D55D87"/>
    <w:rsid w:val="00D67448"/>
    <w:rsid w:val="00D90C7C"/>
    <w:rsid w:val="00DA4211"/>
    <w:rsid w:val="00DB3BEC"/>
    <w:rsid w:val="00DF463D"/>
    <w:rsid w:val="00E17036"/>
    <w:rsid w:val="00E32C67"/>
    <w:rsid w:val="00E73E8A"/>
    <w:rsid w:val="00E826A6"/>
    <w:rsid w:val="00EA15D0"/>
    <w:rsid w:val="00EA693A"/>
    <w:rsid w:val="00F45CCD"/>
    <w:rsid w:val="00F9068B"/>
    <w:rsid w:val="00F97252"/>
    <w:rsid w:val="00FB002D"/>
    <w:rsid w:val="00FC2D11"/>
    <w:rsid w:val="00FC693F"/>
    <w:rsid w:val="00FD03DD"/>
    <w:rsid w:val="00FD7248"/>
    <w:rsid w:val="00FE4B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5E8726"/>
  <w14:defaultImageDpi w14:val="300"/>
  <w15:docId w15:val="{227C7225-7C43-0E4A-A2A2-BC891B326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EA15D0"/>
    <w:rPr>
      <w:sz w:val="16"/>
      <w:szCs w:val="16"/>
    </w:rPr>
  </w:style>
  <w:style w:type="paragraph" w:styleId="CommentText">
    <w:name w:val="annotation text"/>
    <w:basedOn w:val="Normal"/>
    <w:link w:val="CommentTextChar"/>
    <w:uiPriority w:val="99"/>
    <w:unhideWhenUsed/>
    <w:rsid w:val="00EA15D0"/>
    <w:pPr>
      <w:spacing w:line="240" w:lineRule="auto"/>
    </w:pPr>
    <w:rPr>
      <w:sz w:val="20"/>
      <w:szCs w:val="20"/>
    </w:rPr>
  </w:style>
  <w:style w:type="character" w:customStyle="1" w:styleId="CommentTextChar">
    <w:name w:val="Comment Text Char"/>
    <w:basedOn w:val="DefaultParagraphFont"/>
    <w:link w:val="CommentText"/>
    <w:uiPriority w:val="99"/>
    <w:rsid w:val="00EA15D0"/>
    <w:rPr>
      <w:sz w:val="20"/>
      <w:szCs w:val="20"/>
    </w:rPr>
  </w:style>
  <w:style w:type="paragraph" w:styleId="CommentSubject">
    <w:name w:val="annotation subject"/>
    <w:basedOn w:val="CommentText"/>
    <w:next w:val="CommentText"/>
    <w:link w:val="CommentSubjectChar"/>
    <w:uiPriority w:val="99"/>
    <w:semiHidden/>
    <w:unhideWhenUsed/>
    <w:rsid w:val="00EA15D0"/>
    <w:rPr>
      <w:b/>
      <w:bCs/>
    </w:rPr>
  </w:style>
  <w:style w:type="character" w:customStyle="1" w:styleId="CommentSubjectChar">
    <w:name w:val="Comment Subject Char"/>
    <w:basedOn w:val="CommentTextChar"/>
    <w:link w:val="CommentSubject"/>
    <w:uiPriority w:val="99"/>
    <w:semiHidden/>
    <w:rsid w:val="00EA15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B847E55C1E6444DAD3B36ED17A0F307"/>
        <w:category>
          <w:name w:val="General"/>
          <w:gallery w:val="placeholder"/>
        </w:category>
        <w:types>
          <w:type w:val="bbPlcHdr"/>
        </w:types>
        <w:behaviors>
          <w:behavior w:val="content"/>
        </w:behaviors>
        <w:guid w:val="{8EB5F705-62F1-CB4D-81B6-7E7AAC13462F}"/>
      </w:docPartPr>
      <w:docPartBody>
        <w:p w:rsidR="003743C0" w:rsidRDefault="00547C2E" w:rsidP="00547C2E">
          <w:pPr>
            <w:pStyle w:val="1B847E55C1E6444DAD3B36ED17A0F307"/>
          </w:pPr>
          <w:r w:rsidRPr="003803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C2E"/>
    <w:rsid w:val="000615FC"/>
    <w:rsid w:val="00147466"/>
    <w:rsid w:val="003743C0"/>
    <w:rsid w:val="00487A7D"/>
    <w:rsid w:val="00547C2E"/>
    <w:rsid w:val="00B35EA6"/>
    <w:rsid w:val="00C3719C"/>
    <w:rsid w:val="00C7575D"/>
    <w:rsid w:val="00D55D8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NL"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7C2E"/>
    <w:rPr>
      <w:color w:val="666666"/>
    </w:rPr>
  </w:style>
  <w:style w:type="paragraph" w:customStyle="1" w:styleId="1B847E55C1E6444DAD3B36ED17A0F307">
    <w:name w:val="1B847E55C1E6444DAD3B36ED17A0F307"/>
    <w:rsid w:val="00547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0519F3-DD46-F743-A63A-D7B3D34AA02F}">
  <we:reference id="wa104382081" version="1.55.1.0" store="es-ES" storeType="OMEX"/>
  <we:alternateReferences>
    <we:reference id="WA104382081" version="1.55.1.0" store="" storeType="OMEX"/>
  </we:alternateReferences>
  <we:properties>
    <we:property name="MENDELEY_CITATIONS" value="[{&quot;citationID&quot;:&quot;MENDELEY_CITATION_8e349304-ebd3-4da8-9b0d-2bd55a4a6f87&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&quot;,&quot;citationItems&quot;:[{&quot;id&quot;:&quot;113fbd8d-7c40-3cda-9de3-6e040fbccc77&quot;,&quot;itemData&quot;:{&quot;type&quot;:&quot;article&quot;,&quot;id&quot;:&quot;113fbd8d-7c40-3cda-9de3-6e040fbccc77&quot;,&quot;title&quot;:&quot;Yearly per capita supply of pig meat [dataset]&quot;,&quot;author&quot;:[{&quot;family&quot;:&quot;Food and Agriculture Organization of the United Nations (FAO)&quot;,&quot;given&quot;:&quot;&quot;,&quot;parse-names&quot;:false,&quot;dropping-particle&quot;:&quot;&quot;,&quot;non-dropping-particle&quot;:&quot;&quot;}],&quot;accessed&quot;:{&quot;date-parts&quot;:[[2026,4,10]]},&quot;URL&quot;:&quot;https://ourworldindata.org/grapher/per-capita-meat-consumption-by-type-kilograms-per-year?country=OWID_WRL~HUN&quot;,&quot;issued&quot;:{&quot;date-parts&quot;:[[2025]]},&quot;publisher&quot;:&quot;Food Balances (2010–), FAOSTAT — processed by Our World in Data&quot;,&quot;container-title-short&quot;:&quot;&quot;},&quot;isTemporary&quot;:false}]}]"/>
    <we:property name="MENDELEY_CITATIONS_LOCALE_CODE" value="&quot;en-GB&quot;"/>
    <we:property name="MENDELEY_CITATIONS_STYLE" value="{&quot;id&quot;:&quot;https://www.zotero.org/styles/nature-communications&quot;,&quot;title&quot;:&quot;Nature Communication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527</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Miranda de Graaf</cp:lastModifiedBy>
  <cp:revision>4</cp:revision>
  <dcterms:created xsi:type="dcterms:W3CDTF">2026-07-27T08:42:00Z</dcterms:created>
  <dcterms:modified xsi:type="dcterms:W3CDTF">2026-07-27T10:04:00Z</dcterms:modified>
  <cp:category/>
</cp:coreProperties>
</file>