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673" w:rsidRDefault="00D52673" w:rsidP="00D5267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upplementary material</w:t>
      </w:r>
    </w:p>
    <w:p w:rsidR="0039403F" w:rsidRDefault="0039403F" w:rsidP="0039403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F53EF">
        <w:rPr>
          <w:rFonts w:ascii="Times New Roman" w:hAnsi="Times New Roman" w:cs="Times New Roman"/>
          <w:b/>
          <w:sz w:val="24"/>
          <w:szCs w:val="24"/>
        </w:rPr>
        <w:t xml:space="preserve">Geographic information system </w:t>
      </w:r>
      <w:r w:rsidRPr="003F53EF">
        <w:rPr>
          <w:rFonts w:ascii="Times New Roman" w:hAnsi="Times New Roman" w:cs="Times New Roman" w:hint="eastAsia"/>
          <w:b/>
          <w:sz w:val="24"/>
          <w:szCs w:val="24"/>
        </w:rPr>
        <w:t>methods</w:t>
      </w:r>
      <w:r w:rsidRPr="003F53E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tell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7813F7">
        <w:rPr>
          <w:rFonts w:ascii="Times New Roman" w:hAnsi="Times New Roman" w:cs="Times New Roman"/>
          <w:b/>
          <w:sz w:val="24"/>
          <w:szCs w:val="24"/>
        </w:rPr>
        <w:t xml:space="preserve">patiotemporal Transmission </w:t>
      </w:r>
      <w:r>
        <w:rPr>
          <w:rFonts w:ascii="Times New Roman" w:hAnsi="Times New Roman" w:cs="Times New Roman"/>
          <w:b/>
          <w:sz w:val="24"/>
          <w:szCs w:val="24"/>
        </w:rPr>
        <w:t>and its drivers of COVID-19 in street-level of Wuhan, China</w:t>
      </w:r>
    </w:p>
    <w:p w:rsidR="00A15E1E" w:rsidRDefault="00A15E1E" w:rsidP="00D52673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52673" w:rsidRPr="00024201" w:rsidRDefault="00D52673" w:rsidP="00D52673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  <w:r w:rsidRPr="00024201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</w:t>
      </w:r>
      <w:r w:rsidRPr="0002420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upplementary</w:t>
      </w:r>
      <w:r w:rsidRPr="00024201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02420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methods</w:t>
      </w:r>
    </w:p>
    <w:p w:rsidR="00D52673" w:rsidRPr="00BF3879" w:rsidRDefault="00D52673" w:rsidP="00D52673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 account of a series of </w:t>
      </w:r>
      <w:r w:rsidRPr="00BF38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measures imposed by the government to curb the flow of people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(including c</w:t>
      </w:r>
      <w:r w:rsidRPr="00BF38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ity lockdown, traffic suspension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>strict stay-at-home policy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the travel of </w:t>
      </w:r>
      <w:r w:rsidRPr="00BF38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residents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 Wuhan city wa</w:t>
      </w:r>
      <w:r w:rsidRPr="00BF3879">
        <w:rPr>
          <w:rFonts w:ascii="Times New Roman" w:hAnsi="Times New Roman" w:cs="Times New Roman"/>
          <w:color w:val="000000" w:themeColor="text1"/>
          <w:sz w:val="24"/>
          <w:szCs w:val="24"/>
        </w:rPr>
        <w:t>s largely confined to the streets where they live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d. Therefore, we explored </w:t>
      </w:r>
      <w:r w:rsidRPr="00225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variation of population density and public facilities in each street to COVID-19 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>elated indicators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52673" w:rsidRPr="00E90142" w:rsidRDefault="00D52673" w:rsidP="00D52673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25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specific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COVID-19 </w:t>
      </w:r>
      <w:r w:rsidRPr="00732513">
        <w:rPr>
          <w:rFonts w:ascii="Times New Roman" w:hAnsi="Times New Roman" w:cs="Times New Roman"/>
          <w:color w:val="000000" w:themeColor="text1"/>
          <w:sz w:val="24"/>
          <w:szCs w:val="24"/>
        </w:rPr>
        <w:t>indicators are as follows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W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>e calculated the prevalence and daily attack rate of each street, which were defined as case number divided by the number of street residents (per 10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people), and the number of daily new cases divided by the number of street residents (per day per 10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people), respectively. In order to facilitate comparison, we assume that the growth of COVID-19 cases for Wuhan exhibit the exponential growth dynamics all the time. Therefore, the doubling time of COVID-19 in each street was calculated according to the equation introduced by </w:t>
      </w:r>
      <w:proofErr w:type="spellStart"/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>Weon</w:t>
      </w:r>
      <w:proofErr w:type="spellEnd"/>
      <w:r w:rsidRPr="00E9014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[1]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D52673" w:rsidRPr="00E90142" w:rsidRDefault="00D52673" w:rsidP="00D52673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E9014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α (t) = </w:t>
      </w:r>
      <w:proofErr w:type="spellStart"/>
      <w:r w:rsidRPr="00E9014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Δt</w:t>
      </w:r>
      <w:proofErr w:type="spellEnd"/>
      <w:r w:rsidRPr="00E9014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× l</w:t>
      </w:r>
      <w:r w:rsidRPr="00E90142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n</w:t>
      </w:r>
      <w:r w:rsidRPr="00E9014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 / ln (</w:t>
      </w:r>
      <w:proofErr w:type="spellStart"/>
      <w:r w:rsidRPr="00E9014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E90142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t</w:t>
      </w:r>
      <w:proofErr w:type="spellEnd"/>
      <w:r w:rsidRPr="00E9014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/ N</w:t>
      </w:r>
      <w:r w:rsidRPr="00E90142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0</w:t>
      </w:r>
      <w:r w:rsidRPr="00E9014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</w:p>
    <w:p w:rsidR="00D52673" w:rsidRPr="00E90142" w:rsidRDefault="00D52673" w:rsidP="00D52673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0142">
        <w:rPr>
          <w:rFonts w:ascii="Times New Roman" w:hAnsi="Times New Roman" w:cs="Times New Roman"/>
          <w:sz w:val="24"/>
          <w:szCs w:val="24"/>
        </w:rPr>
        <w:t xml:space="preserve">Here, </w:t>
      </w:r>
      <w:r w:rsidRPr="00E9014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α 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E9014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E9014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90142">
        <w:rPr>
          <w:rFonts w:ascii="Times New Roman" w:hAnsi="Times New Roman" w:cs="Times New Roman"/>
          <w:sz w:val="24"/>
          <w:szCs w:val="24"/>
        </w:rPr>
        <w:t xml:space="preserve">is the doubling time; </w:t>
      </w:r>
      <w:proofErr w:type="spellStart"/>
      <w:r w:rsidRPr="00E90142">
        <w:rPr>
          <w:rFonts w:ascii="Times New Roman" w:hAnsi="Times New Roman" w:cs="Times New Roman"/>
          <w:i/>
          <w:sz w:val="24"/>
          <w:szCs w:val="24"/>
        </w:rPr>
        <w:t>Nt</w:t>
      </w:r>
      <w:proofErr w:type="spellEnd"/>
      <w:r w:rsidRPr="00E9014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90142">
        <w:rPr>
          <w:rFonts w:ascii="Times New Roman" w:hAnsi="Times New Roman" w:cs="Times New Roman"/>
          <w:sz w:val="24"/>
          <w:szCs w:val="24"/>
        </w:rPr>
        <w:t>is the cumulative number of cases on the last day of each period;</w:t>
      </w:r>
      <w:r w:rsidRPr="00E90142">
        <w:rPr>
          <w:rFonts w:ascii="Times New Roman" w:hAnsi="Times New Roman" w:cs="Times New Roman"/>
          <w:i/>
          <w:sz w:val="24"/>
          <w:szCs w:val="24"/>
        </w:rPr>
        <w:t xml:space="preserve"> N</w:t>
      </w:r>
      <w:r w:rsidRPr="00E90142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0 </w:t>
      </w:r>
      <w:r w:rsidRPr="00E90142">
        <w:rPr>
          <w:rFonts w:ascii="Times New Roman" w:hAnsi="Times New Roman" w:cs="Times New Roman"/>
          <w:sz w:val="24"/>
          <w:szCs w:val="24"/>
        </w:rPr>
        <w:t>is the cumulative number of cases on the first day of each period</w:t>
      </w:r>
      <w:r w:rsidRPr="00E90142">
        <w:rPr>
          <w:rFonts w:ascii="Times New Roman" w:hAnsi="Times New Roman" w:cs="Times New Roman" w:hint="eastAsia"/>
          <w:sz w:val="24"/>
          <w:szCs w:val="24"/>
        </w:rPr>
        <w:t>,</w:t>
      </w:r>
      <w:r w:rsidRPr="00E90142">
        <w:rPr>
          <w:rFonts w:ascii="Times New Roman" w:hAnsi="Times New Roman" w:cs="Times New Roman"/>
          <w:sz w:val="24"/>
          <w:szCs w:val="24"/>
        </w:rPr>
        <w:t xml:space="preserve"> but if the cumulative cases of a street on the first day of this period were zero, we set </w:t>
      </w:r>
      <w:r w:rsidRPr="00E90142">
        <w:rPr>
          <w:rFonts w:ascii="Times New Roman" w:hAnsi="Times New Roman" w:cs="Times New Roman"/>
          <w:i/>
          <w:sz w:val="24"/>
          <w:szCs w:val="24"/>
        </w:rPr>
        <w:t>N</w:t>
      </w:r>
      <w:r w:rsidRPr="00E90142">
        <w:rPr>
          <w:rFonts w:ascii="Times New Roman" w:hAnsi="Times New Roman" w:cs="Times New Roman"/>
          <w:i/>
          <w:sz w:val="24"/>
          <w:szCs w:val="24"/>
          <w:vertAlign w:val="subscript"/>
        </w:rPr>
        <w:t>0</w:t>
      </w:r>
      <w:r w:rsidRPr="00E90142">
        <w:rPr>
          <w:rFonts w:ascii="Times New Roman" w:hAnsi="Times New Roman" w:cs="Times New Roman"/>
          <w:sz w:val="24"/>
          <w:szCs w:val="24"/>
        </w:rPr>
        <w:t xml:space="preserve"> as 1; </w:t>
      </w:r>
      <w:proofErr w:type="spellStart"/>
      <w:r w:rsidRPr="00E9014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Δt</w:t>
      </w:r>
      <w:proofErr w:type="spellEnd"/>
      <w:r w:rsidRPr="00E90142">
        <w:rPr>
          <w:rFonts w:ascii="Times New Roman" w:hAnsi="Times New Roman" w:cs="Times New Roman"/>
          <w:sz w:val="24"/>
          <w:szCs w:val="24"/>
        </w:rPr>
        <w:t xml:space="preserve"> is the </w:t>
      </w:r>
      <w:r w:rsidRPr="00E90142">
        <w:rPr>
          <w:rFonts w:ascii="Times New Roman" w:hAnsi="Times New Roman" w:cs="Times New Roman"/>
          <w:sz w:val="24"/>
          <w:szCs w:val="24"/>
        </w:rPr>
        <w:lastRenderedPageBreak/>
        <w:t xml:space="preserve">days which cost for the cumulative number of cases to increase from </w:t>
      </w:r>
      <w:r w:rsidRPr="00E90142">
        <w:rPr>
          <w:rFonts w:ascii="Times New Roman" w:hAnsi="Times New Roman" w:cs="Times New Roman"/>
          <w:i/>
          <w:sz w:val="24"/>
          <w:szCs w:val="24"/>
        </w:rPr>
        <w:t>N</w:t>
      </w:r>
      <w:r w:rsidRPr="00E90142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0 </w:t>
      </w:r>
      <w:r w:rsidRPr="00E90142">
        <w:rPr>
          <w:rFonts w:ascii="Times New Roman" w:hAnsi="Times New Roman" w:cs="Times New Roman"/>
          <w:sz w:val="24"/>
          <w:szCs w:val="24"/>
        </w:rPr>
        <w:t xml:space="preserve">to </w:t>
      </w:r>
      <w:r w:rsidRPr="00E90142">
        <w:rPr>
          <w:rFonts w:ascii="Times New Roman" w:hAnsi="Times New Roman" w:cs="Times New Roman"/>
          <w:i/>
          <w:sz w:val="24"/>
          <w:szCs w:val="24"/>
        </w:rPr>
        <w:t>Nt</w:t>
      </w:r>
      <w:r w:rsidRPr="00E90142">
        <w:rPr>
          <w:rFonts w:ascii="Times New Roman" w:hAnsi="Times New Roman" w:cs="Times New Roman"/>
          <w:sz w:val="24"/>
          <w:szCs w:val="24"/>
        </w:rPr>
        <w:t>.</w:t>
      </w:r>
    </w:p>
    <w:p w:rsidR="00D52673" w:rsidRDefault="00D52673" w:rsidP="00D52673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According to the </w:t>
      </w:r>
      <w:proofErr w:type="spellStart"/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>tertiles</w:t>
      </w:r>
      <w:proofErr w:type="spellEnd"/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population density or the number of different types of public facilities, streets were divided into three categories: low, </w:t>
      </w:r>
      <w:r w:rsidRPr="00E90142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moderate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high.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  <w:r w:rsidR="003A1B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ariance analysis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used to the distribution trend of 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>COVID-19 related indicators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across </w:t>
      </w:r>
      <w:proofErr w:type="spellStart"/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>ter</w:t>
      </w:r>
      <w:r w:rsidR="003A1B08">
        <w:rPr>
          <w:rFonts w:ascii="Times New Roman" w:hAnsi="Times New Roman" w:cs="Times New Roman"/>
          <w:color w:val="000000" w:themeColor="text1"/>
          <w:sz w:val="24"/>
          <w:szCs w:val="24"/>
        </w:rPr>
        <w:t>tiles</w:t>
      </w:r>
      <w:proofErr w:type="spellEnd"/>
      <w:r w:rsidR="003A1B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population density, ratio of elderly population 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>or the number of different types of public facilities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(with </w:t>
      </w:r>
      <w:r w:rsidRPr="00E9014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low</w:t>
      </w:r>
      <w:r w:rsidRPr="00E901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category as a reference).</w:t>
      </w:r>
    </w:p>
    <w:p w:rsidR="008A516A" w:rsidRDefault="008A516A" w:rsidP="008A516A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516A" w:rsidRDefault="008A516A" w:rsidP="008A516A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Reference</w:t>
      </w:r>
    </w:p>
    <w:p w:rsidR="008A516A" w:rsidRDefault="008A516A" w:rsidP="008A516A">
      <w:pPr>
        <w:pStyle w:val="EndNoteBibliography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4B32E0">
        <w:rPr>
          <w:rFonts w:ascii="Times New Roman" w:hAnsi="Times New Roman" w:cs="Times New Roman"/>
          <w:sz w:val="24"/>
          <w:szCs w:val="24"/>
        </w:rPr>
        <w:t>.</w:t>
      </w:r>
      <w:r w:rsidRPr="004B32E0">
        <w:rPr>
          <w:rFonts w:ascii="Times New Roman" w:hAnsi="Times New Roman" w:cs="Times New Roman"/>
          <w:sz w:val="24"/>
          <w:szCs w:val="24"/>
        </w:rPr>
        <w:tab/>
        <w:t xml:space="preserve"> Weon BM. Doubling time tells how effective Covid-19 prevention works. medRxiv. 2020:2020.03.26.20044644. doi:10.1101/2020.03.26.20044644</w:t>
      </w:r>
    </w:p>
    <w:p w:rsidR="008A516A" w:rsidRDefault="008A516A" w:rsidP="008A516A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2673" w:rsidRDefault="00D52673" w:rsidP="00D52673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52673" w:rsidRPr="00024201" w:rsidRDefault="00D52673" w:rsidP="00D52673">
      <w:pPr>
        <w:rPr>
          <w:rFonts w:ascii="Times New Roman" w:hAnsi="Times New Roman" w:cs="Times New Roman"/>
          <w:b/>
          <w:sz w:val="24"/>
          <w:szCs w:val="24"/>
        </w:rPr>
      </w:pPr>
      <w:r w:rsidRPr="0002420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Pr="00024201">
        <w:rPr>
          <w:rFonts w:ascii="Times New Roman" w:hAnsi="Times New Roman" w:cs="Times New Roman" w:hint="cs"/>
          <w:b/>
          <w:sz w:val="24"/>
          <w:szCs w:val="24"/>
        </w:rPr>
        <w:t>R</w:t>
      </w:r>
      <w:r w:rsidRPr="00024201">
        <w:rPr>
          <w:rFonts w:ascii="Times New Roman" w:hAnsi="Times New Roman" w:cs="Times New Roman"/>
          <w:b/>
          <w:sz w:val="24"/>
          <w:szCs w:val="24"/>
        </w:rPr>
        <w:t>esults</w:t>
      </w:r>
    </w:p>
    <w:p w:rsidR="00D52673" w:rsidRPr="00FE72DF" w:rsidRDefault="00D52673" w:rsidP="00D52673">
      <w:pPr>
        <w:jc w:val="lef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E72D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S</w:t>
      </w:r>
      <w:r w:rsidRPr="00FE72D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1.</w:t>
      </w:r>
      <w:r w:rsidRPr="00FE72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Epidemiological characteristics and key time-to-event distributions of total cases</w:t>
      </w:r>
    </w:p>
    <w:tbl>
      <w:tblPr>
        <w:tblW w:w="7230" w:type="dxa"/>
        <w:tblLook w:val="04A0" w:firstRow="1" w:lastRow="0" w:firstColumn="1" w:lastColumn="0" w:noHBand="0" w:noVBand="1"/>
      </w:tblPr>
      <w:tblGrid>
        <w:gridCol w:w="3686"/>
        <w:gridCol w:w="3544"/>
      </w:tblGrid>
      <w:tr w:rsidR="00D52673" w:rsidRPr="00FE72DF" w:rsidTr="002D1B60">
        <w:trPr>
          <w:trHeight w:val="312"/>
        </w:trPr>
        <w:tc>
          <w:tcPr>
            <w:tcW w:w="3686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  <w:t>Variables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bottom"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  <w:t>No. (%)</w:t>
            </w:r>
          </w:p>
        </w:tc>
      </w:tr>
      <w:tr w:rsidR="00D52673" w:rsidRPr="00FE72DF" w:rsidTr="002D1B60">
        <w:trPr>
          <w:trHeight w:val="312"/>
        </w:trPr>
        <w:tc>
          <w:tcPr>
            <w:tcW w:w="3686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</w:p>
        </w:tc>
        <w:tc>
          <w:tcPr>
            <w:tcW w:w="354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  <w:t>Total cases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  <w:t>Total</w:t>
            </w:r>
          </w:p>
        </w:tc>
        <w:tc>
          <w:tcPr>
            <w:tcW w:w="3544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281072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32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,</w:t>
            </w:r>
            <w:r w:rsidRPr="00281072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682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  <w:t>Age group, years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ind w:firstLineChars="50" w:firstLine="130"/>
              <w:jc w:val="left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&lt;20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6"/>
                <w:szCs w:val="26"/>
              </w:rPr>
              <w:t>537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6"/>
                <w:szCs w:val="26"/>
              </w:rPr>
              <w:t>(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1.6)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20-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6,023 (18.4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40-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12,273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(3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7.6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60-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11,951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36.6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80-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1,898 (5.8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  <w:t>Sex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Male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15,814 (48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.4)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Female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16,868 (51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.6)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  <w:t xml:space="preserve">Clinical </w:t>
            </w:r>
            <w:proofErr w:type="spellStart"/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  <w:t>classification</w:t>
            </w:r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  <w:vertAlign w:val="superscript"/>
              </w:rPr>
              <w:t>a</w:t>
            </w:r>
            <w:proofErr w:type="spellEnd"/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</w:p>
        </w:tc>
      </w:tr>
      <w:tr w:rsidR="00D52673" w:rsidRPr="00FE72DF" w:rsidTr="002D1B60">
        <w:trPr>
          <w:trHeight w:val="33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Mild  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15,535 (47.5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Moderate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9,729 (29.8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Severe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61,164 (18.9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Critical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1,009 (3.1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  <w:t xml:space="preserve">Symptom onset </w:t>
            </w:r>
            <w:proofErr w:type="spellStart"/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  <w:t>period</w:t>
            </w:r>
            <w:r w:rsidRPr="00FE72D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vertAlign w:val="superscript"/>
              </w:rPr>
              <w:t>b</w:t>
            </w:r>
            <w:proofErr w:type="spellEnd"/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</w:p>
        </w:tc>
      </w:tr>
      <w:tr w:rsidR="00D52673" w:rsidRPr="00FE72DF" w:rsidTr="002D1B60">
        <w:trPr>
          <w:trHeight w:val="33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Dec.8-17, 2019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14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(0.0)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Dec.18-27, 2019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56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(0.2)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Dec.28, 2019-Jan.6, 2020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261 (0.8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Jan.7-16, 2020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1,509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(4.6)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Jan.17-26, 2020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9,273 (28.4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Jan.27-Feb.5, 2020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12,809 (39.2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Feb.6-15, 2020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5,331 (16.3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Feb.16-25, 2020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2,879 (8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.8)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After Feb.25, 2020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553 (1.7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  <w:t>Diagnosis period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000000" w:fill="FFFFFF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Before Jan.24, 2020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401 (1.2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Jan.24-Feb.2, 2020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4,417 (13.5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Feb.3-12, 2020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15,542 (47.6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Feb.13-22, 2020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8,339 (25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.5)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Feb.23-Mar.3, 2020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3,504 (10.7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 xml:space="preserve">  After Mar.3, 2020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479 (1.5</w:t>
            </w: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)</w:t>
            </w:r>
          </w:p>
        </w:tc>
      </w:tr>
      <w:tr w:rsidR="00D52673" w:rsidRPr="00FE72DF" w:rsidTr="002D1B60">
        <w:trPr>
          <w:trHeight w:val="276"/>
        </w:trPr>
        <w:tc>
          <w:tcPr>
            <w:tcW w:w="368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26"/>
                <w:szCs w:val="26"/>
              </w:rPr>
              <w:t>Interval from disease onset to diagnosis, median (IQR), day</w:t>
            </w:r>
          </w:p>
        </w:tc>
        <w:tc>
          <w:tcPr>
            <w:tcW w:w="354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2673" w:rsidRPr="00FE72DF" w:rsidRDefault="00D52673" w:rsidP="002D1B6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</w:pPr>
            <w:r w:rsidRPr="00FE72DF">
              <w:rPr>
                <w:rFonts w:ascii="Times New Roman" w:eastAsia="等线" w:hAnsi="Times New Roman" w:cs="Times New Roman"/>
                <w:color w:val="000000" w:themeColor="text1"/>
                <w:kern w:val="0"/>
                <w:sz w:val="26"/>
                <w:szCs w:val="26"/>
              </w:rPr>
              <w:t>11 (6,17)</w:t>
            </w:r>
          </w:p>
        </w:tc>
      </w:tr>
    </w:tbl>
    <w:p w:rsidR="00D52673" w:rsidRPr="00FE72DF" w:rsidRDefault="00D52673" w:rsidP="00D52673">
      <w:pPr>
        <w:widowControl/>
        <w:jc w:val="lef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E72DF"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  <w:t>Abbreviations: COVID-19, coronavirus disease 2019; IQR, interquartile range.</w:t>
      </w:r>
    </w:p>
    <w:p w:rsidR="00D52673" w:rsidRPr="00FE72DF" w:rsidRDefault="00D52673" w:rsidP="00D52673">
      <w:pPr>
        <w:widowControl/>
        <w:ind w:left="130" w:hangingChars="50" w:hanging="130"/>
        <w:jc w:val="lef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E72DF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a</w:t>
      </w:r>
      <w:r w:rsidRPr="00FE72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FE72DF">
        <w:rPr>
          <w:rFonts w:ascii="Times New Roman" w:hAnsi="Times New Roman" w:cs="Times New Roman"/>
          <w:color w:val="000000" w:themeColor="text1"/>
          <w:sz w:val="26"/>
          <w:szCs w:val="26"/>
        </w:rPr>
        <w:t>A</w:t>
      </w:r>
      <w:proofErr w:type="spellEnd"/>
      <w:r w:rsidRPr="00FE72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total of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245</w:t>
      </w:r>
      <w:r w:rsidRPr="00FE72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cases were reported with miss information.</w:t>
      </w:r>
    </w:p>
    <w:p w:rsidR="00D52673" w:rsidRDefault="00D52673" w:rsidP="00D52673">
      <w:pPr>
        <w:widowControl/>
        <w:jc w:val="lef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E72DF">
        <w:rPr>
          <w:rFonts w:ascii="Times New Roman" w:hAnsi="Times New Roman" w:cs="Times New Roman"/>
          <w:color w:val="000000" w:themeColor="text1"/>
          <w:sz w:val="26"/>
          <w:szCs w:val="26"/>
          <w:vertAlign w:val="superscript"/>
        </w:rPr>
        <w:t>b</w:t>
      </w:r>
      <w:r w:rsidRPr="00FE72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One case was reported with miss information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D52673" w:rsidRDefault="00D52673" w:rsidP="00D52673">
      <w:pPr>
        <w:widowControl/>
        <w:jc w:val="left"/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  <w:sectPr w:rsidR="00D52673" w:rsidSect="00D52673">
          <w:headerReference w:type="even" r:id="rId7"/>
          <w:headerReference w:type="default" r:id="rId8"/>
          <w:type w:val="continuous"/>
          <w:pgSz w:w="11907" w:h="16840" w:code="9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D52673" w:rsidRPr="00FE72DF" w:rsidRDefault="00D52673" w:rsidP="00D52673">
      <w:pPr>
        <w:widowControl/>
        <w:jc w:val="left"/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</w:pPr>
      <w:r>
        <w:rPr>
          <w:rFonts w:ascii="Times New Roman" w:eastAsia="等线" w:hAnsi="Times New Roman" w:cs="Times New Roman"/>
          <w:bCs/>
          <w:noProof/>
          <w:color w:val="000000" w:themeColor="text1"/>
          <w:kern w:val="0"/>
          <w:sz w:val="26"/>
          <w:szCs w:val="26"/>
        </w:rPr>
        <w:lastRenderedPageBreak/>
        <w:drawing>
          <wp:inline distT="0" distB="0" distL="0" distR="0" wp14:anchorId="44173710" wp14:editId="49A84045">
            <wp:extent cx="8411210" cy="3649133"/>
            <wp:effectExtent l="0" t="0" r="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1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25874" cy="365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673" w:rsidRPr="00D52673" w:rsidRDefault="00D52673" w:rsidP="00D5267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B6D72">
        <w:rPr>
          <w:rFonts w:ascii="Times New Roman" w:eastAsia="等线" w:hAnsi="Times New Roman" w:cs="Times New Roman" w:hint="eastAsia"/>
          <w:b/>
          <w:bCs/>
          <w:color w:val="000000" w:themeColor="text1"/>
          <w:kern w:val="0"/>
          <w:sz w:val="26"/>
          <w:szCs w:val="26"/>
        </w:rPr>
        <w:t>F</w:t>
      </w:r>
      <w:r w:rsidRPr="00EB6D72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6"/>
          <w:szCs w:val="26"/>
        </w:rPr>
        <w:t>igure S1</w:t>
      </w:r>
      <w:r w:rsidRPr="00FE72DF"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  <w:t xml:space="preserve"> </w:t>
      </w:r>
      <w:r w:rsidRPr="003769D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Monte-Carlo </w:t>
      </w:r>
      <w:r w:rsidRPr="003769DC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6"/>
          <w:szCs w:val="26"/>
        </w:rPr>
        <w:t xml:space="preserve">test chart of </w:t>
      </w:r>
      <w:r w:rsidRPr="003769D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Moran's I</w:t>
      </w:r>
      <w:r w:rsidRPr="003769DC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6"/>
          <w:szCs w:val="26"/>
        </w:rPr>
        <w:t xml:space="preserve"> of onset COVID-19 cases number spatial autocorrelation in </w:t>
      </w:r>
      <w:r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6"/>
          <w:szCs w:val="26"/>
        </w:rPr>
        <w:t>street</w:t>
      </w:r>
      <w:r w:rsidRPr="003769DC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6"/>
          <w:szCs w:val="26"/>
        </w:rPr>
        <w:t xml:space="preserve">s of Wuhan city. </w:t>
      </w:r>
      <w:r w:rsidRPr="00FE72DF"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  <w:t xml:space="preserve">A: The whole epidemic time (from Dec. 8, 2019 to Mar. 18, 2020). B: Period 1, the pre-cognitive period, when COVID-19 spread without strong inventions. </w:t>
      </w:r>
      <w:r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  <w:t>C</w:t>
      </w:r>
      <w:r w:rsidRPr="00FE72DF"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  <w:t xml:space="preserve">: Period 2, </w:t>
      </w:r>
      <w:r w:rsidRPr="00BA7BC7">
        <w:rPr>
          <w:rFonts w:ascii="Times New Roman" w:hAnsi="Times New Roman" w:cs="Times New Roman"/>
          <w:color w:val="000000" w:themeColor="text1"/>
          <w:sz w:val="24"/>
          <w:szCs w:val="24"/>
        </w:rPr>
        <w:t>the control period</w:t>
      </w:r>
      <w:r w:rsidRPr="00FE72DF"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  <w:t>, the spread of COVID-19 is gradually being controlled, but the number of cases is still growing (</w:t>
      </w:r>
      <w:proofErr w:type="spellStart"/>
      <w:r w:rsidRPr="00DC61D6">
        <w:rPr>
          <w:rFonts w:ascii="Times New Roman" w:eastAsia="等线" w:hAnsi="Times New Roman" w:cs="Times New Roman"/>
          <w:bCs/>
          <w:i/>
          <w:color w:val="000000" w:themeColor="text1"/>
          <w:kern w:val="0"/>
          <w:sz w:val="26"/>
          <w:szCs w:val="26"/>
        </w:rPr>
        <w:t>Rt</w:t>
      </w:r>
      <w:proofErr w:type="spellEnd"/>
      <w:r w:rsidRPr="00FE72DF"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  <w:t xml:space="preserve"> more than 1). </w:t>
      </w:r>
      <w:r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  <w:t>D</w:t>
      </w:r>
      <w:r w:rsidRPr="00FE72DF"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  <w:t xml:space="preserve">: Period 3,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DC5BD0"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DC5BD0">
        <w:rPr>
          <w:rFonts w:ascii="Times New Roman" w:hAnsi="Times New Roman" w:cs="Times New Roman"/>
          <w:color w:val="000000" w:themeColor="text1"/>
          <w:sz w:val="24"/>
          <w:szCs w:val="24"/>
        </w:rPr>
        <w:t>ransmission fading period</w:t>
      </w:r>
      <w:r w:rsidRPr="00FE72DF"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  <w:t xml:space="preserve"> (</w:t>
      </w:r>
      <w:proofErr w:type="spellStart"/>
      <w:r w:rsidRPr="00DC61D6">
        <w:rPr>
          <w:rFonts w:ascii="Times New Roman" w:eastAsia="等线" w:hAnsi="Times New Roman" w:cs="Times New Roman"/>
          <w:bCs/>
          <w:i/>
          <w:color w:val="000000" w:themeColor="text1"/>
          <w:kern w:val="0"/>
          <w:sz w:val="26"/>
          <w:szCs w:val="26"/>
        </w:rPr>
        <w:t>Rt</w:t>
      </w:r>
      <w:proofErr w:type="spellEnd"/>
      <w:r w:rsidRPr="00FE72DF">
        <w:rPr>
          <w:rFonts w:ascii="Times New Roman" w:eastAsia="等线" w:hAnsi="Times New Roman" w:cs="Times New Roman"/>
          <w:bCs/>
          <w:color w:val="000000" w:themeColor="text1"/>
          <w:kern w:val="0"/>
          <w:sz w:val="26"/>
          <w:szCs w:val="26"/>
        </w:rPr>
        <w:t xml:space="preserve"> less than 1). </w:t>
      </w:r>
      <w:r w:rsidRPr="00E800E7">
        <w:rPr>
          <w:rFonts w:ascii="Times New Roman" w:hAnsi="Times New Roman" w:cs="Times New Roman"/>
          <w:color w:val="000000" w:themeColor="text1"/>
          <w:sz w:val="26"/>
          <w:szCs w:val="26"/>
        </w:rPr>
        <w:t>Monte-Carlo method was used to test the normality of Mo</w:t>
      </w:r>
      <w:r w:rsidR="00AE0178">
        <w:rPr>
          <w:rFonts w:ascii="Times New Roman" w:hAnsi="Times New Roman" w:cs="Times New Roman"/>
          <w:color w:val="000000" w:themeColor="text1"/>
          <w:sz w:val="26"/>
          <w:szCs w:val="26"/>
        </w:rPr>
        <w:t>ran's I by simulating 999 time.</w:t>
      </w:r>
      <w:r w:rsidR="00AE0178" w:rsidRPr="00D52673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5C53EF" w:rsidRPr="00D52673" w:rsidRDefault="005C53EF" w:rsidP="001D746E">
      <w:pPr>
        <w:widowControl/>
        <w:jc w:val="left"/>
        <w:rPr>
          <w:rFonts w:ascii="Times New Roman" w:hAnsi="Times New Roman" w:cs="Times New Roman"/>
          <w:sz w:val="26"/>
          <w:szCs w:val="26"/>
        </w:rPr>
        <w:sectPr w:rsidR="005C53EF" w:rsidRPr="00D52673" w:rsidSect="00AE0178">
          <w:pgSz w:w="16840" w:h="11907" w:orient="landscape" w:code="9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2B1DF6" w:rsidRDefault="002B1DF6" w:rsidP="001D746E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E72DF">
        <w:rPr>
          <w:rFonts w:ascii="Times New Roman" w:hAnsi="Times New Roman" w:cs="Times New Roman"/>
          <w:b/>
          <w:sz w:val="26"/>
          <w:szCs w:val="26"/>
        </w:rPr>
        <w:lastRenderedPageBreak/>
        <w:t>Table</w:t>
      </w:r>
      <w:r w:rsidRPr="00FE72D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D5267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S2</w:t>
      </w:r>
      <w:r w:rsidRPr="00FE72D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 Association of street population density and public facilities with COVID-19</w:t>
      </w:r>
      <w:r w:rsidR="009C2C9F" w:rsidRPr="00FE72D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by taking streets as basic units</w:t>
      </w:r>
    </w:p>
    <w:tbl>
      <w:tblPr>
        <w:tblW w:w="19475" w:type="dxa"/>
        <w:tblInd w:w="-284" w:type="dxa"/>
        <w:tblLook w:val="04A0" w:firstRow="1" w:lastRow="0" w:firstColumn="1" w:lastColumn="0" w:noHBand="0" w:noVBand="1"/>
      </w:tblPr>
      <w:tblGrid>
        <w:gridCol w:w="1495"/>
        <w:gridCol w:w="1009"/>
        <w:gridCol w:w="1049"/>
        <w:gridCol w:w="1219"/>
        <w:gridCol w:w="784"/>
        <w:gridCol w:w="733"/>
        <w:gridCol w:w="1049"/>
        <w:gridCol w:w="733"/>
        <w:gridCol w:w="707"/>
        <w:gridCol w:w="733"/>
        <w:gridCol w:w="1049"/>
        <w:gridCol w:w="733"/>
        <w:gridCol w:w="707"/>
        <w:gridCol w:w="733"/>
        <w:gridCol w:w="1150"/>
        <w:gridCol w:w="800"/>
        <w:gridCol w:w="779"/>
        <w:gridCol w:w="833"/>
        <w:gridCol w:w="1260"/>
        <w:gridCol w:w="960"/>
        <w:gridCol w:w="960"/>
      </w:tblGrid>
      <w:tr w:rsidR="0022236C" w:rsidRPr="0050118B" w:rsidTr="0022236C">
        <w:trPr>
          <w:trHeight w:val="624"/>
        </w:trPr>
        <w:tc>
          <w:tcPr>
            <w:tcW w:w="15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77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Population density, / km²</w:t>
            </w: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15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traffic station, N</w:t>
            </w:r>
          </w:p>
        </w:tc>
        <w:tc>
          <w:tcPr>
            <w:tcW w:w="7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15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shopping center, N</w:t>
            </w:r>
          </w:p>
        </w:tc>
        <w:tc>
          <w:tcPr>
            <w:tcW w:w="7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83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hospital, N</w:t>
            </w: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3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Population density, / km²</w:t>
            </w:r>
          </w:p>
        </w:tc>
      </w:tr>
      <w:tr w:rsidR="0022236C" w:rsidRPr="0050118B" w:rsidTr="0022236C">
        <w:trPr>
          <w:trHeight w:val="804"/>
        </w:trPr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Low (≤544.92)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Moderate (544.92-11851.85)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High (&gt;11851.85)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011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trend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Low (≤2)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Moderate (3-6)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High (≥7)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011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trend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Low (0)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Moderate (1-2)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High (≥3)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011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trend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Low (≤1)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Moderate (2)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High (≥3)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011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011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trend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Low (</w:t>
            </w:r>
            <w:r w:rsidRPr="0050118B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≤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19.8%)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Moderate (19.8-24.3)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High (&gt;24.3)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011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0118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trend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22236C" w:rsidRPr="0050118B" w:rsidTr="0022236C">
        <w:trPr>
          <w:trHeight w:val="792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street, N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2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2236C" w:rsidRPr="0050118B" w:rsidTr="0022236C">
        <w:trPr>
          <w:trHeight w:val="1056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Cumulative cases median (IQR), N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(9.5-43)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147.0 (69.5-283.0)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271.0 (191.8-405.3)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&lt;0.001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77.0 (22.5-283.5)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103.0 (32.0-256.0)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183.5 (86.2-318.8)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0.108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91.0 (23.0-238.5)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147.0 (42.5-352.5)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114.5 (62.5-240.0)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56.0 (23.5-183.0)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137.5(67.3-243.5)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277.0 (197.0-423.5)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&lt;0.001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67.0 (16.5-229.5)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56.0 (31.0-198.0)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199.0 (112.5-334.3)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0.252</w:t>
            </w:r>
          </w:p>
        </w:tc>
      </w:tr>
      <w:tr w:rsidR="0022236C" w:rsidRPr="0050118B" w:rsidTr="0022236C">
        <w:trPr>
          <w:trHeight w:val="132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Daily new cases, median (IQR), N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236C" w:rsidRPr="0050118B" w:rsidTr="0022236C">
        <w:trPr>
          <w:trHeight w:val="52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 (0.0-0.2)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 (0.2-1.4)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 (1.0-1.8)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&lt;0.001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(0.0-1.3)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 (0.1-1.2)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(0.2-1.6)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0.196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 (0.0-1.2)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(0.2-1.7)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 (0.2-1.1)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(0.0-0.7)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 (0.2-1.2)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 (1.0-1.8)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&lt;0.001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(0.1-1.1)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(0.1-0.9)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 (0.5-1.4)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0.196</w:t>
            </w:r>
          </w:p>
        </w:tc>
      </w:tr>
      <w:tr w:rsidR="0022236C" w:rsidRPr="0050118B" w:rsidTr="0022236C">
        <w:trPr>
          <w:trHeight w:val="52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 (0.3-1.3)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 (2.2-9.9)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10.3 (6.9-25.1)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&lt;0.001 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 (0.7-10.4)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 (1.0-9.3)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 (3.0-10.7)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0.113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 (0.9-9.0)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 (1.1-14.6)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 (1.9-9.4)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 (0.8-7.1)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5.8 (2.2-9.8)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9.7 (7.5-17.2)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&lt;0.001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 (0.7-8.9)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 (0.9-7.4)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 (4.5-13.1)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0.211</w:t>
            </w:r>
          </w:p>
        </w:tc>
      </w:tr>
      <w:tr w:rsidR="0022236C" w:rsidRPr="0050118B" w:rsidTr="0022236C">
        <w:trPr>
          <w:trHeight w:val="52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(01.-0.5)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 (0.5-1.4)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 (0.8-1.9)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 (0.2-1.2)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 (0.3-1.2)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 (0.5-1.6)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 (0.2-1.2)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 (0.4-1.6)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 (0.5-1.2)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0.889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 (0.2-1.0)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 (0.5-1.5)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 (0.9-1.5)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 (0.1-1.0)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 (0.3-1.2)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 (0.5-1.8)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</w:tr>
      <w:tr w:rsidR="0022236C" w:rsidRPr="0050118B" w:rsidTr="0022236C">
        <w:trPr>
          <w:trHeight w:val="1104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Average prevalence, per 10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people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0.458</w:t>
            </w:r>
          </w:p>
        </w:tc>
      </w:tr>
      <w:tr w:rsidR="0022236C" w:rsidRPr="0050118B" w:rsidTr="0022236C">
        <w:trPr>
          <w:trHeight w:val="132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Double time, median (IQR), day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236C" w:rsidRPr="0050118B" w:rsidTr="0022236C">
        <w:trPr>
          <w:trHeight w:val="52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 (2.5-6.0)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 (3.1-5.0)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 (2.9-4.8)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0.107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 (2.8-4.8)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 (2.8-4.8)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 (3.4-6.2)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 (2.8-4.8)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 (3.0-4.8)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 (3.1-3.2)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 (2.9-4.8)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 (2.9-5.0)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 (3.3-6.1)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 (2.6-6.3)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 (2.1-7.0)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 (3.1-5.8)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0.587</w:t>
            </w:r>
          </w:p>
        </w:tc>
      </w:tr>
      <w:tr w:rsidR="0022236C" w:rsidRPr="0050118B" w:rsidTr="0022236C">
        <w:trPr>
          <w:trHeight w:val="528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 (4.0-7.3)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 (6.3-7.9)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 (6.5-7.9)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 (5.7-8.6)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 (5.6-7.7)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 (5.7-7.7)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 (5.4-7.7)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 (5.9-8.0)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 (5.8-7.6)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 (4.9-7.8)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 (5.8-7.6)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 (6.5-8.0)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 (5.2-1.0.0)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 (5.6-9.9)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 (7.6-11.0)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0.777</w:t>
            </w:r>
          </w:p>
        </w:tc>
      </w:tr>
      <w:tr w:rsidR="0022236C" w:rsidRPr="0050118B" w:rsidTr="0022236C">
        <w:trPr>
          <w:trHeight w:val="804"/>
        </w:trPr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51.2 (36.6-65.4)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76.5 (57.0-109.2)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103.0 (74.1-117.7)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74.2 (42.4-115.0)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65.2 (46.8-105.3)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73.1 (59.0-101.6)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0.891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73.0 (52.2-103.3)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78.4 (57.4-78.4)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70.6 (46.4-106.3)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0.461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65.2 (44.4-104.2)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67.4 (55.2-97.3)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94.1 (69.6-115.5)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121.4 (74.6-161.8)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65.3 (42.0-107.2)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132.7 (103.3-165.3)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118B" w:rsidRPr="0050118B" w:rsidRDefault="0050118B" w:rsidP="0050118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011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0.481</w:t>
            </w:r>
          </w:p>
        </w:tc>
      </w:tr>
    </w:tbl>
    <w:p w:rsidR="000E5142" w:rsidRPr="00C20AE7" w:rsidRDefault="002B1DF6" w:rsidP="000E514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0E5142">
        <w:rPr>
          <w:rFonts w:ascii="Times New Roman" w:eastAsia="等线" w:hAnsi="Times New Roman" w:cs="Times New Roman"/>
          <w:bCs/>
          <w:color w:val="000000" w:themeColor="text1"/>
          <w:kern w:val="0"/>
          <w:sz w:val="24"/>
          <w:szCs w:val="26"/>
        </w:rPr>
        <w:t>Abbreviations: COVID-19, coronavirus disease 2019; IQR, interquartile range.</w:t>
      </w:r>
      <w:r w:rsidRPr="000E5142">
        <w:rPr>
          <w:rFonts w:ascii="Times New Roman" w:hAnsi="Times New Roman" w:cs="Times New Roman" w:hint="eastAsia"/>
          <w:sz w:val="24"/>
          <w:szCs w:val="26"/>
        </w:rPr>
        <w:t xml:space="preserve"> </w:t>
      </w:r>
      <w:r w:rsidR="000E5142" w:rsidRPr="004324B8">
        <w:rPr>
          <w:rFonts w:ascii="Times New Roman" w:eastAsia="等线" w:hAnsi="Times New Roman" w:cs="Times New Roman"/>
          <w:bCs/>
          <w:color w:val="000000" w:themeColor="text1"/>
          <w:kern w:val="0"/>
          <w:sz w:val="24"/>
          <w:szCs w:val="26"/>
        </w:rPr>
        <w:t xml:space="preserve">Period 1, the pre-cognitive period, when COVID-19 spread without strong inventions. Period 2, </w:t>
      </w:r>
      <w:r w:rsidR="000E5142" w:rsidRPr="004324B8">
        <w:rPr>
          <w:rFonts w:ascii="Times New Roman" w:hAnsi="Times New Roman" w:cs="Times New Roman"/>
          <w:color w:val="000000" w:themeColor="text1"/>
          <w:sz w:val="22"/>
          <w:szCs w:val="24"/>
        </w:rPr>
        <w:t>the control period</w:t>
      </w:r>
      <w:r w:rsidR="000E5142" w:rsidRPr="004324B8">
        <w:rPr>
          <w:rFonts w:ascii="Times New Roman" w:eastAsia="等线" w:hAnsi="Times New Roman" w:cs="Times New Roman"/>
          <w:bCs/>
          <w:color w:val="000000" w:themeColor="text1"/>
          <w:kern w:val="0"/>
          <w:sz w:val="24"/>
          <w:szCs w:val="26"/>
        </w:rPr>
        <w:t>, the spread of COVID-19 is gradually being controlled, but the number of cases is still growing (</w:t>
      </w:r>
      <w:proofErr w:type="spellStart"/>
      <w:r w:rsidR="000E5142" w:rsidRPr="004324B8">
        <w:rPr>
          <w:rFonts w:ascii="Times New Roman" w:eastAsia="等线" w:hAnsi="Times New Roman" w:cs="Times New Roman"/>
          <w:bCs/>
          <w:i/>
          <w:color w:val="000000" w:themeColor="text1"/>
          <w:kern w:val="0"/>
          <w:sz w:val="24"/>
          <w:szCs w:val="26"/>
        </w:rPr>
        <w:t>Rt</w:t>
      </w:r>
      <w:proofErr w:type="spellEnd"/>
      <w:r w:rsidR="000E5142" w:rsidRPr="004324B8">
        <w:rPr>
          <w:rFonts w:ascii="Times New Roman" w:eastAsia="等线" w:hAnsi="Times New Roman" w:cs="Times New Roman"/>
          <w:bCs/>
          <w:color w:val="000000" w:themeColor="text1"/>
          <w:kern w:val="0"/>
          <w:sz w:val="24"/>
          <w:szCs w:val="26"/>
        </w:rPr>
        <w:t xml:space="preserve"> more than 1). Period 3, </w:t>
      </w:r>
      <w:r w:rsidR="000E5142" w:rsidRPr="004324B8">
        <w:rPr>
          <w:rFonts w:ascii="Times New Roman" w:hAnsi="Times New Roman" w:cs="Times New Roman"/>
          <w:color w:val="000000" w:themeColor="text1"/>
          <w:sz w:val="22"/>
          <w:szCs w:val="24"/>
        </w:rPr>
        <w:t>the</w:t>
      </w:r>
      <w:r w:rsidR="000E5142" w:rsidRPr="004324B8">
        <w:rPr>
          <w:sz w:val="20"/>
        </w:rPr>
        <w:t xml:space="preserve"> </w:t>
      </w:r>
      <w:r w:rsidR="000E5142" w:rsidRPr="004324B8">
        <w:rPr>
          <w:rFonts w:ascii="Times New Roman" w:hAnsi="Times New Roman" w:cs="Times New Roman"/>
          <w:color w:val="000000" w:themeColor="text1"/>
          <w:sz w:val="22"/>
          <w:szCs w:val="24"/>
        </w:rPr>
        <w:t>transmission fading period</w:t>
      </w:r>
      <w:r w:rsidR="000E5142" w:rsidRPr="004324B8">
        <w:rPr>
          <w:rFonts w:ascii="Times New Roman" w:eastAsia="等线" w:hAnsi="Times New Roman" w:cs="Times New Roman"/>
          <w:bCs/>
          <w:color w:val="000000" w:themeColor="text1"/>
          <w:kern w:val="0"/>
          <w:sz w:val="24"/>
          <w:szCs w:val="26"/>
        </w:rPr>
        <w:t xml:space="preserve"> (</w:t>
      </w:r>
      <w:proofErr w:type="spellStart"/>
      <w:r w:rsidR="000E5142" w:rsidRPr="004324B8">
        <w:rPr>
          <w:rFonts w:ascii="Times New Roman" w:eastAsia="等线" w:hAnsi="Times New Roman" w:cs="Times New Roman"/>
          <w:bCs/>
          <w:i/>
          <w:color w:val="000000" w:themeColor="text1"/>
          <w:kern w:val="0"/>
          <w:sz w:val="24"/>
          <w:szCs w:val="26"/>
        </w:rPr>
        <w:t>Rt</w:t>
      </w:r>
      <w:proofErr w:type="spellEnd"/>
      <w:r w:rsidR="000E5142" w:rsidRPr="004324B8">
        <w:rPr>
          <w:rFonts w:ascii="Times New Roman" w:eastAsia="等线" w:hAnsi="Times New Roman" w:cs="Times New Roman"/>
          <w:bCs/>
          <w:i/>
          <w:color w:val="000000" w:themeColor="text1"/>
          <w:kern w:val="0"/>
          <w:sz w:val="24"/>
          <w:szCs w:val="26"/>
        </w:rPr>
        <w:t xml:space="preserve"> </w:t>
      </w:r>
      <w:r w:rsidR="000E5142" w:rsidRPr="004324B8">
        <w:rPr>
          <w:rFonts w:ascii="Times New Roman" w:eastAsia="等线" w:hAnsi="Times New Roman" w:cs="Times New Roman"/>
          <w:bCs/>
          <w:color w:val="000000" w:themeColor="text1"/>
          <w:kern w:val="0"/>
          <w:sz w:val="24"/>
          <w:szCs w:val="26"/>
        </w:rPr>
        <w:t>less than 1).</w:t>
      </w:r>
      <w:r w:rsidR="000E5142" w:rsidRPr="00C20AE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:rsidR="000E5142" w:rsidRPr="000E5142" w:rsidRDefault="00BE1DA1" w:rsidP="000E5142">
      <w:pPr>
        <w:widowControl/>
        <w:jc w:val="left"/>
        <w:rPr>
          <w:rFonts w:ascii="Times New Roman" w:hAnsi="Times New Roman" w:cs="Times New Roman"/>
          <w:sz w:val="24"/>
          <w:szCs w:val="26"/>
        </w:rPr>
      </w:pPr>
      <w:r w:rsidRPr="000E5142">
        <w:rPr>
          <w:rFonts w:ascii="Times New Roman" w:hAnsi="Times New Roman" w:cs="Times New Roman"/>
          <w:sz w:val="24"/>
          <w:szCs w:val="26"/>
          <w:vertAlign w:val="superscript"/>
        </w:rPr>
        <w:t>a</w:t>
      </w:r>
      <w:r w:rsidRPr="000E5142">
        <w:rPr>
          <w:sz w:val="20"/>
        </w:rPr>
        <w:t xml:space="preserve"> </w:t>
      </w:r>
      <w:proofErr w:type="spellStart"/>
      <w:r w:rsidRPr="000E5142">
        <w:rPr>
          <w:rFonts w:ascii="Times New Roman" w:hAnsi="Times New Roman" w:cs="Times New Roman"/>
          <w:i/>
          <w:sz w:val="24"/>
          <w:szCs w:val="26"/>
        </w:rPr>
        <w:t>P</w:t>
      </w:r>
      <w:r w:rsidRPr="000E5142">
        <w:rPr>
          <w:rFonts w:ascii="Times New Roman" w:hAnsi="Times New Roman" w:cs="Times New Roman"/>
          <w:sz w:val="24"/>
          <w:szCs w:val="26"/>
          <w:vertAlign w:val="subscript"/>
        </w:rPr>
        <w:t>trend</w:t>
      </w:r>
      <w:proofErr w:type="spellEnd"/>
      <w:r w:rsidRPr="000E5142">
        <w:rPr>
          <w:rFonts w:ascii="Times New Roman" w:hAnsi="Times New Roman" w:cs="Times New Roman"/>
          <w:sz w:val="24"/>
          <w:szCs w:val="26"/>
        </w:rPr>
        <w:t xml:space="preserve"> were estimated by variance analysis</w:t>
      </w:r>
      <w:r w:rsidR="00554521" w:rsidRPr="000E5142">
        <w:rPr>
          <w:rFonts w:ascii="Times New Roman" w:hAnsi="Times New Roman" w:cs="Times New Roman"/>
          <w:sz w:val="24"/>
          <w:szCs w:val="26"/>
        </w:rPr>
        <w:t xml:space="preserve"> with adjusting for population density</w:t>
      </w:r>
      <w:r w:rsidR="0050118B" w:rsidRPr="000E5142">
        <w:rPr>
          <w:rFonts w:ascii="Times New Roman" w:hAnsi="Times New Roman" w:cs="Times New Roman"/>
          <w:sz w:val="24"/>
          <w:szCs w:val="26"/>
        </w:rPr>
        <w:t>,</w:t>
      </w:r>
      <w:r w:rsidR="00554521" w:rsidRPr="000E5142">
        <w:rPr>
          <w:rFonts w:ascii="Times New Roman" w:hAnsi="Times New Roman" w:cs="Times New Roman"/>
          <w:sz w:val="24"/>
          <w:szCs w:val="26"/>
        </w:rPr>
        <w:t xml:space="preserve"> </w:t>
      </w:r>
      <w:r w:rsidR="0050118B" w:rsidRPr="000E5142">
        <w:rPr>
          <w:rFonts w:ascii="Times New Roman" w:hAnsi="Times New Roman" w:cs="Times New Roman"/>
          <w:sz w:val="24"/>
          <w:szCs w:val="26"/>
        </w:rPr>
        <w:t xml:space="preserve">ratio of elderly population </w:t>
      </w:r>
      <w:r w:rsidR="00554521" w:rsidRPr="000E5142">
        <w:rPr>
          <w:rFonts w:ascii="Times New Roman" w:hAnsi="Times New Roman" w:cs="Times New Roman"/>
          <w:sz w:val="24"/>
          <w:szCs w:val="26"/>
        </w:rPr>
        <w:t>and number of public facilities</w:t>
      </w:r>
      <w:r w:rsidRPr="000E5142">
        <w:rPr>
          <w:rFonts w:ascii="Times New Roman" w:hAnsi="Times New Roman" w:cs="Times New Roman"/>
          <w:sz w:val="24"/>
          <w:szCs w:val="26"/>
        </w:rPr>
        <w:t>.</w:t>
      </w:r>
    </w:p>
    <w:sectPr w:rsidR="000E5142" w:rsidRPr="000E5142" w:rsidSect="007D1100">
      <w:pgSz w:w="23814" w:h="17010" w:orient="landscape"/>
      <w:pgMar w:top="1440" w:right="567" w:bottom="1440" w:left="56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06F8" w:rsidRDefault="00CE06F8">
      <w:r>
        <w:separator/>
      </w:r>
    </w:p>
  </w:endnote>
  <w:endnote w:type="continuationSeparator" w:id="0">
    <w:p w:rsidR="00CE06F8" w:rsidRDefault="00CE0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06F8" w:rsidRDefault="00CE06F8">
      <w:r>
        <w:separator/>
      </w:r>
    </w:p>
  </w:footnote>
  <w:footnote w:type="continuationSeparator" w:id="0">
    <w:p w:rsidR="00CE06F8" w:rsidRDefault="00CE06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3446" w:rsidRDefault="00C43446" w:rsidP="00D76003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3446" w:rsidRDefault="00C43446" w:rsidP="00D7600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89D"/>
    <w:rsid w:val="00000030"/>
    <w:rsid w:val="000000AC"/>
    <w:rsid w:val="00021F7D"/>
    <w:rsid w:val="00025E3C"/>
    <w:rsid w:val="00040AAA"/>
    <w:rsid w:val="000457A5"/>
    <w:rsid w:val="00055C1A"/>
    <w:rsid w:val="00066867"/>
    <w:rsid w:val="00072312"/>
    <w:rsid w:val="00080446"/>
    <w:rsid w:val="00086DEC"/>
    <w:rsid w:val="000904E9"/>
    <w:rsid w:val="00090889"/>
    <w:rsid w:val="000A3098"/>
    <w:rsid w:val="000A4FEC"/>
    <w:rsid w:val="000C124A"/>
    <w:rsid w:val="000C3FD2"/>
    <w:rsid w:val="000D50B7"/>
    <w:rsid w:val="000D6FEF"/>
    <w:rsid w:val="000E0F4D"/>
    <w:rsid w:val="000E15E3"/>
    <w:rsid w:val="000E5142"/>
    <w:rsid w:val="00101D3F"/>
    <w:rsid w:val="00112FB1"/>
    <w:rsid w:val="00117C6B"/>
    <w:rsid w:val="001415DA"/>
    <w:rsid w:val="00143F5A"/>
    <w:rsid w:val="00145FEC"/>
    <w:rsid w:val="00152E94"/>
    <w:rsid w:val="0016398D"/>
    <w:rsid w:val="00177609"/>
    <w:rsid w:val="001830E1"/>
    <w:rsid w:val="00183DC6"/>
    <w:rsid w:val="001A0A5F"/>
    <w:rsid w:val="001A3BAF"/>
    <w:rsid w:val="001A7C86"/>
    <w:rsid w:val="001B7226"/>
    <w:rsid w:val="001D29B7"/>
    <w:rsid w:val="001D746E"/>
    <w:rsid w:val="001E2D55"/>
    <w:rsid w:val="001E424D"/>
    <w:rsid w:val="001F504F"/>
    <w:rsid w:val="001F7665"/>
    <w:rsid w:val="00200B3F"/>
    <w:rsid w:val="00216B9D"/>
    <w:rsid w:val="0022236C"/>
    <w:rsid w:val="00226035"/>
    <w:rsid w:val="002334E4"/>
    <w:rsid w:val="00236BD3"/>
    <w:rsid w:val="002501EF"/>
    <w:rsid w:val="00257244"/>
    <w:rsid w:val="00271E70"/>
    <w:rsid w:val="0027585E"/>
    <w:rsid w:val="00281072"/>
    <w:rsid w:val="00282CA0"/>
    <w:rsid w:val="002929B7"/>
    <w:rsid w:val="00294C83"/>
    <w:rsid w:val="002A5862"/>
    <w:rsid w:val="002B0BFA"/>
    <w:rsid w:val="002B1DF6"/>
    <w:rsid w:val="002D6849"/>
    <w:rsid w:val="002D6E61"/>
    <w:rsid w:val="002D74E7"/>
    <w:rsid w:val="002F5449"/>
    <w:rsid w:val="0030193E"/>
    <w:rsid w:val="00326746"/>
    <w:rsid w:val="003446CD"/>
    <w:rsid w:val="00362B1B"/>
    <w:rsid w:val="00367189"/>
    <w:rsid w:val="003769DC"/>
    <w:rsid w:val="00390204"/>
    <w:rsid w:val="0039403F"/>
    <w:rsid w:val="00396B93"/>
    <w:rsid w:val="003A1B08"/>
    <w:rsid w:val="003A4E51"/>
    <w:rsid w:val="003A6578"/>
    <w:rsid w:val="003B1050"/>
    <w:rsid w:val="003B5697"/>
    <w:rsid w:val="003C4DB7"/>
    <w:rsid w:val="003C636A"/>
    <w:rsid w:val="003D30B0"/>
    <w:rsid w:val="003E6C51"/>
    <w:rsid w:val="003F4AC9"/>
    <w:rsid w:val="003F5D2C"/>
    <w:rsid w:val="00400CA0"/>
    <w:rsid w:val="00401008"/>
    <w:rsid w:val="00417C7E"/>
    <w:rsid w:val="004216FA"/>
    <w:rsid w:val="00437F70"/>
    <w:rsid w:val="00440290"/>
    <w:rsid w:val="0044191D"/>
    <w:rsid w:val="004632CD"/>
    <w:rsid w:val="004857B6"/>
    <w:rsid w:val="00486CE8"/>
    <w:rsid w:val="004B3746"/>
    <w:rsid w:val="004D01D4"/>
    <w:rsid w:val="00500345"/>
    <w:rsid w:val="00500FDF"/>
    <w:rsid w:val="0050118B"/>
    <w:rsid w:val="00505CCB"/>
    <w:rsid w:val="00510862"/>
    <w:rsid w:val="0051095B"/>
    <w:rsid w:val="0051359E"/>
    <w:rsid w:val="00525564"/>
    <w:rsid w:val="005318EA"/>
    <w:rsid w:val="005416E5"/>
    <w:rsid w:val="00554521"/>
    <w:rsid w:val="00595292"/>
    <w:rsid w:val="00596BD6"/>
    <w:rsid w:val="005C285D"/>
    <w:rsid w:val="005C53EF"/>
    <w:rsid w:val="005C574F"/>
    <w:rsid w:val="005D60D3"/>
    <w:rsid w:val="005E0688"/>
    <w:rsid w:val="005E1FAA"/>
    <w:rsid w:val="00600F0C"/>
    <w:rsid w:val="00616260"/>
    <w:rsid w:val="00616483"/>
    <w:rsid w:val="006333C6"/>
    <w:rsid w:val="006825DD"/>
    <w:rsid w:val="006847DB"/>
    <w:rsid w:val="0068489D"/>
    <w:rsid w:val="006A0A52"/>
    <w:rsid w:val="006A25E2"/>
    <w:rsid w:val="006A5C14"/>
    <w:rsid w:val="006C3E1E"/>
    <w:rsid w:val="006C67BD"/>
    <w:rsid w:val="006D2F7F"/>
    <w:rsid w:val="006D7152"/>
    <w:rsid w:val="006E4E22"/>
    <w:rsid w:val="00753729"/>
    <w:rsid w:val="00756003"/>
    <w:rsid w:val="00770EF1"/>
    <w:rsid w:val="00793FA1"/>
    <w:rsid w:val="007942B8"/>
    <w:rsid w:val="007A7076"/>
    <w:rsid w:val="007D1100"/>
    <w:rsid w:val="007D7B50"/>
    <w:rsid w:val="007E317F"/>
    <w:rsid w:val="007F0EE4"/>
    <w:rsid w:val="007F77B8"/>
    <w:rsid w:val="00802212"/>
    <w:rsid w:val="00805914"/>
    <w:rsid w:val="00820B53"/>
    <w:rsid w:val="00837CAB"/>
    <w:rsid w:val="00856399"/>
    <w:rsid w:val="00857E9E"/>
    <w:rsid w:val="00863CA4"/>
    <w:rsid w:val="00870A98"/>
    <w:rsid w:val="00871E2C"/>
    <w:rsid w:val="00872389"/>
    <w:rsid w:val="00876BFE"/>
    <w:rsid w:val="00885B30"/>
    <w:rsid w:val="00897F0A"/>
    <w:rsid w:val="008A516A"/>
    <w:rsid w:val="008B0D5D"/>
    <w:rsid w:val="008B14EF"/>
    <w:rsid w:val="008D1353"/>
    <w:rsid w:val="008D3480"/>
    <w:rsid w:val="008D4608"/>
    <w:rsid w:val="008E2EE6"/>
    <w:rsid w:val="008E4336"/>
    <w:rsid w:val="008E60A8"/>
    <w:rsid w:val="008F21B2"/>
    <w:rsid w:val="009109C4"/>
    <w:rsid w:val="009222F0"/>
    <w:rsid w:val="0092243C"/>
    <w:rsid w:val="009312AA"/>
    <w:rsid w:val="0094316F"/>
    <w:rsid w:val="0095457E"/>
    <w:rsid w:val="00970ED8"/>
    <w:rsid w:val="009711D0"/>
    <w:rsid w:val="00981266"/>
    <w:rsid w:val="00983A14"/>
    <w:rsid w:val="00992C11"/>
    <w:rsid w:val="009B702F"/>
    <w:rsid w:val="009C1822"/>
    <w:rsid w:val="009C2C9F"/>
    <w:rsid w:val="009F3289"/>
    <w:rsid w:val="00A15E1E"/>
    <w:rsid w:val="00A166F3"/>
    <w:rsid w:val="00A23C1B"/>
    <w:rsid w:val="00A40CFB"/>
    <w:rsid w:val="00A43086"/>
    <w:rsid w:val="00A4443B"/>
    <w:rsid w:val="00A6404C"/>
    <w:rsid w:val="00A72BA0"/>
    <w:rsid w:val="00A8552C"/>
    <w:rsid w:val="00A85877"/>
    <w:rsid w:val="00A86945"/>
    <w:rsid w:val="00A90D49"/>
    <w:rsid w:val="00A90D74"/>
    <w:rsid w:val="00A94E9B"/>
    <w:rsid w:val="00AA1BE4"/>
    <w:rsid w:val="00AA5F2B"/>
    <w:rsid w:val="00AB31D9"/>
    <w:rsid w:val="00AC1E8D"/>
    <w:rsid w:val="00AD6724"/>
    <w:rsid w:val="00AE0178"/>
    <w:rsid w:val="00AE334F"/>
    <w:rsid w:val="00AE67D2"/>
    <w:rsid w:val="00AF76A0"/>
    <w:rsid w:val="00B01CBE"/>
    <w:rsid w:val="00B025FB"/>
    <w:rsid w:val="00B12AED"/>
    <w:rsid w:val="00B13AFB"/>
    <w:rsid w:val="00B237E1"/>
    <w:rsid w:val="00B27CF3"/>
    <w:rsid w:val="00B3455A"/>
    <w:rsid w:val="00B4153C"/>
    <w:rsid w:val="00B420DE"/>
    <w:rsid w:val="00B45337"/>
    <w:rsid w:val="00B50C94"/>
    <w:rsid w:val="00B60AE3"/>
    <w:rsid w:val="00B837E0"/>
    <w:rsid w:val="00B9795C"/>
    <w:rsid w:val="00BA198A"/>
    <w:rsid w:val="00BC4ADB"/>
    <w:rsid w:val="00BD548D"/>
    <w:rsid w:val="00BE1DA1"/>
    <w:rsid w:val="00BE32EB"/>
    <w:rsid w:val="00C003D4"/>
    <w:rsid w:val="00C01754"/>
    <w:rsid w:val="00C07B4B"/>
    <w:rsid w:val="00C155E9"/>
    <w:rsid w:val="00C17BBB"/>
    <w:rsid w:val="00C43446"/>
    <w:rsid w:val="00C46379"/>
    <w:rsid w:val="00C767E3"/>
    <w:rsid w:val="00CA167D"/>
    <w:rsid w:val="00CB3587"/>
    <w:rsid w:val="00CC0E26"/>
    <w:rsid w:val="00CC31D7"/>
    <w:rsid w:val="00CD5FFF"/>
    <w:rsid w:val="00CD6F8C"/>
    <w:rsid w:val="00CE06F8"/>
    <w:rsid w:val="00CF7E49"/>
    <w:rsid w:val="00D36248"/>
    <w:rsid w:val="00D4202C"/>
    <w:rsid w:val="00D52673"/>
    <w:rsid w:val="00D76003"/>
    <w:rsid w:val="00D76381"/>
    <w:rsid w:val="00D83900"/>
    <w:rsid w:val="00D8551A"/>
    <w:rsid w:val="00D858AE"/>
    <w:rsid w:val="00D8637B"/>
    <w:rsid w:val="00DA6ACC"/>
    <w:rsid w:val="00DA6FA9"/>
    <w:rsid w:val="00DB46B6"/>
    <w:rsid w:val="00DC236D"/>
    <w:rsid w:val="00DC61D6"/>
    <w:rsid w:val="00DE204A"/>
    <w:rsid w:val="00E15DCF"/>
    <w:rsid w:val="00E23369"/>
    <w:rsid w:val="00E2590B"/>
    <w:rsid w:val="00E45709"/>
    <w:rsid w:val="00E53861"/>
    <w:rsid w:val="00E57DE7"/>
    <w:rsid w:val="00E74C53"/>
    <w:rsid w:val="00E77509"/>
    <w:rsid w:val="00E800E7"/>
    <w:rsid w:val="00EA0B09"/>
    <w:rsid w:val="00EB337F"/>
    <w:rsid w:val="00EB6D72"/>
    <w:rsid w:val="00EE3017"/>
    <w:rsid w:val="00EF4C88"/>
    <w:rsid w:val="00F100E3"/>
    <w:rsid w:val="00F133D3"/>
    <w:rsid w:val="00F35A46"/>
    <w:rsid w:val="00F37AAB"/>
    <w:rsid w:val="00F50DE4"/>
    <w:rsid w:val="00F675E6"/>
    <w:rsid w:val="00F87ABD"/>
    <w:rsid w:val="00F94C83"/>
    <w:rsid w:val="00FA44A0"/>
    <w:rsid w:val="00FB4972"/>
    <w:rsid w:val="00FC0F54"/>
    <w:rsid w:val="00FC34CC"/>
    <w:rsid w:val="00FD2D96"/>
    <w:rsid w:val="00FE2C04"/>
    <w:rsid w:val="00FE72DF"/>
    <w:rsid w:val="00FF308B"/>
    <w:rsid w:val="00FF6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893BFD"/>
  <w15:chartTrackingRefBased/>
  <w15:docId w15:val="{05415A73-EBBA-4F24-9917-E24D065E9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2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0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00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0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0C94"/>
    <w:rPr>
      <w:sz w:val="18"/>
      <w:szCs w:val="18"/>
    </w:rPr>
  </w:style>
  <w:style w:type="character" w:styleId="a7">
    <w:name w:val="Hyperlink"/>
    <w:basedOn w:val="a0"/>
    <w:uiPriority w:val="99"/>
    <w:unhideWhenUsed/>
    <w:rsid w:val="00856399"/>
    <w:rPr>
      <w:color w:val="0563C1" w:themeColor="hyperlink"/>
      <w:u w:val="single"/>
    </w:rPr>
  </w:style>
  <w:style w:type="paragraph" w:customStyle="1" w:styleId="EndNoteBibliography">
    <w:name w:val="EndNote Bibliography"/>
    <w:basedOn w:val="a"/>
    <w:link w:val="EndNoteBibliography0"/>
    <w:rsid w:val="00152E9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52E94"/>
    <w:rPr>
      <w:rFonts w:ascii="等线" w:eastAsia="等线" w:hAnsi="等线"/>
      <w:noProof/>
      <w:sz w:val="20"/>
    </w:rPr>
  </w:style>
  <w:style w:type="character" w:styleId="a8">
    <w:name w:val="line number"/>
    <w:basedOn w:val="a0"/>
    <w:uiPriority w:val="99"/>
    <w:semiHidden/>
    <w:unhideWhenUsed/>
    <w:rsid w:val="005416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35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4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9FD79F-F4B3-48C9-9BE9-A25C932AA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1206</TotalTime>
  <Pages>5</Pages>
  <Words>1072</Words>
  <Characters>6117</Characters>
  <Application>Microsoft Office Word</Application>
  <DocSecurity>0</DocSecurity>
  <Lines>50</Lines>
  <Paragraphs>14</Paragraphs>
  <ScaleCrop>false</ScaleCrop>
  <Company/>
  <LinksUpToDate>false</LinksUpToDate>
  <CharactersWithSpaces>7175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刘伟</dc:creator>
  <cp:keywords/>
  <dc:description/>
  <cp:lastModifiedBy>刘伟</cp:lastModifiedBy>
  <cp:revision>70</cp:revision>
  <dcterms:created xsi:type="dcterms:W3CDTF">2020-05-05T07:41:00Z</dcterms:created>
  <dcterms:modified xsi:type="dcterms:W3CDTF">2020-10-30T09:05:00Z</dcterms:modified>
</cp:coreProperties>
</file>