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A1441">
      <w:pPr>
        <w:pStyle w:val="3"/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t>Supporting Information</w:t>
      </w:r>
    </w:p>
    <w:p w14:paraId="35ABE63D">
      <w:pPr>
        <w:jc w:val="center"/>
        <w:rPr>
          <w:rFonts w:hint="default" w:ascii="Arial" w:hAnsi="Arial" w:cs="Arial"/>
        </w:rPr>
      </w:pPr>
      <w:r>
        <w:rPr>
          <w:rFonts w:hint="default" w:ascii="Arial" w:hAnsi="Arial" w:eastAsia="Times New Roman" w:cs="Arial"/>
          <w:b/>
          <w:bCs/>
          <w:sz w:val="24"/>
          <w:szCs w:val="32"/>
        </w:rPr>
        <w:t>An Fe–Ti bimetallic MOF-functionalized electrospun PVDF-HFP separator for homogeneous Li</w:t>
      </w:r>
      <w:r>
        <w:rPr>
          <w:rFonts w:hint="eastAsia" w:ascii="Arial" w:hAnsi="Arial" w:eastAsia="宋体" w:cs="Arial"/>
          <w:b/>
          <w:bCs/>
          <w:sz w:val="24"/>
          <w:szCs w:val="32"/>
          <w:vertAlign w:val="superscript"/>
          <w:lang w:val="en-US" w:eastAsia="zh-CN"/>
        </w:rPr>
        <w:t>+</w:t>
      </w:r>
      <w:r>
        <w:rPr>
          <w:rFonts w:hint="default" w:ascii="Arial" w:hAnsi="Arial" w:eastAsia="Times New Roman" w:cs="Arial"/>
          <w:b/>
          <w:bCs/>
          <w:sz w:val="24"/>
          <w:szCs w:val="32"/>
        </w:rPr>
        <w:t xml:space="preserve"> flux in thermally robust, fast-charging LiFePO</w:t>
      </w:r>
      <w:r>
        <w:rPr>
          <w:rFonts w:hint="eastAsia" w:ascii="Arial" w:hAnsi="Arial" w:eastAsia="宋体" w:cs="Arial"/>
          <w:b/>
          <w:bCs/>
          <w:sz w:val="24"/>
          <w:szCs w:val="32"/>
          <w:vertAlign w:val="subscript"/>
          <w:lang w:val="en-US" w:eastAsia="zh-CN"/>
        </w:rPr>
        <w:t>4</w:t>
      </w:r>
      <w:r>
        <w:rPr>
          <w:rFonts w:hint="default" w:ascii="Arial" w:hAnsi="Arial" w:eastAsia="Times New Roman" w:cs="Arial"/>
          <w:b/>
          <w:bCs/>
          <w:sz w:val="24"/>
          <w:szCs w:val="32"/>
        </w:rPr>
        <w:t xml:space="preserve"> batteries</w:t>
      </w: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Keying Wu</w:t>
      </w:r>
      <w:r>
        <w:rPr>
          <w:rFonts w:hint="default" w:ascii="Arial" w:hAnsi="Arial" w:cs="Arial"/>
          <w:vertAlign w:val="superscript"/>
        </w:rPr>
        <w:t xml:space="preserve">a,b,*</w:t>
      </w:r>
      <w:r>
        <w:rPr>
          <w:rFonts w:hint="default" w:ascii="Arial" w:hAnsi="Arial" w:cs="Arial"/>
        </w:rPr>
        <w:t xml:space="preserve">, Wenda Xie</w:t>
      </w:r>
      <w:r>
        <w:rPr>
          <w:rFonts w:hint="default" w:ascii="Arial" w:hAnsi="Arial" w:cs="Arial"/>
          <w:vertAlign w:val="superscript"/>
        </w:rPr>
        <w:t xml:space="preserve">a,*</w:t>
      </w:r>
      <w:r>
        <w:rPr>
          <w:rFonts w:hint="default" w:ascii="Arial" w:hAnsi="Arial" w:cs="Arial"/>
        </w:rPr>
        <w:t xml:space="preserve">, Xingjian Liu</w:t>
      </w:r>
      <w:r>
        <w:rPr>
          <w:rFonts w:hint="default" w:ascii="Arial" w:hAnsi="Arial" w:cs="Arial"/>
          <w:vertAlign w:val="superscript"/>
        </w:rPr>
        <w:t xml:space="preserve">b</w:t>
      </w:r>
      <w:r>
        <w:rPr>
          <w:rFonts w:hint="default" w:ascii="Arial" w:hAnsi="Arial" w:cs="Arial"/>
        </w:rPr>
        <w:t xml:space="preserve">, Jing Chen</w:t>
      </w:r>
      <w:r>
        <w:rPr>
          <w:rFonts w:hint="default" w:ascii="Arial" w:hAnsi="Arial" w:cs="Arial"/>
          <w:vertAlign w:val="superscript"/>
        </w:rPr>
        <w:t xml:space="preserve">b</w:t>
      </w:r>
      <w:r>
        <w:rPr>
          <w:rFonts w:hint="default" w:ascii="Arial" w:hAnsi="Arial" w:cs="Arial"/>
        </w:rPr>
        <w:t xml:space="preserve">, Haitao Pu</w:t>
      </w:r>
      <w:r>
        <w:rPr>
          <w:rFonts w:hint="default" w:ascii="Arial" w:hAnsi="Arial" w:cs="Arial"/>
          <w:vertAlign w:val="superscript"/>
        </w:rPr>
        <w:t xml:space="preserve">b</w:t>
      </w:r>
      <w:r>
        <w:rPr>
          <w:rFonts w:hint="default" w:ascii="Arial" w:hAnsi="Arial" w:cs="Arial"/>
        </w:rPr>
        <w:t xml:space="preserve">, Bing Luo</w:t>
      </w:r>
      <w:r>
        <w:rPr>
          <w:rFonts w:hint="default" w:ascii="Arial" w:hAnsi="Arial" w:cs="Arial"/>
          <w:vertAlign w:val="superscript"/>
        </w:rPr>
        <w:t xml:space="preserve">a</w:t>
      </w: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  <w:vertAlign w:val="superscript"/>
        </w:rPr>
        <w:t xml:space="preserve">a</w:t>
      </w:r>
      <w:r>
        <w:rPr>
          <w:rFonts w:hint="default" w:ascii="Arial" w:hAnsi="Arial" w:cs="Arial"/>
        </w:rPr>
        <w:t xml:space="preserve"> Application Research Center of Smart Energy Technology of Mianyang City College, Mianyang 621000, Sichuan, PR China</w:t>
      </w: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  <w:vertAlign w:val="superscript"/>
        </w:rPr>
        <w:t xml:space="preserve">b</w:t>
      </w:r>
      <w:r>
        <w:rPr>
          <w:rFonts w:hint="default" w:ascii="Arial" w:hAnsi="Arial" w:cs="Arial"/>
        </w:rPr>
        <w:t xml:space="preserve"> Meishan Vocational &amp; Technical College, Meishan 620010, Sichuan, PR China</w:t>
      </w: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* </w:t>
      </w:r>
      <w:r>
        <w:rPr>
          <w:rFonts w:hint="default" w:ascii="Arial" w:hAnsi="Arial" w:cs="Arial"/>
        </w:rPr>
        <w:t xml:space="preserve">Corresponding authors. E-mail: kywu601@163.com (K. Wu); wendellxie2020@163.com (W. Xie)</w:t>
      </w:r>
    </w:p>
    <w:p w14:paraId="3F9B0D98">
      <w:pPr>
        <w:rPr>
          <w:rFonts w:hint="default" w:ascii="Arial" w:hAnsi="Arial" w:cs="Arial"/>
        </w:rPr>
      </w:pPr>
    </w:p>
    <w:p w14:paraId="5B956316">
      <w:pPr>
        <w:pStyle w:val="4"/>
        <w:rPr>
          <w:rFonts w:hint="default" w:ascii="Arial" w:hAnsi="Arial" w:cs="Arial"/>
        </w:rPr>
      </w:pPr>
      <w:r>
        <w:rPr>
          <w:rFonts w:hint="default" w:ascii="Arial" w:hAnsi="Arial" w:cs="Arial"/>
        </w:rPr>
        <w:t>1. Supplementary Experimental Methods</w:t>
      </w:r>
    </w:p>
    <w:p w14:paraId="78A80D36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Density functional theory (DFT) calculations: </w:t>
      </w:r>
      <w:r>
        <w:rPr>
          <w:rFonts w:hint="default" w:ascii="Arial" w:hAnsi="Arial" w:cs="Arial"/>
        </w:rPr>
        <w:t>All spin-polarized DFT calculations were performed using the Vienna Ab initio Simulation Package (VASP) with the Perdew–Burke–Ernzerhof (PBE) generalized gradient approximation (GGA) functional. The projector-augmented wave (PAW) method was used to describe ion-electron interactions, with a kinetic energy cutoff of 450 eV for plane-wave basis sets. The DFT-D3 dispersion correction was applied to account for van der Waals interactions. A 3×3×1 Monkhorst-Pack k-point mesh was used for Brillouin zone sampling. The Fe–Ti MOF (101) surface was modeled by a 2×2 supercell with a 15 Å vacuum layer to avoid interlayer interactions. All atoms were relaxed until the residual forces were less than 0.02 eV Å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-1</w:t>
      </w:r>
      <w:r>
        <w:rPr>
          <w:rFonts w:hint="default" w:ascii="Arial" w:hAnsi="Arial" w:cs="Arial"/>
        </w:rPr>
        <w:t>, and the energy convergence criterion was set to 10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-5</w:t>
      </w:r>
      <w:r>
        <w:rPr>
          <w:rFonts w:hint="default" w:ascii="Arial" w:hAnsi="Arial" w:cs="Arial"/>
        </w:rPr>
        <w:t xml:space="preserve"> eV. The adsorption energy (E</w:t>
      </w:r>
      <w:r>
        <w:rPr>
          <w:rFonts w:hint="default" w:ascii="Arial" w:hAnsi="Arial" w:cs="Arial"/>
          <w:sz w:val="24"/>
          <w:szCs w:val="24"/>
          <w:vertAlign w:val="subscript"/>
        </w:rPr>
        <w:t>ads</w:t>
      </w:r>
      <w:r>
        <w:rPr>
          <w:rFonts w:hint="default" w:ascii="Arial" w:hAnsi="Arial" w:cs="Arial"/>
        </w:rPr>
        <w:t>) was calculated as E</w:t>
      </w:r>
      <w:r>
        <w:rPr>
          <w:rFonts w:hint="default" w:ascii="Arial" w:hAnsi="Arial" w:cs="Arial"/>
          <w:vertAlign w:val="subscript"/>
        </w:rPr>
        <w:t>ads</w:t>
      </w:r>
      <w:r>
        <w:rPr>
          <w:rFonts w:hint="default" w:ascii="Arial" w:hAnsi="Arial" w:cs="Arial"/>
        </w:rPr>
        <w:t xml:space="preserve"> = E</w:t>
      </w:r>
      <w:r>
        <w:rPr>
          <w:rFonts w:hint="default" w:ascii="Arial" w:hAnsi="Arial" w:cs="Arial"/>
          <w:vertAlign w:val="subscript"/>
        </w:rPr>
        <w:t>total</w:t>
      </w:r>
      <w:r>
        <w:rPr>
          <w:rFonts w:hint="default" w:ascii="Arial" w:hAnsi="Arial" w:cs="Arial"/>
        </w:rPr>
        <w:t xml:space="preserve"> - E</w:t>
      </w:r>
      <w:r>
        <w:rPr>
          <w:rFonts w:hint="default" w:ascii="Arial" w:hAnsi="Arial" w:cs="Arial"/>
          <w:sz w:val="24"/>
          <w:szCs w:val="24"/>
          <w:vertAlign w:val="subscript"/>
        </w:rPr>
        <w:t>substrate</w:t>
      </w:r>
      <w:r>
        <w:rPr>
          <w:rFonts w:hint="default" w:ascii="Arial" w:hAnsi="Arial" w:cs="Arial"/>
        </w:rPr>
        <w:t xml:space="preserve"> - E</w:t>
      </w:r>
      <w:r>
        <w:rPr>
          <w:rFonts w:hint="default" w:ascii="Arial" w:hAnsi="Arial" w:cs="Arial"/>
          <w:vertAlign w:val="subscript"/>
        </w:rPr>
        <w:t>adsorbate</w:t>
      </w:r>
      <w:r>
        <w:rPr>
          <w:rFonts w:hint="default" w:ascii="Arial" w:hAnsi="Arial" w:cs="Arial"/>
        </w:rPr>
        <w:t>, where E_total is the total energy of the adsorbate-substrate system, E</w:t>
      </w:r>
      <w:r>
        <w:rPr>
          <w:rFonts w:hint="default" w:ascii="Arial" w:hAnsi="Arial" w:cs="Arial"/>
          <w:sz w:val="24"/>
          <w:szCs w:val="24"/>
          <w:vertAlign w:val="subscript"/>
        </w:rPr>
        <w:t>substrate</w:t>
      </w:r>
      <w:r>
        <w:rPr>
          <w:rFonts w:hint="default" w:ascii="Arial" w:hAnsi="Arial" w:cs="Arial"/>
        </w:rPr>
        <w:t xml:space="preserve"> is the energy of the clean substrate, and E</w:t>
      </w:r>
      <w:r>
        <w:rPr>
          <w:rFonts w:hint="default" w:ascii="Arial" w:hAnsi="Arial" w:cs="Arial"/>
          <w:sz w:val="24"/>
          <w:szCs w:val="24"/>
          <w:vertAlign w:val="subscript"/>
        </w:rPr>
        <w:t>adsorbate</w:t>
      </w:r>
      <w:r>
        <w:rPr>
          <w:rFonts w:hint="default" w:ascii="Arial" w:hAnsi="Arial" w:cs="Arial"/>
        </w:rPr>
        <w:t xml:space="preserve"> is the energy of the isolated adsorbate. More negative E</w:t>
      </w:r>
      <w:r>
        <w:rPr>
          <w:rFonts w:hint="default" w:ascii="Arial" w:hAnsi="Arial" w:cs="Arial"/>
          <w:sz w:val="24"/>
          <w:szCs w:val="24"/>
          <w:vertAlign w:val="subscript"/>
        </w:rPr>
        <w:t>ads</w:t>
      </w:r>
      <w:r>
        <w:rPr>
          <w:rFonts w:hint="default" w:ascii="Arial" w:hAnsi="Arial" w:cs="Arial"/>
        </w:rPr>
        <w:t xml:space="preserve"> indicates stronger adsorption.</w:t>
      </w:r>
    </w:p>
    <w:p w14:paraId="5D61086D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Materials characterization: </w:t>
      </w:r>
      <w:r>
        <w:rPr>
          <w:rFonts w:hint="default" w:ascii="Arial" w:hAnsi="Arial" w:cs="Arial"/>
        </w:rPr>
        <w:t>Nitrogen adsorption-desorption isotherms were measured at 77 K using a Micromeritics ASAP 2460 analyzer, and specific surface areas were calculated by the Brunauer-Emmett-Teller (BET) method. Micropore size distributions were obtained by non-local density functional theory (NLDFT) analysis of the adsorption branch, and mesopore size distributions were derived from the adsorption branch using the Barrett-Joyner-Halenda (BJH) model. X-ray photoelectron spectroscopy (XPS) was performed on a Thermo ESCALAB 250Xi spectrometer with Al Kα radiation (1486.6 eV), and binding energies were calibrated using the C 1s peak at 284.8 eV.</w:t>
      </w:r>
    </w:p>
    <w:p w14:paraId="6D738D73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Electrochemical measurements: </w:t>
      </w:r>
      <w:r>
        <w:rPr>
          <w:rFonts w:hint="default" w:ascii="Arial" w:hAnsi="Arial" w:cs="Arial"/>
        </w:rPr>
        <w:t>Electrochemical impedance spectroscopy (EIS) was measured over a frequency range of 10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-2</w:t>
      </w:r>
      <w:r>
        <w:rPr>
          <w:rFonts w:hint="default" w:ascii="Arial" w:hAnsi="Arial" w:cs="Arial"/>
        </w:rPr>
        <w:t xml:space="preserve"> to 10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5</w:t>
      </w:r>
      <w:r>
        <w:rPr>
          <w:rFonts w:hint="default" w:ascii="Arial" w:hAnsi="Arial" w:cs="Arial"/>
        </w:rPr>
        <w:t xml:space="preserve"> Hz with an AC amplitude of 10 mV on a CHI 760E electrochemical workstation. The EIS spectra were fitted using the ZView software with an equivalent circuit consisting of bulk resistance (RΩ), charge transfer resistance (Rct), and a constant phase element (CPE). Li|separator|Li symmetric cells were assembled for Li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+</w:t>
      </w:r>
      <w:r>
        <w:rPr>
          <w:rFonts w:hint="default" w:ascii="Arial" w:hAnsi="Arial" w:cs="Arial"/>
        </w:rPr>
        <w:t xml:space="preserve"> transference number measurement using the Bruce-Vincent method, with a DC polarization voltage of 10 mV.</w:t>
      </w:r>
    </w:p>
    <w:p w14:paraId="69F09C4D">
      <w:pPr>
        <w:rPr>
          <w:rFonts w:hint="default" w:ascii="Arial" w:hAnsi="Arial" w:cs="Arial"/>
        </w:rPr>
      </w:pPr>
    </w:p>
    <w:p w14:paraId="4B674CB9">
      <w:pPr>
        <w:pStyle w:val="4"/>
        <w:rPr>
          <w:rFonts w:hint="default" w:ascii="Arial" w:hAnsi="Arial" w:cs="Arial"/>
        </w:rPr>
      </w:pPr>
      <w:r>
        <w:rPr>
          <w:rFonts w:hint="default" w:ascii="Arial" w:hAnsi="Arial" w:cs="Arial"/>
        </w:rPr>
        <w:t>2. Supplementary Figures</w:t>
      </w:r>
    </w:p>
    <w:p w14:paraId="2165C86A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Fig. S1 </w:t>
      </w:r>
    </w:p>
    <w:p w14:paraId="14959889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5943600" cy="298132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0688F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(a) N</w:t>
      </w:r>
      <w:r>
        <w:rPr>
          <w:rFonts w:hint="eastAsia" w:ascii="Arial" w:hAnsi="Arial" w:eastAsia="宋体" w:cs="Arial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Arial" w:hAnsi="Arial" w:cs="Arial"/>
        </w:rPr>
        <w:t xml:space="preserve"> adsorption-desorption isotherm of as-synthesized Fe–Ti bimetallic MOF at 77 K, showing a typical type I isotherm characteristic of microporous materials, with a BET specific surface area of 1268 m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Arial" w:hAnsi="Arial" w:cs="Arial"/>
        </w:rPr>
        <w:t xml:space="preserve"> g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-1</w:t>
      </w:r>
      <w:r>
        <w:rPr>
          <w:rFonts w:hint="default" w:ascii="Arial" w:hAnsi="Arial" w:cs="Arial"/>
        </w:rPr>
        <w:t>. (b) Corresponding pore size distribution, showing a dominant micropore peak centered at 0.76 nm, which is smaller than the solvated Li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+</w:t>
      </w:r>
      <w:r>
        <w:rPr>
          <w:rFonts w:hint="default" w:ascii="Arial" w:hAnsi="Arial" w:cs="Arial"/>
        </w:rPr>
        <w:t xml:space="preserve"> diameter (~1 nm), enabling size-sieving of solvated species while allowing bare Li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+</w:t>
      </w:r>
      <w:r>
        <w:rPr>
          <w:rFonts w:hint="default" w:ascii="Arial" w:hAnsi="Arial" w:cs="Arial"/>
        </w:rPr>
        <w:t xml:space="preserve"> transport.</w:t>
      </w:r>
    </w:p>
    <w:p w14:paraId="3C25E685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Fig. S2 </w:t>
      </w:r>
    </w:p>
    <w:p w14:paraId="7E449C2F">
      <w:pPr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4502150" cy="3052445"/>
            <wp:effectExtent l="0" t="0" r="8890" b="10795"/>
            <wp:docPr id="4" name="图片 4" descr="FigSx_XPS_surv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x_XPS_survey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215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98EB9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Full survey XPS spectra of pristine Fe–Ti MOF (blue) and PVDF-HFP/MOF-10 composite membrane (red, vertically offset for clarity). The spectra confirm the presence of C, O, Ti, Fe in both samples, with an additional F 1s peak in the composite membrane originating from the PVDF-HFP polymer matrix, confirming successful integration of MOF into the polymer fiber matrix.</w:t>
      </w:r>
    </w:p>
    <w:p w14:paraId="2B71CB67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Fig. S3 </w:t>
      </w:r>
    </w:p>
    <w:p w14:paraId="1684A92D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4572000" cy="309118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9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1AE25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Comparison of DFT-calculated adsorption energies of EC, DMC, Li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+</w:t>
      </w:r>
      <w:r>
        <w:rPr>
          <w:rFonts w:hint="default" w:ascii="Arial" w:hAnsi="Arial" w:cs="Arial"/>
        </w:rPr>
        <w:t>, and PF</w:t>
      </w:r>
      <w:r>
        <w:rPr>
          <w:rFonts w:hint="eastAsia" w:ascii="Arial" w:hAnsi="Arial" w:eastAsia="宋体" w:cs="Arial"/>
          <w:sz w:val="24"/>
          <w:szCs w:val="24"/>
          <w:vertAlign w:val="subscript"/>
          <w:lang w:val="en-US" w:eastAsia="zh-CN"/>
        </w:rPr>
        <w:t>6</w:t>
      </w:r>
      <w:r>
        <w:rPr>
          <w:rFonts w:hint="eastAsia" w:ascii="Arial" w:hAnsi="Arial" w:eastAsia="宋体" w:cs="Arial"/>
          <w:sz w:val="24"/>
          <w:szCs w:val="24"/>
          <w:vertAlign w:val="superscript"/>
          <w:lang w:val="en-US" w:eastAsia="zh-CN"/>
        </w:rPr>
        <w:t>-</w:t>
      </w:r>
      <w:r>
        <w:rPr>
          <w:rFonts w:hint="default" w:ascii="Arial" w:hAnsi="Arial" w:cs="Arial"/>
        </w:rPr>
        <w:t xml:space="preserve"> on single-metal Fe-MOF, single-metal Ti-MOF, and bimetallic Fe–Ti MOF surfaces. The Fe–Ti bimetallic MOF exhibits significantly stronger adsorption for all species compared to single-metal MOFs, confirming the synergistic effect between Fe and Ti centers which enhances Lewis acidity and improves electrolyte affinity and anion anchoring capability.</w:t>
      </w:r>
    </w:p>
    <w:p w14:paraId="0B3B626E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>Fig. S</w:t>
      </w:r>
      <w:r>
        <w:rPr>
          <w:rFonts w:hint="eastAsia" w:ascii="Arial" w:hAnsi="Arial" w:eastAsia="宋体" w:cs="Arial"/>
          <w:b/>
          <w:lang w:val="en-US" w:eastAsia="zh-CN"/>
        </w:rPr>
        <w:t>4</w:t>
      </w:r>
      <w:r>
        <w:rPr>
          <w:rFonts w:hint="default" w:ascii="Arial" w:hAnsi="Arial" w:cs="Arial"/>
          <w:b/>
        </w:rPr>
        <w:t xml:space="preserve"> </w:t>
      </w:r>
    </w:p>
    <w:p w14:paraId="19E7975F">
      <w:pPr>
        <w:rPr>
          <w:rFonts w:hint="eastAsia" w:ascii="Arial" w:hAnsi="Arial" w:eastAsia="宋体" w:cs="Arial"/>
          <w:lang w:eastAsia="zh-CN"/>
        </w:rPr>
      </w:pPr>
      <w:bookmarkStart w:id="0" w:name="_GoBack"/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5461635" cy="2731135"/>
            <wp:effectExtent l="0" t="0" r="9525" b="12065"/>
            <wp:docPr id="2" name="图片 2" descr="Fig.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s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46AE6D7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Long-term cycling performance at 1 C of LiFePO</w:t>
      </w:r>
      <w:r>
        <w:rPr>
          <w:rFonts w:hint="default" w:ascii="Arial" w:hAnsi="Arial" w:cs="Arial"/>
          <w:vertAlign w:val="subscript"/>
        </w:rPr>
        <w:t xml:space="preserve">4</w:t>
      </w:r>
      <w:r>
        <w:rPr>
          <w:rFonts w:hint="default" w:ascii="Arial" w:hAnsi="Arial" w:cs="Arial"/>
        </w:rPr>
        <w:t xml:space="preserve">||Li coin cells (CR2032, 2.5–4.0 V) assembled with Celgard, pristine PVDF-HFP and PVDF-HFP/MOF-10 separators. Left axis: discharge capacity; right axis: Coulombic efficiency. After 500 cycles the PVDF-HFP/MOF-10 cell retains 141.2 mAh g</w:t>
      </w:r>
      <w:r>
        <w:rPr>
          <w:rFonts w:hint="default" w:ascii="Arial" w:hAnsi="Arial" w:cs="Arial"/>
          <w:vertAlign w:val="superscript"/>
        </w:rPr>
        <w:t xml:space="preserve">−1</w:t>
      </w:r>
      <w:r>
        <w:rPr>
          <w:rFonts w:hint="default" w:ascii="Arial" w:hAnsi="Arial" w:cs="Arial"/>
        </w:rPr>
        <w:t xml:space="preserve"> (92.3% of its initial capacity) with an average Coulombic efficiency above 99.8%, whereas the pristine PVDF-HFP and Celgard cells retain 75.6% and 58.2% of their initial capacities, respectively</w:t>
      </w:r>
    </w:p>
    <w:p w14:paraId="6452E7D4">
      <w:pPr>
        <w:pStyle w:val="4"/>
        <w:rPr>
          <w:rFonts w:hint="default" w:ascii="Arial" w:hAnsi="Arial" w:cs="Arial"/>
        </w:rPr>
      </w:pPr>
      <w:r>
        <w:rPr>
          <w:rFonts w:hint="default" w:ascii="Arial" w:hAnsi="Arial" w:cs="Arial"/>
        </w:rPr>
        <w:t>3. Supplementary Tables</w:t>
      </w: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Table S1 </w:t>
      </w:r>
    </w:p>
    <w:p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DFT-calculated adsorption energies (eV) of Li</w:t>
      </w:r>
      <w:r>
        <w:rPr>
          <w:rFonts w:hint="default" w:ascii="Arial" w:hAnsi="Arial" w:cs="Arial"/>
          <w:vertAlign w:val="superscript"/>
        </w:rPr>
        <w:t xml:space="preserve">+</w:t>
      </w:r>
      <w:r>
        <w:rPr>
          <w:rFonts w:hint="default" w:ascii="Arial" w:hAnsi="Arial" w:cs="Arial"/>
        </w:rPr>
        <w:t xml:space="preserve">, PF</w:t>
      </w:r>
      <w:r>
        <w:rPr>
          <w:rFonts w:hint="default" w:ascii="Arial" w:hAnsi="Arial" w:cs="Arial"/>
          <w:vertAlign w:val="subscript"/>
        </w:rPr>
        <w:t xml:space="preserve">6</w:t>
      </w:r>
      <w:r>
        <w:rPr>
          <w:rFonts w:hint="default" w:ascii="Arial" w:hAnsi="Arial" w:cs="Arial"/>
          <w:vertAlign w:val="superscript"/>
        </w:rPr>
        <w:t xml:space="preserve">−</w:t>
      </w:r>
      <w:r>
        <w:rPr>
          <w:rFonts w:hint="default" w:ascii="Arial" w:hAnsi="Arial" w:cs="Arial"/>
        </w:rPr>
        <w:t xml:space="preserve">, EC and DMC on PP, on the constituent units of PVDF-HFP, and on the Fe–Ti bimetallic MOF. More negative values indicate stronger adsorption. The corresponding optimized configurations are shown in Fig. 4d and Fig. 5c, d of the main text.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</w:rPr>
              <w:t xml:space="preserve">Substrate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</w:rPr>
              <w:t xml:space="preserve">Li</w:t>
            </w:r>
            <w:r>
              <w:rPr>
                <w:rFonts w:hint="default" w:ascii="Arial" w:hAnsi="Arial" w:cs="Arial"/>
                <w:b/>
                <w:vertAlign w:val="superscript"/>
              </w:rPr>
              <w:t xml:space="preserve">+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</w:rPr>
              <w:t xml:space="preserve">PF</w:t>
            </w:r>
            <w:r>
              <w:rPr>
                <w:rFonts w:hint="default" w:ascii="Arial" w:hAnsi="Arial" w:cs="Arial"/>
                <w:b/>
                <w:vertAlign w:val="subscript"/>
              </w:rPr>
              <w:t xml:space="preserve">6</w:t>
            </w:r>
            <w:r>
              <w:rPr>
                <w:rFonts w:hint="default" w:ascii="Arial" w:hAnsi="Arial" w:cs="Arial"/>
                <w:b/>
                <w:vertAlign w:val="superscript"/>
              </w:rPr>
              <w:t xml:space="preserve">−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</w:rPr>
              <w:t xml:space="preserve">EC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</w:rPr>
              <w:t xml:space="preserve">DMC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PP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−0.28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−1.69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−0.01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CH</w:t>
            </w:r>
            <w:r>
              <w:rPr>
                <w:rFonts w:hint="default" w:ascii="Arial" w:hAnsi="Arial" w:cs="Arial"/>
                <w:vertAlign w:val="subscript"/>
              </w:rPr>
              <w:t xml:space="preserve">2</w:t>
            </w:r>
            <w:r>
              <w:rPr>
                <w:rFonts w:hint="default" w:ascii="Arial" w:hAnsi="Arial" w:cs="Arial"/>
              </w:rPr>
              <w:t xml:space="preserve">CF</w:t>
            </w:r>
            <w:r>
              <w:rPr>
                <w:rFonts w:hint="default" w:ascii="Arial" w:hAnsi="Arial" w:cs="Arial"/>
                <w:vertAlign w:val="subscript"/>
              </w:rPr>
              <w:t xml:space="preserve">2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−1.74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−0.25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−0.02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CH</w:t>
            </w:r>
            <w:r>
              <w:rPr>
                <w:rFonts w:hint="default" w:ascii="Arial" w:hAnsi="Arial" w:cs="Arial"/>
                <w:vertAlign w:val="subscript"/>
              </w:rPr>
              <w:t xml:space="preserve">2</w:t>
            </w:r>
            <w:r>
              <w:rPr>
                <w:rFonts w:hint="default" w:ascii="Arial" w:hAnsi="Arial" w:cs="Arial"/>
              </w:rPr>
              <w:t xml:space="preserve">CF</w:t>
            </w:r>
            <w:r>
              <w:rPr>
                <w:rFonts w:hint="default" w:ascii="Arial" w:hAnsi="Arial" w:cs="Arial"/>
                <w:vertAlign w:val="subscript"/>
              </w:rPr>
              <w:t xml:space="preserve">2</w:t>
            </w:r>
            <w:r>
              <w:rPr>
                <w:rFonts w:hint="default" w:ascii="Arial" w:hAnsi="Arial" w:cs="Arial"/>
              </w:rPr>
              <w:t xml:space="preserve">H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−0.25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−0.36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−0.05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HFP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−1.74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−1.44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−0.07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Fe–Ti MOF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−2.91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−8.73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−1.19</w:t>
            </w:r>
          </w:p>
        </w:tc>
        <w:tc>
          <w:tcPr>
            <w:tcW w:w="1728" w:type="dxa"/>
          </w:tcPr>
          <w:p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 xml:space="preserve">−1.49</w:t>
            </w:r>
          </w:p>
        </w:tc>
      </w:tr>
    </w:tbl>
    <w:p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Compared with PP and the PVDF-HFP units, the Fe–Ti MOF binds PF</w:t>
      </w:r>
      <w:r>
        <w:rPr>
          <w:rFonts w:hint="default" w:ascii="Arial" w:hAnsi="Arial" w:cs="Arial"/>
          <w:vertAlign w:val="subscript"/>
        </w:rPr>
        <w:t xml:space="preserve">6</w:t>
      </w:r>
      <w:r>
        <w:rPr>
          <w:rFonts w:hint="default" w:ascii="Arial" w:hAnsi="Arial" w:cs="Arial"/>
          <w:vertAlign w:val="superscript"/>
        </w:rPr>
        <w:t xml:space="preserve">−</w:t>
      </w:r>
      <w:r>
        <w:rPr>
          <w:rFonts w:hint="default" w:ascii="Arial" w:hAnsi="Arial" w:cs="Arial"/>
        </w:rPr>
        <w:t xml:space="preserve"> far more strongly than Li</w:t>
      </w:r>
      <w:r>
        <w:rPr>
          <w:rFonts w:hint="default" w:ascii="Arial" w:hAnsi="Arial" w:cs="Arial"/>
          <w:vertAlign w:val="superscript"/>
        </w:rPr>
        <w:t xml:space="preserve">+</w:t>
      </w:r>
      <w:r>
        <w:rPr>
          <w:rFonts w:hint="default" w:ascii="Arial" w:hAnsi="Arial" w:cs="Arial"/>
        </w:rPr>
        <w:t xml:space="preserve">, which underpins the anion-anchoring and Li</w:t>
      </w:r>
      <w:r>
        <w:rPr>
          <w:rFonts w:hint="default" w:ascii="Arial" w:hAnsi="Arial" w:cs="Arial"/>
          <w:vertAlign w:val="superscript"/>
        </w:rPr>
        <w:t xml:space="preserve">+</w:t>
      </w:r>
      <w:r>
        <w:rPr>
          <w:rFonts w:hint="default" w:ascii="Arial" w:hAnsi="Arial" w:cs="Arial"/>
        </w:rPr>
        <w:t xml:space="preserve">-flux-homogenization effect discussed in the main text.</w:t>
      </w:r>
    </w:p>
    <w:p w14:paraId="0928183E">
      <w:pPr>
        <w:rPr>
          <w:rFonts w:hint="default" w:ascii="Arial" w:hAnsi="Arial" w:cs="Arial"/>
        </w:rPr>
      </w:pPr>
      <w:r>
        <w:rPr>
          <w:rFonts w:hint="default" w:ascii="Arial" w:hAnsi="Arial" w:cs="Arial"/>
          <w:b/>
        </w:rPr>
        <w:t xml:space="preserve">Table S2 </w:t>
      </w:r>
    </w:p>
    <w:p w14:paraId="44BB955D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Equivalent circuit fitting parameters of EIS spectra for LiFePO</w:t>
      </w:r>
      <w:r>
        <w:rPr>
          <w:rFonts w:hint="eastAsia" w:ascii="Arial" w:hAnsi="Arial" w:eastAsia="宋体" w:cs="Arial"/>
          <w:sz w:val="24"/>
          <w:szCs w:val="24"/>
          <w:vertAlign w:val="subscript"/>
          <w:lang w:val="en-US" w:eastAsia="zh-CN"/>
        </w:rPr>
        <w:t>4</w:t>
      </w:r>
      <w:r>
        <w:rPr>
          <w:rFonts w:hint="default" w:ascii="Arial" w:hAnsi="Arial" w:cs="Arial"/>
        </w:rPr>
        <w:t>||Li cells with different separators.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35F9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E6709C5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Sample</w:t>
            </w:r>
          </w:p>
        </w:tc>
        <w:tc>
          <w:tcPr>
            <w:tcW w:w="2160" w:type="dxa"/>
          </w:tcPr>
          <w:p w14:paraId="16AAA435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R</w:t>
            </w:r>
            <w:r>
              <w:rPr>
                <w:rFonts w:hint="default" w:ascii="Arial" w:hAnsi="Arial" w:cs="Arial"/>
                <w:sz w:val="24"/>
                <w:szCs w:val="24"/>
                <w:vertAlign w:val="subscript"/>
              </w:rPr>
              <w:t>Ω</w:t>
            </w:r>
            <w:r>
              <w:rPr>
                <w:rFonts w:hint="default" w:ascii="Arial" w:hAnsi="Arial" w:cs="Arial"/>
              </w:rPr>
              <w:t xml:space="preserve"> (Ω)</w:t>
            </w:r>
          </w:p>
        </w:tc>
        <w:tc>
          <w:tcPr>
            <w:tcW w:w="2160" w:type="dxa"/>
          </w:tcPr>
          <w:p w14:paraId="2DD85AC0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R</w:t>
            </w:r>
            <w:r>
              <w:rPr>
                <w:rFonts w:hint="default" w:ascii="Arial" w:hAnsi="Arial" w:cs="Arial"/>
                <w:sz w:val="24"/>
                <w:szCs w:val="24"/>
                <w:vertAlign w:val="subscript"/>
              </w:rPr>
              <w:t>ct</w:t>
            </w:r>
            <w:r>
              <w:rPr>
                <w:rFonts w:hint="default" w:ascii="Arial" w:hAnsi="Arial" w:cs="Arial"/>
              </w:rPr>
              <w:t xml:space="preserve"> (Ω)</w:t>
            </w:r>
          </w:p>
        </w:tc>
        <w:tc>
          <w:tcPr>
            <w:tcW w:w="2160" w:type="dxa"/>
          </w:tcPr>
          <w:p w14:paraId="2298AF9A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CPE (F)</w:t>
            </w:r>
          </w:p>
        </w:tc>
      </w:tr>
      <w:tr w14:paraId="13A43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6BA03C0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Celgard</w:t>
            </w:r>
          </w:p>
        </w:tc>
        <w:tc>
          <w:tcPr>
            <w:tcW w:w="2160" w:type="dxa"/>
          </w:tcPr>
          <w:p w14:paraId="07B76835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5.2</w:t>
            </w:r>
          </w:p>
        </w:tc>
        <w:tc>
          <w:tcPr>
            <w:tcW w:w="2160" w:type="dxa"/>
          </w:tcPr>
          <w:p w14:paraId="176C24F1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210</w:t>
            </w:r>
          </w:p>
        </w:tc>
        <w:tc>
          <w:tcPr>
            <w:tcW w:w="2160" w:type="dxa"/>
          </w:tcPr>
          <w:p w14:paraId="7DD93F68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3.2E-05</w:t>
            </w:r>
          </w:p>
        </w:tc>
      </w:tr>
      <w:tr w14:paraId="5EBD3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B1C7DDD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PVDF-HFP</w:t>
            </w:r>
          </w:p>
        </w:tc>
        <w:tc>
          <w:tcPr>
            <w:tcW w:w="2160" w:type="dxa"/>
          </w:tcPr>
          <w:p w14:paraId="382A9F3F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4.5</w:t>
            </w:r>
          </w:p>
        </w:tc>
        <w:tc>
          <w:tcPr>
            <w:tcW w:w="2160" w:type="dxa"/>
          </w:tcPr>
          <w:p w14:paraId="1D37D7E2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158</w:t>
            </w:r>
          </w:p>
        </w:tc>
        <w:tc>
          <w:tcPr>
            <w:tcW w:w="2160" w:type="dxa"/>
          </w:tcPr>
          <w:p w14:paraId="1554FE4D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4.5E-05</w:t>
            </w:r>
          </w:p>
        </w:tc>
      </w:tr>
      <w:tr w14:paraId="701B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9A5EADF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PVDF-HFP/MOF-5</w:t>
            </w:r>
          </w:p>
        </w:tc>
        <w:tc>
          <w:tcPr>
            <w:tcW w:w="2160" w:type="dxa"/>
          </w:tcPr>
          <w:p w14:paraId="64568710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4.1</w:t>
            </w:r>
          </w:p>
        </w:tc>
        <w:tc>
          <w:tcPr>
            <w:tcW w:w="2160" w:type="dxa"/>
          </w:tcPr>
          <w:p w14:paraId="553A7078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112</w:t>
            </w:r>
          </w:p>
        </w:tc>
        <w:tc>
          <w:tcPr>
            <w:tcW w:w="2160" w:type="dxa"/>
          </w:tcPr>
          <w:p w14:paraId="36800E4D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5.8E-05</w:t>
            </w:r>
          </w:p>
        </w:tc>
      </w:tr>
      <w:tr w14:paraId="52C0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7BA1A88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PVDF-HFP/MOF-10</w:t>
            </w:r>
          </w:p>
        </w:tc>
        <w:tc>
          <w:tcPr>
            <w:tcW w:w="2160" w:type="dxa"/>
          </w:tcPr>
          <w:p w14:paraId="316F3E07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3.8</w:t>
            </w:r>
          </w:p>
        </w:tc>
        <w:tc>
          <w:tcPr>
            <w:tcW w:w="2160" w:type="dxa"/>
          </w:tcPr>
          <w:p w14:paraId="247BBB7C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62</w:t>
            </w:r>
          </w:p>
        </w:tc>
        <w:tc>
          <w:tcPr>
            <w:tcW w:w="2160" w:type="dxa"/>
          </w:tcPr>
          <w:p w14:paraId="7EC430AF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7.2E-05</w:t>
            </w:r>
          </w:p>
        </w:tc>
      </w:tr>
      <w:tr w14:paraId="617A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745D5D1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PVDF-HFP/MOF-15</w:t>
            </w:r>
          </w:p>
        </w:tc>
        <w:tc>
          <w:tcPr>
            <w:tcW w:w="2160" w:type="dxa"/>
          </w:tcPr>
          <w:p w14:paraId="01CD9A05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4.0</w:t>
            </w:r>
          </w:p>
        </w:tc>
        <w:tc>
          <w:tcPr>
            <w:tcW w:w="2160" w:type="dxa"/>
          </w:tcPr>
          <w:p w14:paraId="02751449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89</w:t>
            </w:r>
          </w:p>
        </w:tc>
        <w:tc>
          <w:tcPr>
            <w:tcW w:w="2160" w:type="dxa"/>
          </w:tcPr>
          <w:p w14:paraId="739204A6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6.3E-05</w:t>
            </w:r>
          </w:p>
        </w:tc>
      </w:tr>
    </w:tbl>
    <w:p w14:paraId="061171B6">
      <w:pPr>
        <w:rPr>
          <w:rFonts w:hint="default" w:ascii="Arial" w:hAnsi="Arial" w:cs="Arial"/>
        </w:rPr>
      </w:pPr>
    </w:p>
    <w:p w14:paraId="61F2F69B">
      <w:pPr>
        <w:rPr>
          <w:rFonts w:hint="default" w:ascii="Arial" w:hAnsi="Arial" w:cs="Arial"/>
        </w:rPr>
      </w:pPr>
      <w:r>
        <w:rPr>
          <w:rFonts w:hint="default" w:ascii="Arial" w:hAnsi="Arial" w:cs="Arial"/>
        </w:rPr>
        <w:t>R</w:t>
      </w:r>
      <w:r>
        <w:rPr>
          <w:rFonts w:hint="default" w:ascii="Arial" w:hAnsi="Arial" w:cs="Arial"/>
          <w:sz w:val="24"/>
          <w:szCs w:val="24"/>
          <w:vertAlign w:val="subscript"/>
        </w:rPr>
        <w:t>Ω</w:t>
      </w:r>
      <w:r>
        <w:rPr>
          <w:rFonts w:hint="default" w:ascii="Arial" w:hAnsi="Arial" w:cs="Arial"/>
        </w:rPr>
        <w:t>: Ohmic bulk resistance; R</w:t>
      </w:r>
      <w:r>
        <w:rPr>
          <w:rFonts w:hint="default" w:ascii="Arial" w:hAnsi="Arial" w:cs="Arial"/>
          <w:sz w:val="24"/>
          <w:szCs w:val="24"/>
          <w:vertAlign w:val="subscript"/>
        </w:rPr>
        <w:t>ct</w:t>
      </w:r>
      <w:r>
        <w:rPr>
          <w:rFonts w:hint="default" w:ascii="Arial" w:hAnsi="Arial" w:cs="Arial"/>
        </w:rPr>
        <w:t>: Charge transfer resistance; CPE: Constant phase element. The PVDF-HFP/MOF-10 separator exhibits the lowest R</w:t>
      </w:r>
      <w:r>
        <w:rPr>
          <w:rFonts w:hint="default" w:ascii="Arial" w:hAnsi="Arial" w:cs="Arial"/>
          <w:sz w:val="24"/>
          <w:szCs w:val="24"/>
          <w:vertAlign w:val="subscript"/>
        </w:rPr>
        <w:t>Ω</w:t>
      </w:r>
      <w:r>
        <w:rPr>
          <w:rFonts w:hint="default" w:ascii="Arial" w:hAnsi="Arial" w:cs="Arial"/>
        </w:rPr>
        <w:t xml:space="preserve"> and R</w:t>
      </w:r>
      <w:r>
        <w:rPr>
          <w:rFonts w:hint="default" w:ascii="Arial" w:hAnsi="Arial" w:cs="Arial"/>
          <w:sz w:val="24"/>
          <w:szCs w:val="24"/>
          <w:vertAlign w:val="subscript"/>
        </w:rPr>
        <w:t>ct</w:t>
      </w:r>
      <w:r>
        <w:rPr>
          <w:rFonts w:hint="default" w:ascii="Arial" w:hAnsi="Arial" w:cs="Arial"/>
        </w:rPr>
        <w:t>, indicating fast ion transport and low interfacial resistance, consistent with its high ionic conductivity and excellent rate performance.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6573979"/>
    <w:rsid w:val="512C2F2E"/>
    <w:rsid w:val="5A3A2680"/>
    <w:rsid w:val="5CEE378D"/>
    <w:rsid w:val="707B053E"/>
    <w:rsid w:val="7870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png"/><Relationship Id="rId7" Type="http://schemas.openxmlformats.org/officeDocument/2006/relationships/image" Target="media/image2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615</Words>
  <Characters>3676</Characters>
  <Lines>0</Lines>
  <Paragraphs>0</Paragraphs>
  <TotalTime>2</TotalTime>
  <ScaleCrop>false</ScaleCrop>
  <LinksUpToDate>false</LinksUpToDate>
  <CharactersWithSpaces>4254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colin</cp:lastModifiedBy>
  <dcterms:modified xsi:type="dcterms:W3CDTF">2026-07-27T08:09:30Z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eyJoZGlkIjoiOTEwODY2MDcxM2M2YmU0NzZjYzc2ZTE4MjA4Njg2YjgiLCJ1c2VySWQiOiI2OTg5MTA1NzgifQ==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DB7B3A72D035474D8A7455F317360E45_12</vt:lpwstr>
  </property>
</Properties>
</file>