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CONSORT 2025 Checklist</w:t>
      </w:r>
    </w:p>
    <w:p>
      <w:r>
        <w:rPr>
          <w:i/>
        </w:rPr>
        <w:t>Manuscript: Effects of Ciprofol versus Propofol on Hemodynamic Profiles During Anesthesia Induction Across Different Age Groups: A Randomized Controlled Trial</w:t>
      </w:r>
    </w:p>
    <w:p>
      <w:r>
        <w:rPr>
          <w:i/>
        </w:rPr>
        <w:t>Note: This checklist follows the CONSORT 2025 statement (Hopewell et al., 2025), which supersedes CONSORT 2010. Page numbers refer to the current manuscript file (double-spaced Word layout) and should be re-checked against the final typeset/paginated version before submission.</w:t>
      </w:r>
    </w:p>
    <w:tbl>
      <w:tblPr>
        <w:tblStyle w:val="TableGrid"/>
        <w:tblW w:type="auto" w:w="0"/>
        <w:tblLook w:firstColumn="1" w:firstRow="1" w:lastColumn="0" w:lastRow="0" w:noHBand="0" w:noVBand="1" w:val="04A0"/>
      </w:tblPr>
      <w:tblGrid>
        <w:gridCol w:w="2160"/>
        <w:gridCol w:w="2160"/>
        <w:gridCol w:w="2160"/>
        <w:gridCol w:w="2160"/>
      </w:tblGrid>
      <w:tr>
        <w:tc>
          <w:tcPr>
            <w:tcW w:type="dxa" w:w="737"/>
          </w:tcPr>
          <w:p>
            <w:r>
              <w:rPr>
                <w:b/>
                <w:sz w:val="20"/>
              </w:rPr>
              <w:t>Item</w:t>
            </w:r>
          </w:p>
        </w:tc>
        <w:tc>
          <w:tcPr>
            <w:tcW w:type="dxa" w:w="3515"/>
          </w:tcPr>
          <w:p>
            <w:r>
              <w:rPr>
                <w:b/>
                <w:sz w:val="20"/>
              </w:rPr>
              <w:t>CONSORT 2025 Checklist Item</w:t>
            </w:r>
          </w:p>
        </w:tc>
        <w:tc>
          <w:tcPr>
            <w:tcW w:type="dxa" w:w="1247"/>
          </w:tcPr>
          <w:p>
            <w:r>
              <w:rPr>
                <w:b/>
                <w:sz w:val="20"/>
              </w:rPr>
              <w:t>Reported (Yes/No/NA)</w:t>
            </w:r>
          </w:p>
        </w:tc>
        <w:tc>
          <w:tcPr>
            <w:tcW w:type="dxa" w:w="4139"/>
          </w:tcPr>
          <w:p>
            <w:r>
              <w:rPr>
                <w:b/>
                <w:sz w:val="20"/>
              </w:rPr>
              <w:t>Where Reported (Section, Page)</w:t>
            </w:r>
          </w:p>
        </w:tc>
      </w:tr>
      <w:tr>
        <w:tc>
          <w:tcPr>
            <w:tcW w:type="dxa" w:w="4139"/>
            <w:gridSpan w:val="4"/>
          </w:tcPr>
          <w:p>
            <w:r>
              <w:rPr>
                <w:b/>
              </w:rPr>
              <w:t>Title and abstract</w:t>
            </w:r>
          </w:p>
        </w:tc>
      </w:tr>
      <w:tr>
        <w:tc>
          <w:tcPr>
            <w:tcW w:type="dxa" w:w="737"/>
          </w:tcPr>
          <w:p>
            <w:pPr>
              <w:spacing w:after="40"/>
            </w:pPr>
            <w:r>
              <w:rPr>
                <w:sz w:val="18"/>
              </w:rPr>
              <w:t>1a</w:t>
            </w:r>
          </w:p>
        </w:tc>
        <w:tc>
          <w:tcPr>
            <w:tcW w:type="dxa" w:w="3515"/>
          </w:tcPr>
          <w:p>
            <w:pPr>
              <w:spacing w:after="40"/>
            </w:pPr>
            <w:r>
              <w:rPr>
                <w:sz w:val="18"/>
              </w:rPr>
              <w:t>Identification as a randomized trial in the title</w:t>
            </w:r>
          </w:p>
        </w:tc>
        <w:tc>
          <w:tcPr>
            <w:tcW w:type="dxa" w:w="1247"/>
          </w:tcPr>
          <w:p>
            <w:pPr>
              <w:spacing w:after="40"/>
            </w:pPr>
            <w:r>
              <w:rPr>
                <w:sz w:val="18"/>
              </w:rPr>
              <w:t>Yes</w:t>
            </w:r>
          </w:p>
        </w:tc>
        <w:tc>
          <w:tcPr>
            <w:tcW w:type="dxa" w:w="4139"/>
          </w:tcPr>
          <w:p>
            <w:pPr>
              <w:spacing w:after="40"/>
            </w:pPr>
            <w:r>
              <w:rPr>
                <w:sz w:val="18"/>
              </w:rPr>
              <w:t>Title (“...A Randomized Controlled Trial”)</w:t>
            </w:r>
          </w:p>
        </w:tc>
      </w:tr>
      <w:tr>
        <w:tc>
          <w:tcPr>
            <w:tcW w:type="dxa" w:w="737"/>
          </w:tcPr>
          <w:p>
            <w:pPr>
              <w:spacing w:after="40"/>
            </w:pPr>
            <w:r>
              <w:rPr>
                <w:sz w:val="18"/>
              </w:rPr>
              <w:t>1b</w:t>
            </w:r>
          </w:p>
        </w:tc>
        <w:tc>
          <w:tcPr>
            <w:tcW w:type="dxa" w:w="3515"/>
          </w:tcPr>
          <w:p>
            <w:pPr>
              <w:spacing w:after="40"/>
            </w:pPr>
            <w:r>
              <w:rPr>
                <w:sz w:val="18"/>
              </w:rPr>
              <w:t>Structured summary of the trial design, methods, results, and conclusions</w:t>
            </w:r>
          </w:p>
        </w:tc>
        <w:tc>
          <w:tcPr>
            <w:tcW w:type="dxa" w:w="1247"/>
          </w:tcPr>
          <w:p>
            <w:pPr>
              <w:spacing w:after="40"/>
            </w:pPr>
            <w:r>
              <w:rPr>
                <w:sz w:val="18"/>
              </w:rPr>
              <w:t>Yes</w:t>
            </w:r>
          </w:p>
        </w:tc>
        <w:tc>
          <w:tcPr>
            <w:tcW w:type="dxa" w:w="4139"/>
          </w:tcPr>
          <w:p>
            <w:pPr>
              <w:spacing w:after="40"/>
            </w:pPr>
            <w:r>
              <w:rPr>
                <w:sz w:val="18"/>
              </w:rPr>
              <w:t>Abstract, p.1</w:t>
            </w:r>
          </w:p>
        </w:tc>
      </w:tr>
      <w:tr>
        <w:tc>
          <w:tcPr>
            <w:tcW w:type="dxa" w:w="4139"/>
            <w:gridSpan w:val="4"/>
          </w:tcPr>
          <w:p>
            <w:r>
              <w:rPr>
                <w:b/>
              </w:rPr>
              <w:t>Open science</w:t>
            </w:r>
          </w:p>
        </w:tc>
      </w:tr>
      <w:tr>
        <w:tc>
          <w:tcPr>
            <w:tcW w:type="dxa" w:w="737"/>
          </w:tcPr>
          <w:p>
            <w:pPr>
              <w:spacing w:after="40"/>
            </w:pPr>
            <w:r>
              <w:rPr>
                <w:sz w:val="18"/>
              </w:rPr>
              <w:t>2</w:t>
            </w:r>
          </w:p>
        </w:tc>
        <w:tc>
          <w:tcPr>
            <w:tcW w:type="dxa" w:w="3515"/>
          </w:tcPr>
          <w:p>
            <w:pPr>
              <w:spacing w:after="40"/>
            </w:pPr>
            <w:r>
              <w:rPr>
                <w:sz w:val="18"/>
              </w:rPr>
              <w:t>Name of trial registry, identifying number (with URL) and date of registration</w:t>
            </w:r>
          </w:p>
        </w:tc>
        <w:tc>
          <w:tcPr>
            <w:tcW w:type="dxa" w:w="1247"/>
          </w:tcPr>
          <w:p>
            <w:pPr>
              <w:spacing w:after="40"/>
            </w:pPr>
            <w:r>
              <w:rPr>
                <w:sz w:val="18"/>
              </w:rPr>
              <w:t>Yes</w:t>
            </w:r>
          </w:p>
        </w:tc>
        <w:tc>
          <w:tcPr>
            <w:tcW w:type="dxa" w:w="4139"/>
          </w:tcPr>
          <w:p>
            <w:pPr>
              <w:spacing w:after="40"/>
            </w:pPr>
            <w:r>
              <w:rPr>
                <w:sz w:val="18"/>
              </w:rPr>
              <w:t>Abstract, p.1 and Methods, p.5 (Chinese Clinical Trial Registry, ChiCTR2600127761, www.chictr.org.cn; retrospective registration disclosed)</w:t>
            </w:r>
          </w:p>
        </w:tc>
      </w:tr>
      <w:tr>
        <w:tc>
          <w:tcPr>
            <w:tcW w:type="dxa" w:w="737"/>
          </w:tcPr>
          <w:p>
            <w:pPr>
              <w:spacing w:after="40"/>
            </w:pPr>
            <w:r>
              <w:rPr>
                <w:sz w:val="18"/>
              </w:rPr>
              <w:t>3</w:t>
            </w:r>
          </w:p>
        </w:tc>
        <w:tc>
          <w:tcPr>
            <w:tcW w:type="dxa" w:w="3515"/>
          </w:tcPr>
          <w:p>
            <w:pPr>
              <w:spacing w:after="40"/>
            </w:pPr>
            <w:r>
              <w:rPr>
                <w:sz w:val="18"/>
              </w:rPr>
              <w:t>Where the trial protocol and statistical analysis plan can be accessed</w:t>
            </w:r>
          </w:p>
        </w:tc>
        <w:tc>
          <w:tcPr>
            <w:tcW w:type="dxa" w:w="1247"/>
          </w:tcPr>
          <w:p>
            <w:pPr>
              <w:spacing w:after="40"/>
            </w:pPr>
            <w:r>
              <w:rPr>
                <w:sz w:val="18"/>
              </w:rPr>
              <w:t>Yes</w:t>
            </w:r>
          </w:p>
        </w:tc>
        <w:tc>
          <w:tcPr>
            <w:tcW w:type="dxa" w:w="4139"/>
          </w:tcPr>
          <w:p>
            <w:pPr>
              <w:spacing w:after="40"/>
            </w:pPr>
            <w:r>
              <w:rPr>
                <w:sz w:val="18"/>
              </w:rPr>
              <w:t>Declarations – Availability of Data and Materials, p.19 (protocol and statistical analysis plan available from the corresponding author upon reasonable request)</w:t>
            </w:r>
          </w:p>
        </w:tc>
      </w:tr>
      <w:tr>
        <w:tc>
          <w:tcPr>
            <w:tcW w:type="dxa" w:w="737"/>
          </w:tcPr>
          <w:p>
            <w:pPr>
              <w:spacing w:after="40"/>
            </w:pPr>
            <w:r>
              <w:rPr>
                <w:sz w:val="18"/>
              </w:rPr>
              <w:t>4</w:t>
            </w:r>
          </w:p>
        </w:tc>
        <w:tc>
          <w:tcPr>
            <w:tcW w:type="dxa" w:w="3515"/>
          </w:tcPr>
          <w:p>
            <w:pPr>
              <w:spacing w:after="40"/>
            </w:pPr>
            <w:r>
              <w:rPr>
                <w:sz w:val="18"/>
              </w:rPr>
              <w:t>Where and how the individual de-identified participant data (including data dictionary), statistical code, and any other materials can be accessed</w:t>
            </w:r>
          </w:p>
        </w:tc>
        <w:tc>
          <w:tcPr>
            <w:tcW w:type="dxa" w:w="1247"/>
          </w:tcPr>
          <w:p>
            <w:pPr>
              <w:spacing w:after="40"/>
            </w:pPr>
            <w:r>
              <w:rPr>
                <w:sz w:val="18"/>
              </w:rPr>
              <w:t>Partially</w:t>
            </w:r>
          </w:p>
        </w:tc>
        <w:tc>
          <w:tcPr>
            <w:tcW w:type="dxa" w:w="4139"/>
          </w:tcPr>
          <w:p>
            <w:pPr>
              <w:spacing w:after="40"/>
            </w:pPr>
            <w:r>
              <w:rPr>
                <w:sz w:val="18"/>
              </w:rPr>
              <w:t>Declarations – Availability of Data and Materials, p.19 states data are available from the corresponding author on reasonable request; does not mention a data dictionary or statistical code – consider adding</w:t>
            </w:r>
          </w:p>
        </w:tc>
      </w:tr>
      <w:tr>
        <w:tc>
          <w:tcPr>
            <w:tcW w:type="dxa" w:w="737"/>
          </w:tcPr>
          <w:p>
            <w:pPr>
              <w:spacing w:after="40"/>
            </w:pPr>
            <w:r>
              <w:rPr>
                <w:sz w:val="18"/>
              </w:rPr>
              <w:t>5a</w:t>
            </w:r>
          </w:p>
        </w:tc>
        <w:tc>
          <w:tcPr>
            <w:tcW w:type="dxa" w:w="3515"/>
          </w:tcPr>
          <w:p>
            <w:pPr>
              <w:spacing w:after="40"/>
            </w:pPr>
            <w:r>
              <w:rPr>
                <w:sz w:val="18"/>
              </w:rPr>
              <w:t>Sources of funding and other support, and role of funders in the design, conduct, analysis and reporting of the trial</w:t>
            </w:r>
          </w:p>
        </w:tc>
        <w:tc>
          <w:tcPr>
            <w:tcW w:type="dxa" w:w="1247"/>
          </w:tcPr>
          <w:p>
            <w:pPr>
              <w:spacing w:after="40"/>
            </w:pPr>
            <w:r>
              <w:rPr>
                <w:sz w:val="18"/>
              </w:rPr>
              <w:t>Yes</w:t>
            </w:r>
          </w:p>
        </w:tc>
        <w:tc>
          <w:tcPr>
            <w:tcW w:type="dxa" w:w="4139"/>
          </w:tcPr>
          <w:p>
            <w:pPr>
              <w:spacing w:after="40"/>
            </w:pPr>
            <w:r>
              <w:rPr>
                <w:sz w:val="18"/>
              </w:rPr>
              <w:t>Declarations – Funding, p.19 (no external funding received)</w:t>
            </w:r>
          </w:p>
        </w:tc>
      </w:tr>
      <w:tr>
        <w:tc>
          <w:tcPr>
            <w:tcW w:type="dxa" w:w="737"/>
          </w:tcPr>
          <w:p>
            <w:pPr>
              <w:spacing w:after="40"/>
            </w:pPr>
            <w:r>
              <w:rPr>
                <w:sz w:val="18"/>
              </w:rPr>
              <w:t>5b</w:t>
            </w:r>
          </w:p>
        </w:tc>
        <w:tc>
          <w:tcPr>
            <w:tcW w:type="dxa" w:w="3515"/>
          </w:tcPr>
          <w:p>
            <w:pPr>
              <w:spacing w:after="40"/>
            </w:pPr>
            <w:r>
              <w:rPr>
                <w:sz w:val="18"/>
              </w:rPr>
              <w:t>Financial and other conflicts of interest of the manuscript authors</w:t>
            </w:r>
          </w:p>
        </w:tc>
        <w:tc>
          <w:tcPr>
            <w:tcW w:type="dxa" w:w="1247"/>
          </w:tcPr>
          <w:p>
            <w:pPr>
              <w:spacing w:after="40"/>
            </w:pPr>
            <w:r>
              <w:rPr>
                <w:sz w:val="18"/>
              </w:rPr>
              <w:t>Yes</w:t>
            </w:r>
          </w:p>
        </w:tc>
        <w:tc>
          <w:tcPr>
            <w:tcW w:type="dxa" w:w="4139"/>
          </w:tcPr>
          <w:p>
            <w:pPr>
              <w:spacing w:after="40"/>
            </w:pPr>
            <w:r>
              <w:rPr>
                <w:sz w:val="18"/>
              </w:rPr>
              <w:t>Declarations – Competing Interests, p.19</w:t>
            </w:r>
          </w:p>
        </w:tc>
      </w:tr>
      <w:tr>
        <w:tc>
          <w:tcPr>
            <w:tcW w:type="dxa" w:w="4139"/>
            <w:gridSpan w:val="4"/>
          </w:tcPr>
          <w:p>
            <w:r>
              <w:rPr>
                <w:b/>
              </w:rPr>
              <w:t>Introduction</w:t>
            </w:r>
          </w:p>
        </w:tc>
      </w:tr>
      <w:tr>
        <w:tc>
          <w:tcPr>
            <w:tcW w:type="dxa" w:w="737"/>
          </w:tcPr>
          <w:p>
            <w:pPr>
              <w:spacing w:after="40"/>
            </w:pPr>
            <w:r>
              <w:rPr>
                <w:sz w:val="18"/>
              </w:rPr>
              <w:t>6</w:t>
            </w:r>
          </w:p>
        </w:tc>
        <w:tc>
          <w:tcPr>
            <w:tcW w:type="dxa" w:w="3515"/>
          </w:tcPr>
          <w:p>
            <w:pPr>
              <w:spacing w:after="40"/>
            </w:pPr>
            <w:r>
              <w:rPr>
                <w:sz w:val="18"/>
              </w:rPr>
              <w:t>Scientific background and rationale</w:t>
            </w:r>
          </w:p>
        </w:tc>
        <w:tc>
          <w:tcPr>
            <w:tcW w:type="dxa" w:w="1247"/>
          </w:tcPr>
          <w:p>
            <w:pPr>
              <w:spacing w:after="40"/>
            </w:pPr>
            <w:r>
              <w:rPr>
                <w:sz w:val="18"/>
              </w:rPr>
              <w:t>Yes</w:t>
            </w:r>
          </w:p>
        </w:tc>
        <w:tc>
          <w:tcPr>
            <w:tcW w:type="dxa" w:w="4139"/>
          </w:tcPr>
          <w:p>
            <w:pPr>
              <w:spacing w:after="40"/>
            </w:pPr>
            <w:r>
              <w:rPr>
                <w:sz w:val="18"/>
              </w:rPr>
              <w:t>Introduction, pp.3–4</w:t>
            </w:r>
          </w:p>
        </w:tc>
      </w:tr>
      <w:tr>
        <w:tc>
          <w:tcPr>
            <w:tcW w:type="dxa" w:w="737"/>
          </w:tcPr>
          <w:p>
            <w:pPr>
              <w:spacing w:after="40"/>
            </w:pPr>
            <w:r>
              <w:rPr>
                <w:sz w:val="18"/>
              </w:rPr>
              <w:t>7</w:t>
            </w:r>
          </w:p>
        </w:tc>
        <w:tc>
          <w:tcPr>
            <w:tcW w:type="dxa" w:w="3515"/>
          </w:tcPr>
          <w:p>
            <w:pPr>
              <w:spacing w:after="40"/>
            </w:pPr>
            <w:r>
              <w:rPr>
                <w:sz w:val="18"/>
              </w:rPr>
              <w:t>Specific objectives related to benefits and harms</w:t>
            </w:r>
          </w:p>
        </w:tc>
        <w:tc>
          <w:tcPr>
            <w:tcW w:type="dxa" w:w="1247"/>
          </w:tcPr>
          <w:p>
            <w:pPr>
              <w:spacing w:after="40"/>
            </w:pPr>
            <w:r>
              <w:rPr>
                <w:sz w:val="18"/>
              </w:rPr>
              <w:t>Partially</w:t>
            </w:r>
          </w:p>
        </w:tc>
        <w:tc>
          <w:tcPr>
            <w:tcW w:type="dxa" w:w="4139"/>
          </w:tcPr>
          <w:p>
            <w:pPr>
              <w:spacing w:after="40"/>
            </w:pPr>
            <w:r>
              <w:rPr>
                <w:sz w:val="18"/>
              </w:rPr>
              <w:t>Objectives regarding hemodynamic benefit are stated (Introduction, p.4); no explicit objective related to harms/adverse events – consider adding a sentence</w:t>
            </w:r>
          </w:p>
        </w:tc>
      </w:tr>
      <w:tr>
        <w:tc>
          <w:tcPr>
            <w:tcW w:type="dxa" w:w="4139"/>
            <w:gridSpan w:val="4"/>
          </w:tcPr>
          <w:p>
            <w:r>
              <w:rPr>
                <w:b/>
              </w:rPr>
              <w:t>Methods</w:t>
            </w:r>
          </w:p>
        </w:tc>
      </w:tr>
      <w:tr>
        <w:tc>
          <w:tcPr>
            <w:tcW w:type="dxa" w:w="737"/>
          </w:tcPr>
          <w:p>
            <w:pPr>
              <w:spacing w:after="40"/>
            </w:pPr>
            <w:r>
              <w:rPr>
                <w:sz w:val="18"/>
              </w:rPr>
              <w:t>8</w:t>
            </w:r>
          </w:p>
        </w:tc>
        <w:tc>
          <w:tcPr>
            <w:tcW w:type="dxa" w:w="3515"/>
          </w:tcPr>
          <w:p>
            <w:pPr>
              <w:spacing w:after="40"/>
            </w:pPr>
            <w:r>
              <w:rPr>
                <w:sz w:val="18"/>
              </w:rPr>
              <w:t>Details of patient or public involvement in the design, conduct and reporting of the trial</w:t>
            </w:r>
          </w:p>
        </w:tc>
        <w:tc>
          <w:tcPr>
            <w:tcW w:type="dxa" w:w="1247"/>
          </w:tcPr>
          <w:p>
            <w:pPr>
              <w:spacing w:after="40"/>
            </w:pPr>
            <w:r>
              <w:rPr>
                <w:sz w:val="18"/>
              </w:rPr>
              <w:t>Yes</w:t>
            </w:r>
          </w:p>
        </w:tc>
        <w:tc>
          <w:tcPr>
            <w:tcW w:type="dxa" w:w="4139"/>
          </w:tcPr>
          <w:p>
            <w:pPr>
              <w:spacing w:after="40"/>
            </w:pPr>
            <w:r>
              <w:rPr>
                <w:sz w:val="18"/>
              </w:rPr>
              <w:t>Methods – Study Design and Patient Enrollment, p.5 (“Patients and the public were not involved in the design, conduct, or reporting of this study.”)</w:t>
            </w:r>
          </w:p>
        </w:tc>
      </w:tr>
      <w:tr>
        <w:tc>
          <w:tcPr>
            <w:tcW w:type="dxa" w:w="737"/>
          </w:tcPr>
          <w:p>
            <w:pPr>
              <w:spacing w:after="40"/>
            </w:pPr>
            <w:r>
              <w:rPr>
                <w:sz w:val="18"/>
              </w:rPr>
              <w:t>9</w:t>
            </w:r>
          </w:p>
        </w:tc>
        <w:tc>
          <w:tcPr>
            <w:tcW w:type="dxa" w:w="3515"/>
          </w:tcPr>
          <w:p>
            <w:pPr>
              <w:spacing w:after="40"/>
            </w:pPr>
            <w:r>
              <w:rPr>
                <w:sz w:val="18"/>
              </w:rPr>
              <w:t>Description of trial design including type of trial, allocation ratio, and framework</w:t>
            </w:r>
          </w:p>
        </w:tc>
        <w:tc>
          <w:tcPr>
            <w:tcW w:type="dxa" w:w="1247"/>
          </w:tcPr>
          <w:p>
            <w:pPr>
              <w:spacing w:after="40"/>
            </w:pPr>
            <w:r>
              <w:rPr>
                <w:sz w:val="18"/>
              </w:rPr>
              <w:t>Yes</w:t>
            </w:r>
          </w:p>
        </w:tc>
        <w:tc>
          <w:tcPr>
            <w:tcW w:type="dxa" w:w="4139"/>
          </w:tcPr>
          <w:p>
            <w:pPr>
              <w:spacing w:after="40"/>
            </w:pPr>
            <w:r>
              <w:rPr>
                <w:sz w:val="18"/>
              </w:rPr>
              <w:t>Methods – Study Design and Patient Enrollment, p.5 (single-center, prospective, randomized, double-blind, controlled, 2×2 factorial design; 1:1 allocation within each age stratum)</w:t>
            </w:r>
          </w:p>
        </w:tc>
      </w:tr>
      <w:tr>
        <w:tc>
          <w:tcPr>
            <w:tcW w:type="dxa" w:w="737"/>
          </w:tcPr>
          <w:p>
            <w:pPr>
              <w:spacing w:after="40"/>
            </w:pPr>
            <w:r>
              <w:rPr>
                <w:sz w:val="18"/>
              </w:rPr>
              <w:t>10</w:t>
            </w:r>
          </w:p>
        </w:tc>
        <w:tc>
          <w:tcPr>
            <w:tcW w:type="dxa" w:w="3515"/>
          </w:tcPr>
          <w:p>
            <w:pPr>
              <w:spacing w:after="40"/>
            </w:pPr>
            <w:r>
              <w:rPr>
                <w:sz w:val="18"/>
              </w:rPr>
              <w:t>Important changes to the trial after it commenced, including any outcomes or analyses that were not prespecified, with reason</w:t>
            </w:r>
          </w:p>
        </w:tc>
        <w:tc>
          <w:tcPr>
            <w:tcW w:type="dxa" w:w="1247"/>
          </w:tcPr>
          <w:p>
            <w:pPr>
              <w:spacing w:after="40"/>
            </w:pPr>
            <w:r>
              <w:rPr>
                <w:sz w:val="18"/>
              </w:rPr>
              <w:t>Not applicable</w:t>
            </w:r>
          </w:p>
        </w:tc>
        <w:tc>
          <w:tcPr>
            <w:tcW w:type="dxa" w:w="4139"/>
          </w:tcPr>
          <w:p>
            <w:pPr>
              <w:spacing w:after="40"/>
            </w:pPr>
            <w:r>
              <w:rPr>
                <w:sz w:val="18"/>
              </w:rPr>
              <w:t>No changes to the protocol, outcomes, or analyses were made after the trial commenced</w:t>
            </w:r>
          </w:p>
        </w:tc>
      </w:tr>
      <w:tr>
        <w:tc>
          <w:tcPr>
            <w:tcW w:type="dxa" w:w="737"/>
          </w:tcPr>
          <w:p>
            <w:pPr>
              <w:spacing w:after="40"/>
            </w:pPr>
            <w:r>
              <w:rPr>
                <w:sz w:val="18"/>
              </w:rPr>
              <w:t>11</w:t>
            </w:r>
          </w:p>
        </w:tc>
        <w:tc>
          <w:tcPr>
            <w:tcW w:type="dxa" w:w="3515"/>
          </w:tcPr>
          <w:p>
            <w:pPr>
              <w:spacing w:after="40"/>
            </w:pPr>
            <w:r>
              <w:rPr>
                <w:sz w:val="18"/>
              </w:rPr>
              <w:t>Settings and locations where the trial was conducted</w:t>
            </w:r>
          </w:p>
        </w:tc>
        <w:tc>
          <w:tcPr>
            <w:tcW w:type="dxa" w:w="1247"/>
          </w:tcPr>
          <w:p>
            <w:pPr>
              <w:spacing w:after="40"/>
            </w:pPr>
            <w:r>
              <w:rPr>
                <w:sz w:val="18"/>
              </w:rPr>
              <w:t>Yes</w:t>
            </w:r>
          </w:p>
        </w:tc>
        <w:tc>
          <w:tcPr>
            <w:tcW w:type="dxa" w:w="4139"/>
          </w:tcPr>
          <w:p>
            <w:pPr>
              <w:spacing w:after="40"/>
            </w:pPr>
            <w:r>
              <w:rPr>
                <w:sz w:val="18"/>
              </w:rPr>
              <w:t>Methods – Study Design and Patient Enrollment, p.5 (Affiliated Hospital of Shandong Second Medical University)</w:t>
            </w:r>
          </w:p>
        </w:tc>
      </w:tr>
      <w:tr>
        <w:tc>
          <w:tcPr>
            <w:tcW w:type="dxa" w:w="737"/>
          </w:tcPr>
          <w:p>
            <w:pPr>
              <w:spacing w:after="40"/>
            </w:pPr>
            <w:r>
              <w:rPr>
                <w:sz w:val="18"/>
              </w:rPr>
              <w:t>12a</w:t>
            </w:r>
          </w:p>
        </w:tc>
        <w:tc>
          <w:tcPr>
            <w:tcW w:type="dxa" w:w="3515"/>
          </w:tcPr>
          <w:p>
            <w:pPr>
              <w:spacing w:after="40"/>
            </w:pPr>
            <w:r>
              <w:rPr>
                <w:sz w:val="18"/>
              </w:rPr>
              <w:t>Eligibility criteria for participants</w:t>
            </w:r>
          </w:p>
        </w:tc>
        <w:tc>
          <w:tcPr>
            <w:tcW w:type="dxa" w:w="1247"/>
          </w:tcPr>
          <w:p>
            <w:pPr>
              <w:spacing w:after="40"/>
            </w:pPr>
            <w:r>
              <w:rPr>
                <w:sz w:val="18"/>
              </w:rPr>
              <w:t>Yes</w:t>
            </w:r>
          </w:p>
        </w:tc>
        <w:tc>
          <w:tcPr>
            <w:tcW w:type="dxa" w:w="4139"/>
          </w:tcPr>
          <w:p>
            <w:pPr>
              <w:spacing w:after="40"/>
            </w:pPr>
            <w:r>
              <w:rPr>
                <w:sz w:val="18"/>
              </w:rPr>
              <w:t>Methods – Study Design and Patient Enrollment, p.5</w:t>
            </w:r>
          </w:p>
        </w:tc>
      </w:tr>
      <w:tr>
        <w:tc>
          <w:tcPr>
            <w:tcW w:type="dxa" w:w="737"/>
          </w:tcPr>
          <w:p>
            <w:pPr>
              <w:spacing w:after="40"/>
            </w:pPr>
            <w:r>
              <w:rPr>
                <w:sz w:val="18"/>
              </w:rPr>
              <w:t>12b</w:t>
            </w:r>
          </w:p>
        </w:tc>
        <w:tc>
          <w:tcPr>
            <w:tcW w:type="dxa" w:w="3515"/>
          </w:tcPr>
          <w:p>
            <w:pPr>
              <w:spacing w:after="40"/>
            </w:pPr>
            <w:r>
              <w:rPr>
                <w:sz w:val="18"/>
              </w:rPr>
              <w:t>If applicable, eligibility criteria for sites and for individuals delivering the interventions</w:t>
            </w:r>
          </w:p>
        </w:tc>
        <w:tc>
          <w:tcPr>
            <w:tcW w:type="dxa" w:w="1247"/>
          </w:tcPr>
          <w:p>
            <w:pPr>
              <w:spacing w:after="40"/>
            </w:pPr>
            <w:r>
              <w:rPr>
                <w:sz w:val="18"/>
              </w:rPr>
              <w:t>Not reported</w:t>
            </w:r>
          </w:p>
        </w:tc>
        <w:tc>
          <w:tcPr>
            <w:tcW w:type="dxa" w:w="4139"/>
          </w:tcPr>
          <w:p>
            <w:pPr>
              <w:spacing w:after="40"/>
            </w:pPr>
            <w:r>
              <w:rPr>
                <w:sz w:val="18"/>
              </w:rPr>
              <w:t>Single-center trial; qualifications/experience of the anesthesiologists administering the interventions are not specified – consider adding</w:t>
            </w:r>
          </w:p>
        </w:tc>
      </w:tr>
      <w:tr>
        <w:tc>
          <w:tcPr>
            <w:tcW w:type="dxa" w:w="737"/>
          </w:tcPr>
          <w:p>
            <w:pPr>
              <w:spacing w:after="40"/>
            </w:pPr>
            <w:r>
              <w:rPr>
                <w:sz w:val="18"/>
              </w:rPr>
              <w:t>13</w:t>
            </w:r>
          </w:p>
        </w:tc>
        <w:tc>
          <w:tcPr>
            <w:tcW w:type="dxa" w:w="3515"/>
          </w:tcPr>
          <w:p>
            <w:pPr>
              <w:spacing w:after="40"/>
            </w:pPr>
            <w:r>
              <w:rPr>
                <w:sz w:val="18"/>
              </w:rPr>
              <w:t>Intervention and comparator with sufficient details to allow replication</w:t>
            </w:r>
          </w:p>
        </w:tc>
        <w:tc>
          <w:tcPr>
            <w:tcW w:type="dxa" w:w="1247"/>
          </w:tcPr>
          <w:p>
            <w:pPr>
              <w:spacing w:after="40"/>
            </w:pPr>
            <w:r>
              <w:rPr>
                <w:sz w:val="18"/>
              </w:rPr>
              <w:t>Yes</w:t>
            </w:r>
          </w:p>
        </w:tc>
        <w:tc>
          <w:tcPr>
            <w:tcW w:type="dxa" w:w="4139"/>
          </w:tcPr>
          <w:p>
            <w:pPr>
              <w:spacing w:after="40"/>
            </w:pPr>
            <w:r>
              <w:rPr>
                <w:sz w:val="18"/>
              </w:rPr>
              <w:t>Methods – Anesthesia Management, pp.6–7 (drug, dose, manufacturer, batch number, administration technique for both groups)</w:t>
            </w:r>
          </w:p>
        </w:tc>
      </w:tr>
      <w:tr>
        <w:tc>
          <w:tcPr>
            <w:tcW w:type="dxa" w:w="737"/>
          </w:tcPr>
          <w:p>
            <w:pPr>
              <w:spacing w:after="40"/>
            </w:pPr>
            <w:r>
              <w:rPr>
                <w:sz w:val="18"/>
              </w:rPr>
              <w:t>14</w:t>
            </w:r>
          </w:p>
        </w:tc>
        <w:tc>
          <w:tcPr>
            <w:tcW w:type="dxa" w:w="3515"/>
          </w:tcPr>
          <w:p>
            <w:pPr>
              <w:spacing w:after="40"/>
            </w:pPr>
            <w:r>
              <w:rPr>
                <w:sz w:val="18"/>
              </w:rPr>
              <w:t>Prespecified primary and secondary outcomes, including measurement variable, analysis metric, aggregation, and time point</w:t>
            </w:r>
          </w:p>
        </w:tc>
        <w:tc>
          <w:tcPr>
            <w:tcW w:type="dxa" w:w="1247"/>
          </w:tcPr>
          <w:p>
            <w:pPr>
              <w:spacing w:after="40"/>
            </w:pPr>
            <w:r>
              <w:rPr>
                <w:sz w:val="18"/>
              </w:rPr>
              <w:t>Yes</w:t>
            </w:r>
          </w:p>
        </w:tc>
        <w:tc>
          <w:tcPr>
            <w:tcW w:type="dxa" w:w="4139"/>
          </w:tcPr>
          <w:p>
            <w:pPr>
              <w:spacing w:after="40"/>
            </w:pPr>
            <w:r>
              <w:rPr>
                <w:sz w:val="18"/>
              </w:rPr>
              <w:t>Methods – Primary and Secondary Outcomes Assessment, p.8 (MAP AUC formula and timepoints T0–T5 defined; secondary outcomes and their definitions specified)</w:t>
            </w:r>
          </w:p>
        </w:tc>
      </w:tr>
      <w:tr>
        <w:tc>
          <w:tcPr>
            <w:tcW w:type="dxa" w:w="737"/>
          </w:tcPr>
          <w:p>
            <w:pPr>
              <w:spacing w:after="40"/>
            </w:pPr>
            <w:r>
              <w:rPr>
                <w:sz w:val="18"/>
              </w:rPr>
              <w:t>15</w:t>
            </w:r>
          </w:p>
        </w:tc>
        <w:tc>
          <w:tcPr>
            <w:tcW w:type="dxa" w:w="3515"/>
          </w:tcPr>
          <w:p>
            <w:pPr>
              <w:spacing w:after="40"/>
            </w:pPr>
            <w:r>
              <w:rPr>
                <w:sz w:val="18"/>
              </w:rPr>
              <w:t>How harms were defined and assessed</w:t>
            </w:r>
          </w:p>
        </w:tc>
        <w:tc>
          <w:tcPr>
            <w:tcW w:type="dxa" w:w="1247"/>
          </w:tcPr>
          <w:p>
            <w:pPr>
              <w:spacing w:after="40"/>
            </w:pPr>
            <w:r>
              <w:rPr>
                <w:sz w:val="18"/>
              </w:rPr>
              <w:t>Partially</w:t>
            </w:r>
          </w:p>
        </w:tc>
        <w:tc>
          <w:tcPr>
            <w:tcW w:type="dxa" w:w="4139"/>
          </w:tcPr>
          <w:p>
            <w:pPr>
              <w:spacing w:after="40"/>
            </w:pPr>
            <w:r>
              <w:rPr>
                <w:sz w:val="18"/>
              </w:rPr>
              <w:t>Hypotension (a harm-related outcome) is explicitly defined (p.7–8); however, there is no general statement on how other harms/adverse events were systematically assessed – authors should add</w:t>
            </w:r>
          </w:p>
        </w:tc>
      </w:tr>
      <w:tr>
        <w:tc>
          <w:tcPr>
            <w:tcW w:type="dxa" w:w="737"/>
          </w:tcPr>
          <w:p>
            <w:pPr>
              <w:spacing w:after="40"/>
            </w:pPr>
            <w:r>
              <w:rPr>
                <w:sz w:val="18"/>
              </w:rPr>
              <w:t>16a</w:t>
            </w:r>
          </w:p>
        </w:tc>
        <w:tc>
          <w:tcPr>
            <w:tcW w:type="dxa" w:w="3515"/>
          </w:tcPr>
          <w:p>
            <w:pPr>
              <w:spacing w:after="40"/>
            </w:pPr>
            <w:r>
              <w:rPr>
                <w:sz w:val="18"/>
              </w:rPr>
              <w:t>How sample size was determined, including all assumptions</w:t>
            </w:r>
          </w:p>
        </w:tc>
        <w:tc>
          <w:tcPr>
            <w:tcW w:type="dxa" w:w="1247"/>
          </w:tcPr>
          <w:p>
            <w:pPr>
              <w:spacing w:after="40"/>
            </w:pPr>
            <w:r>
              <w:rPr>
                <w:sz w:val="18"/>
              </w:rPr>
              <w:t>Yes</w:t>
            </w:r>
          </w:p>
        </w:tc>
        <w:tc>
          <w:tcPr>
            <w:tcW w:type="dxa" w:w="4139"/>
          </w:tcPr>
          <w:p>
            <w:pPr>
              <w:spacing w:after="40"/>
            </w:pPr>
            <w:r>
              <w:rPr>
                <w:sz w:val="18"/>
              </w:rPr>
              <w:t>Methods – Sample Size Calculation, p.9</w:t>
            </w:r>
          </w:p>
        </w:tc>
      </w:tr>
      <w:tr>
        <w:tc>
          <w:tcPr>
            <w:tcW w:type="dxa" w:w="737"/>
          </w:tcPr>
          <w:p>
            <w:pPr>
              <w:spacing w:after="40"/>
            </w:pPr>
            <w:r>
              <w:rPr>
                <w:sz w:val="18"/>
              </w:rPr>
              <w:t>16b</w:t>
            </w:r>
          </w:p>
        </w:tc>
        <w:tc>
          <w:tcPr>
            <w:tcW w:type="dxa" w:w="3515"/>
          </w:tcPr>
          <w:p>
            <w:pPr>
              <w:spacing w:after="40"/>
            </w:pPr>
            <w:r>
              <w:rPr>
                <w:sz w:val="18"/>
              </w:rPr>
              <w:t>Explanation of any interim analyses and stopping guidelines</w:t>
            </w:r>
          </w:p>
        </w:tc>
        <w:tc>
          <w:tcPr>
            <w:tcW w:type="dxa" w:w="1247"/>
          </w:tcPr>
          <w:p>
            <w:pPr>
              <w:spacing w:after="40"/>
            </w:pPr>
            <w:r>
              <w:rPr>
                <w:sz w:val="18"/>
              </w:rPr>
              <w:t>Not applicable</w:t>
            </w:r>
          </w:p>
        </w:tc>
        <w:tc>
          <w:tcPr>
            <w:tcW w:type="dxa" w:w="4139"/>
          </w:tcPr>
          <w:p>
            <w:pPr>
              <w:spacing w:after="40"/>
            </w:pPr>
            <w:r>
              <w:rPr>
                <w:sz w:val="18"/>
              </w:rPr>
              <w:t>No interim analyses or formal stopping guidelines were used</w:t>
            </w:r>
          </w:p>
        </w:tc>
      </w:tr>
      <w:tr>
        <w:tc>
          <w:tcPr>
            <w:tcW w:type="dxa" w:w="4139"/>
            <w:gridSpan w:val="4"/>
          </w:tcPr>
          <w:p>
            <w:r>
              <w:rPr>
                <w:b/>
              </w:rPr>
              <w:t>Randomization – Sequence generation</w:t>
            </w:r>
          </w:p>
        </w:tc>
      </w:tr>
      <w:tr>
        <w:tc>
          <w:tcPr>
            <w:tcW w:type="dxa" w:w="737"/>
          </w:tcPr>
          <w:p>
            <w:pPr>
              <w:spacing w:after="40"/>
            </w:pPr>
            <w:r>
              <w:rPr>
                <w:sz w:val="18"/>
              </w:rPr>
              <w:t>17a</w:t>
            </w:r>
          </w:p>
        </w:tc>
        <w:tc>
          <w:tcPr>
            <w:tcW w:type="dxa" w:w="3515"/>
          </w:tcPr>
          <w:p>
            <w:pPr>
              <w:spacing w:after="40"/>
            </w:pPr>
            <w:r>
              <w:rPr>
                <w:sz w:val="18"/>
              </w:rPr>
              <w:t>Who generated the random allocation sequence and the method used</w:t>
            </w:r>
          </w:p>
        </w:tc>
        <w:tc>
          <w:tcPr>
            <w:tcW w:type="dxa" w:w="1247"/>
          </w:tcPr>
          <w:p>
            <w:pPr>
              <w:spacing w:after="40"/>
            </w:pPr>
            <w:r>
              <w:rPr>
                <w:sz w:val="18"/>
              </w:rPr>
              <w:t>Yes</w:t>
            </w:r>
          </w:p>
        </w:tc>
        <w:tc>
          <w:tcPr>
            <w:tcW w:type="dxa" w:w="4139"/>
          </w:tcPr>
          <w:p>
            <w:pPr>
              <w:spacing w:after="40"/>
            </w:pPr>
            <w:r>
              <w:rPr>
                <w:sz w:val="18"/>
              </w:rPr>
              <w:t>Methods – Study Design and Patient Enrollment, p.5 (independent researcher; computer-generated random number table)</w:t>
            </w:r>
          </w:p>
        </w:tc>
      </w:tr>
      <w:tr>
        <w:tc>
          <w:tcPr>
            <w:tcW w:type="dxa" w:w="737"/>
          </w:tcPr>
          <w:p>
            <w:pPr>
              <w:spacing w:after="40"/>
            </w:pPr>
            <w:r>
              <w:rPr>
                <w:sz w:val="18"/>
              </w:rPr>
              <w:t>17b</w:t>
            </w:r>
          </w:p>
        </w:tc>
        <w:tc>
          <w:tcPr>
            <w:tcW w:type="dxa" w:w="3515"/>
          </w:tcPr>
          <w:p>
            <w:pPr>
              <w:spacing w:after="40"/>
            </w:pPr>
            <w:r>
              <w:rPr>
                <w:sz w:val="18"/>
              </w:rPr>
              <w:t>Type of randomization and details of any restriction (e.g., stratification, blocking and block size)</w:t>
            </w:r>
          </w:p>
        </w:tc>
        <w:tc>
          <w:tcPr>
            <w:tcW w:type="dxa" w:w="1247"/>
          </w:tcPr>
          <w:p>
            <w:pPr>
              <w:spacing w:after="40"/>
            </w:pPr>
            <w:r>
              <w:rPr>
                <w:sz w:val="18"/>
              </w:rPr>
              <w:t>Partially</w:t>
            </w:r>
          </w:p>
        </w:tc>
        <w:tc>
          <w:tcPr>
            <w:tcW w:type="dxa" w:w="4139"/>
          </w:tcPr>
          <w:p>
            <w:pPr>
              <w:spacing w:after="40"/>
            </w:pPr>
            <w:r>
              <w:rPr>
                <w:sz w:val="18"/>
              </w:rPr>
              <w:t>Stratification by age is described (p.5); block size/restriction details are not reported – please confirm/add if blocking was used</w:t>
            </w:r>
          </w:p>
        </w:tc>
      </w:tr>
      <w:tr>
        <w:tc>
          <w:tcPr>
            <w:tcW w:type="dxa" w:w="4139"/>
            <w:gridSpan w:val="4"/>
          </w:tcPr>
          <w:p>
            <w:r>
              <w:rPr>
                <w:b/>
              </w:rPr>
              <w:t>Randomization – Allocation concealment mechanism</w:t>
            </w:r>
          </w:p>
        </w:tc>
      </w:tr>
      <w:tr>
        <w:tc>
          <w:tcPr>
            <w:tcW w:type="dxa" w:w="737"/>
          </w:tcPr>
          <w:p>
            <w:pPr>
              <w:spacing w:after="40"/>
            </w:pPr>
            <w:r>
              <w:rPr>
                <w:sz w:val="18"/>
              </w:rPr>
              <w:t>18</w:t>
            </w:r>
          </w:p>
        </w:tc>
        <w:tc>
          <w:tcPr>
            <w:tcW w:type="dxa" w:w="3515"/>
          </w:tcPr>
          <w:p>
            <w:pPr>
              <w:spacing w:after="40"/>
            </w:pPr>
            <w:r>
              <w:rPr>
                <w:sz w:val="18"/>
              </w:rPr>
              <w:t>Mechanism used to implement the random allocation sequence, describing steps taken to conceal the sequence</w:t>
            </w:r>
          </w:p>
        </w:tc>
        <w:tc>
          <w:tcPr>
            <w:tcW w:type="dxa" w:w="1247"/>
          </w:tcPr>
          <w:p>
            <w:pPr>
              <w:spacing w:after="40"/>
            </w:pPr>
            <w:r>
              <w:rPr>
                <w:sz w:val="18"/>
              </w:rPr>
              <w:t>Yes</w:t>
            </w:r>
          </w:p>
        </w:tc>
        <w:tc>
          <w:tcPr>
            <w:tcW w:type="dxa" w:w="4139"/>
          </w:tcPr>
          <w:p>
            <w:pPr>
              <w:spacing w:after="40"/>
            </w:pPr>
            <w:r>
              <w:rPr>
                <w:sz w:val="18"/>
              </w:rPr>
              <w:t>Methods – Study Design and Patient Enrollment, p.5 (sequentially numbered, opaque, sealed envelopes)</w:t>
            </w:r>
          </w:p>
        </w:tc>
      </w:tr>
      <w:tr>
        <w:tc>
          <w:tcPr>
            <w:tcW w:type="dxa" w:w="4139"/>
            <w:gridSpan w:val="4"/>
          </w:tcPr>
          <w:p>
            <w:r>
              <w:rPr>
                <w:b/>
              </w:rPr>
              <w:t>Randomization – Implementation</w:t>
            </w:r>
          </w:p>
        </w:tc>
      </w:tr>
      <w:tr>
        <w:tc>
          <w:tcPr>
            <w:tcW w:type="dxa" w:w="737"/>
          </w:tcPr>
          <w:p>
            <w:pPr>
              <w:spacing w:after="40"/>
            </w:pPr>
            <w:r>
              <w:rPr>
                <w:sz w:val="18"/>
              </w:rPr>
              <w:t>19</w:t>
            </w:r>
          </w:p>
        </w:tc>
        <w:tc>
          <w:tcPr>
            <w:tcW w:type="dxa" w:w="3515"/>
          </w:tcPr>
          <w:p>
            <w:pPr>
              <w:spacing w:after="40"/>
            </w:pPr>
            <w:r>
              <w:rPr>
                <w:sz w:val="18"/>
              </w:rPr>
              <w:t>Whether the personnel who enrolled and those who assigned participants to the interventions had access to the random allocation sequence</w:t>
            </w:r>
          </w:p>
        </w:tc>
        <w:tc>
          <w:tcPr>
            <w:tcW w:type="dxa" w:w="1247"/>
          </w:tcPr>
          <w:p>
            <w:pPr>
              <w:spacing w:after="40"/>
            </w:pPr>
            <w:r>
              <w:rPr>
                <w:sz w:val="18"/>
              </w:rPr>
              <w:t>Yes</w:t>
            </w:r>
          </w:p>
        </w:tc>
        <w:tc>
          <w:tcPr>
            <w:tcW w:type="dxa" w:w="4139"/>
          </w:tcPr>
          <w:p>
            <w:pPr>
              <w:spacing w:after="40"/>
            </w:pPr>
            <w:r>
              <w:rPr>
                <w:sz w:val="18"/>
              </w:rPr>
              <w:t>Methods – Study Design and Patient Enrollment, p.5 (sequence generated by an independent researcher not involved in clinical management)</w:t>
            </w:r>
          </w:p>
        </w:tc>
      </w:tr>
      <w:tr>
        <w:tc>
          <w:tcPr>
            <w:tcW w:type="dxa" w:w="4139"/>
            <w:gridSpan w:val="4"/>
          </w:tcPr>
          <w:p>
            <w:r>
              <w:rPr>
                <w:b/>
              </w:rPr>
              <w:t>Blinding</w:t>
            </w:r>
          </w:p>
        </w:tc>
      </w:tr>
      <w:tr>
        <w:tc>
          <w:tcPr>
            <w:tcW w:type="dxa" w:w="737"/>
          </w:tcPr>
          <w:p>
            <w:pPr>
              <w:spacing w:after="40"/>
            </w:pPr>
            <w:r>
              <w:rPr>
                <w:sz w:val="18"/>
              </w:rPr>
              <w:t>20a</w:t>
            </w:r>
          </w:p>
        </w:tc>
        <w:tc>
          <w:tcPr>
            <w:tcW w:type="dxa" w:w="3515"/>
          </w:tcPr>
          <w:p>
            <w:pPr>
              <w:spacing w:after="40"/>
            </w:pPr>
            <w:r>
              <w:rPr>
                <w:sz w:val="18"/>
              </w:rPr>
              <w:t>Who was blinded after assignment to interventions</w:t>
            </w:r>
          </w:p>
        </w:tc>
        <w:tc>
          <w:tcPr>
            <w:tcW w:type="dxa" w:w="1247"/>
          </w:tcPr>
          <w:p>
            <w:pPr>
              <w:spacing w:after="40"/>
            </w:pPr>
            <w:r>
              <w:rPr>
                <w:sz w:val="18"/>
              </w:rPr>
              <w:t>Yes</w:t>
            </w:r>
          </w:p>
        </w:tc>
        <w:tc>
          <w:tcPr>
            <w:tcW w:type="dxa" w:w="4139"/>
          </w:tcPr>
          <w:p>
            <w:pPr>
              <w:spacing w:after="40"/>
            </w:pPr>
            <w:r>
              <w:rPr>
                <w:sz w:val="18"/>
              </w:rPr>
              <w:t>Methods – Study Design and Patient Enrollment, p.5 (patients, attending anesthesiologists, and outcome/data-analysis personnel blinded)</w:t>
            </w:r>
          </w:p>
        </w:tc>
      </w:tr>
      <w:tr>
        <w:tc>
          <w:tcPr>
            <w:tcW w:type="dxa" w:w="737"/>
          </w:tcPr>
          <w:p>
            <w:pPr>
              <w:spacing w:after="40"/>
            </w:pPr>
            <w:r>
              <w:rPr>
                <w:sz w:val="18"/>
              </w:rPr>
              <w:t>20b</w:t>
            </w:r>
          </w:p>
        </w:tc>
        <w:tc>
          <w:tcPr>
            <w:tcW w:type="dxa" w:w="3515"/>
          </w:tcPr>
          <w:p>
            <w:pPr>
              <w:spacing w:after="40"/>
            </w:pPr>
            <w:r>
              <w:rPr>
                <w:sz w:val="18"/>
              </w:rPr>
              <w:t>If blinded, how blinding was achieved and description of the similarity of interventions</w:t>
            </w:r>
          </w:p>
        </w:tc>
        <w:tc>
          <w:tcPr>
            <w:tcW w:type="dxa" w:w="1247"/>
          </w:tcPr>
          <w:p>
            <w:pPr>
              <w:spacing w:after="40"/>
            </w:pPr>
            <w:r>
              <w:rPr>
                <w:sz w:val="18"/>
              </w:rPr>
              <w:t>Yes</w:t>
            </w:r>
          </w:p>
        </w:tc>
        <w:tc>
          <w:tcPr>
            <w:tcW w:type="dxa" w:w="4139"/>
          </w:tcPr>
          <w:p>
            <w:pPr>
              <w:spacing w:after="40"/>
            </w:pPr>
            <w:r>
              <w:rPr>
                <w:sz w:val="18"/>
              </w:rPr>
              <w:t>Methods – Study Design and Patient Enrollment, p.5 (identical white lipid emulsions in identical syringes, labeled only with study number, prepared by an unblinded assistant)</w:t>
            </w:r>
          </w:p>
        </w:tc>
      </w:tr>
      <w:tr>
        <w:tc>
          <w:tcPr>
            <w:tcW w:type="dxa" w:w="737"/>
          </w:tcPr>
          <w:p>
            <w:pPr>
              <w:spacing w:after="40"/>
            </w:pPr>
            <w:r>
              <w:rPr>
                <w:sz w:val="18"/>
              </w:rPr>
              <w:t>21a</w:t>
            </w:r>
          </w:p>
        </w:tc>
        <w:tc>
          <w:tcPr>
            <w:tcW w:type="dxa" w:w="3515"/>
          </w:tcPr>
          <w:p>
            <w:pPr>
              <w:spacing w:after="40"/>
            </w:pPr>
            <w:r>
              <w:rPr>
                <w:sz w:val="18"/>
              </w:rPr>
              <w:t>Statistical methods used to compare groups for primary and secondary outcomes, including harms</w:t>
            </w:r>
          </w:p>
        </w:tc>
        <w:tc>
          <w:tcPr>
            <w:tcW w:type="dxa" w:w="1247"/>
          </w:tcPr>
          <w:p>
            <w:pPr>
              <w:spacing w:after="40"/>
            </w:pPr>
            <w:r>
              <w:rPr>
                <w:sz w:val="18"/>
              </w:rPr>
              <w:t>Partially</w:t>
            </w:r>
          </w:p>
        </w:tc>
        <w:tc>
          <w:tcPr>
            <w:tcW w:type="dxa" w:w="4139"/>
          </w:tcPr>
          <w:p>
            <w:pPr>
              <w:spacing w:after="40"/>
            </w:pPr>
            <w:r>
              <w:rPr>
                <w:sz w:val="18"/>
              </w:rPr>
              <w:t>Methods – Statistical Methods, p.9–10 covers primary/secondary outcome analyses; no distinct statistical method described specifically for harms</w:t>
            </w:r>
          </w:p>
        </w:tc>
      </w:tr>
      <w:tr>
        <w:tc>
          <w:tcPr>
            <w:tcW w:type="dxa" w:w="737"/>
          </w:tcPr>
          <w:p>
            <w:pPr>
              <w:spacing w:after="40"/>
            </w:pPr>
            <w:r>
              <w:rPr>
                <w:sz w:val="18"/>
              </w:rPr>
              <w:t>21b</w:t>
            </w:r>
          </w:p>
        </w:tc>
        <w:tc>
          <w:tcPr>
            <w:tcW w:type="dxa" w:w="3515"/>
          </w:tcPr>
          <w:p>
            <w:pPr>
              <w:spacing w:after="40"/>
            </w:pPr>
            <w:r>
              <w:rPr>
                <w:sz w:val="18"/>
              </w:rPr>
              <w:t>Definition of who is included in each analysis (e.g., all randomized participants), and in which group</w:t>
            </w:r>
          </w:p>
        </w:tc>
        <w:tc>
          <w:tcPr>
            <w:tcW w:type="dxa" w:w="1247"/>
          </w:tcPr>
          <w:p>
            <w:pPr>
              <w:spacing w:after="40"/>
            </w:pPr>
            <w:r>
              <w:rPr>
                <w:sz w:val="18"/>
              </w:rPr>
              <w:t>Yes</w:t>
            </w:r>
          </w:p>
        </w:tc>
        <w:tc>
          <w:tcPr>
            <w:tcW w:type="dxa" w:w="4139"/>
          </w:tcPr>
          <w:p>
            <w:pPr>
              <w:spacing w:after="40"/>
            </w:pPr>
            <w:r>
              <w:rPr>
                <w:sz w:val="18"/>
              </w:rPr>
              <w:t>Results – Baseline Characteristics, p.11 (135 completers analyzed by original assigned group; 5 randomized patients excluded, reasons given)</w:t>
            </w:r>
          </w:p>
        </w:tc>
      </w:tr>
      <w:tr>
        <w:tc>
          <w:tcPr>
            <w:tcW w:type="dxa" w:w="737"/>
          </w:tcPr>
          <w:p>
            <w:pPr>
              <w:spacing w:after="40"/>
            </w:pPr>
            <w:r>
              <w:rPr>
                <w:sz w:val="18"/>
              </w:rPr>
              <w:t>21c</w:t>
            </w:r>
          </w:p>
        </w:tc>
        <w:tc>
          <w:tcPr>
            <w:tcW w:type="dxa" w:w="3515"/>
          </w:tcPr>
          <w:p>
            <w:pPr>
              <w:spacing w:after="40"/>
            </w:pPr>
            <w:r>
              <w:rPr>
                <w:sz w:val="18"/>
              </w:rPr>
              <w:t>How missing data were handled in the analysis</w:t>
            </w:r>
          </w:p>
        </w:tc>
        <w:tc>
          <w:tcPr>
            <w:tcW w:type="dxa" w:w="1247"/>
          </w:tcPr>
          <w:p>
            <w:pPr>
              <w:spacing w:after="40"/>
            </w:pPr>
            <w:r>
              <w:rPr>
                <w:sz w:val="18"/>
              </w:rPr>
              <w:t>Yes</w:t>
            </w:r>
          </w:p>
        </w:tc>
        <w:tc>
          <w:tcPr>
            <w:tcW w:type="dxa" w:w="4139"/>
          </w:tcPr>
          <w:p>
            <w:pPr>
              <w:spacing w:after="40"/>
            </w:pPr>
            <w:r>
              <w:rPr>
                <w:sz w:val="18"/>
              </w:rPr>
              <w:t>Methods – Statistical Methods, p.10 (patients with missing/unusable outcome data excluded case-wise, per Figure 1; no imputation performed)</w:t>
            </w:r>
          </w:p>
        </w:tc>
      </w:tr>
      <w:tr>
        <w:tc>
          <w:tcPr>
            <w:tcW w:type="dxa" w:w="737"/>
          </w:tcPr>
          <w:p>
            <w:pPr>
              <w:spacing w:after="40"/>
            </w:pPr>
            <w:r>
              <w:rPr>
                <w:sz w:val="18"/>
              </w:rPr>
              <w:t>21d</w:t>
            </w:r>
          </w:p>
        </w:tc>
        <w:tc>
          <w:tcPr>
            <w:tcW w:type="dxa" w:w="3515"/>
          </w:tcPr>
          <w:p>
            <w:pPr>
              <w:spacing w:after="40"/>
            </w:pPr>
            <w:r>
              <w:rPr>
                <w:sz w:val="18"/>
              </w:rPr>
              <w:t>Methods for any additional analyses (e.g., subgroup and sensitivity analyses), distinguishing prespecified from post hoc</w:t>
            </w:r>
          </w:p>
        </w:tc>
        <w:tc>
          <w:tcPr>
            <w:tcW w:type="dxa" w:w="1247"/>
          </w:tcPr>
          <w:p>
            <w:pPr>
              <w:spacing w:after="40"/>
            </w:pPr>
            <w:r>
              <w:rPr>
                <w:sz w:val="18"/>
              </w:rPr>
              <w:t>Yes</w:t>
            </w:r>
          </w:p>
        </w:tc>
        <w:tc>
          <w:tcPr>
            <w:tcW w:type="dxa" w:w="4139"/>
          </w:tcPr>
          <w:p>
            <w:pPr>
              <w:spacing w:after="40"/>
            </w:pPr>
            <w:r>
              <w:rPr>
                <w:sz w:val="18"/>
              </w:rPr>
              <w:t>Methods – Statistical Methods, p.9–10 (simple-effects/subgroup analyses and correlation analysis were prespecified)</w:t>
            </w:r>
          </w:p>
        </w:tc>
      </w:tr>
      <w:tr>
        <w:tc>
          <w:tcPr>
            <w:tcW w:type="dxa" w:w="4139"/>
            <w:gridSpan w:val="4"/>
          </w:tcPr>
          <w:p>
            <w:r>
              <w:rPr>
                <w:b/>
              </w:rPr>
              <w:t>Results – Participant flow, including flow diagram</w:t>
            </w:r>
          </w:p>
        </w:tc>
      </w:tr>
      <w:tr>
        <w:tc>
          <w:tcPr>
            <w:tcW w:type="dxa" w:w="737"/>
          </w:tcPr>
          <w:p>
            <w:pPr>
              <w:spacing w:after="40"/>
            </w:pPr>
            <w:r>
              <w:rPr>
                <w:sz w:val="18"/>
              </w:rPr>
              <w:t>22a</w:t>
            </w:r>
          </w:p>
        </w:tc>
        <w:tc>
          <w:tcPr>
            <w:tcW w:type="dxa" w:w="3515"/>
          </w:tcPr>
          <w:p>
            <w:pPr>
              <w:spacing w:after="40"/>
            </w:pPr>
            <w:r>
              <w:rPr>
                <w:sz w:val="18"/>
              </w:rPr>
              <w:t>For each group, the numbers of participants who were randomly assigned, received intended intervention, and were analyzed for the primary outcome</w:t>
            </w:r>
          </w:p>
        </w:tc>
        <w:tc>
          <w:tcPr>
            <w:tcW w:type="dxa" w:w="1247"/>
          </w:tcPr>
          <w:p>
            <w:pPr>
              <w:spacing w:after="40"/>
            </w:pPr>
            <w:r>
              <w:rPr>
                <w:sz w:val="18"/>
              </w:rPr>
              <w:t>Yes</w:t>
            </w:r>
          </w:p>
        </w:tc>
        <w:tc>
          <w:tcPr>
            <w:tcW w:type="dxa" w:w="4139"/>
          </w:tcPr>
          <w:p>
            <w:pPr>
              <w:spacing w:after="40"/>
            </w:pPr>
            <w:r>
              <w:rPr>
                <w:sz w:val="18"/>
              </w:rPr>
              <w:t>Results – Baseline Characteristics, p.11; Figure 1 (flow diagram)</w:t>
            </w:r>
          </w:p>
        </w:tc>
      </w:tr>
      <w:tr>
        <w:tc>
          <w:tcPr>
            <w:tcW w:type="dxa" w:w="737"/>
          </w:tcPr>
          <w:p>
            <w:pPr>
              <w:spacing w:after="40"/>
            </w:pPr>
            <w:r>
              <w:rPr>
                <w:sz w:val="18"/>
              </w:rPr>
              <w:t>22b</w:t>
            </w:r>
          </w:p>
        </w:tc>
        <w:tc>
          <w:tcPr>
            <w:tcW w:type="dxa" w:w="3515"/>
          </w:tcPr>
          <w:p>
            <w:pPr>
              <w:spacing w:after="40"/>
            </w:pPr>
            <w:r>
              <w:rPr>
                <w:sz w:val="18"/>
              </w:rPr>
              <w:t>For each group, losses and exclusions after randomization, together with reasons</w:t>
            </w:r>
          </w:p>
        </w:tc>
        <w:tc>
          <w:tcPr>
            <w:tcW w:type="dxa" w:w="1247"/>
          </w:tcPr>
          <w:p>
            <w:pPr>
              <w:spacing w:after="40"/>
            </w:pPr>
            <w:r>
              <w:rPr>
                <w:sz w:val="18"/>
              </w:rPr>
              <w:t>Yes</w:t>
            </w:r>
          </w:p>
        </w:tc>
        <w:tc>
          <w:tcPr>
            <w:tcW w:type="dxa" w:w="4139"/>
          </w:tcPr>
          <w:p>
            <w:pPr>
              <w:spacing w:after="40"/>
            </w:pPr>
            <w:r>
              <w:rPr>
                <w:sz w:val="18"/>
              </w:rPr>
              <w:t>Results – Baseline Characteristics, p.11; Figure 1 (5 patients excluded: waveform data loss n=2, early intubation n=1, arrhythmia requiring intervention n=2)</w:t>
            </w:r>
          </w:p>
        </w:tc>
      </w:tr>
      <w:tr>
        <w:tc>
          <w:tcPr>
            <w:tcW w:type="dxa" w:w="4139"/>
            <w:gridSpan w:val="4"/>
          </w:tcPr>
          <w:p>
            <w:r>
              <w:rPr>
                <w:b/>
              </w:rPr>
              <w:t>Recruitment</w:t>
            </w:r>
          </w:p>
        </w:tc>
      </w:tr>
      <w:tr>
        <w:tc>
          <w:tcPr>
            <w:tcW w:type="dxa" w:w="737"/>
          </w:tcPr>
          <w:p>
            <w:pPr>
              <w:spacing w:after="40"/>
            </w:pPr>
            <w:r>
              <w:rPr>
                <w:sz w:val="18"/>
              </w:rPr>
              <w:t>23a</w:t>
            </w:r>
          </w:p>
        </w:tc>
        <w:tc>
          <w:tcPr>
            <w:tcW w:type="dxa" w:w="3515"/>
          </w:tcPr>
          <w:p>
            <w:pPr>
              <w:spacing w:after="40"/>
            </w:pPr>
            <w:r>
              <w:rPr>
                <w:sz w:val="18"/>
              </w:rPr>
              <w:t>Dates defining the periods of recruitment and follow-up for outcomes of benefits and harms</w:t>
            </w:r>
          </w:p>
        </w:tc>
        <w:tc>
          <w:tcPr>
            <w:tcW w:type="dxa" w:w="1247"/>
          </w:tcPr>
          <w:p>
            <w:pPr>
              <w:spacing w:after="40"/>
            </w:pPr>
            <w:r>
              <w:rPr>
                <w:sz w:val="18"/>
              </w:rPr>
              <w:t>Yes</w:t>
            </w:r>
          </w:p>
        </w:tc>
        <w:tc>
          <w:tcPr>
            <w:tcW w:type="dxa" w:w="4139"/>
          </w:tcPr>
          <w:p>
            <w:pPr>
              <w:spacing w:after="40"/>
            </w:pPr>
            <w:r>
              <w:rPr>
                <w:sz w:val="18"/>
              </w:rPr>
              <w:t>Methods – Study Design and Patient Enrollment, p.5 (January 2026 to June 2026)</w:t>
            </w:r>
          </w:p>
        </w:tc>
      </w:tr>
      <w:tr>
        <w:tc>
          <w:tcPr>
            <w:tcW w:type="dxa" w:w="737"/>
          </w:tcPr>
          <w:p>
            <w:pPr>
              <w:spacing w:after="40"/>
            </w:pPr>
            <w:r>
              <w:rPr>
                <w:sz w:val="18"/>
              </w:rPr>
              <w:t>23b</w:t>
            </w:r>
          </w:p>
        </w:tc>
        <w:tc>
          <w:tcPr>
            <w:tcW w:type="dxa" w:w="3515"/>
          </w:tcPr>
          <w:p>
            <w:pPr>
              <w:spacing w:after="40"/>
            </w:pPr>
            <w:r>
              <w:rPr>
                <w:sz w:val="18"/>
              </w:rPr>
              <w:t>If relevant, why the trial ended or was stopped</w:t>
            </w:r>
          </w:p>
        </w:tc>
        <w:tc>
          <w:tcPr>
            <w:tcW w:type="dxa" w:w="1247"/>
          </w:tcPr>
          <w:p>
            <w:pPr>
              <w:spacing w:after="40"/>
            </w:pPr>
            <w:r>
              <w:rPr>
                <w:sz w:val="18"/>
              </w:rPr>
              <w:t>Not applicable</w:t>
            </w:r>
          </w:p>
        </w:tc>
        <w:tc>
          <w:tcPr>
            <w:tcW w:type="dxa" w:w="4139"/>
          </w:tcPr>
          <w:p>
            <w:pPr>
              <w:spacing w:after="40"/>
            </w:pPr>
            <w:r>
              <w:rPr>
                <w:sz w:val="18"/>
              </w:rPr>
              <w:t>Trial was completed as planned; not stopped early</w:t>
            </w:r>
          </w:p>
        </w:tc>
      </w:tr>
      <w:tr>
        <w:tc>
          <w:tcPr>
            <w:tcW w:type="dxa" w:w="4139"/>
            <w:gridSpan w:val="4"/>
          </w:tcPr>
          <w:p>
            <w:r>
              <w:rPr>
                <w:b/>
              </w:rPr>
              <w:t>Intervention and comparator delivery</w:t>
            </w:r>
          </w:p>
        </w:tc>
      </w:tr>
      <w:tr>
        <w:tc>
          <w:tcPr>
            <w:tcW w:type="dxa" w:w="737"/>
          </w:tcPr>
          <w:p>
            <w:pPr>
              <w:spacing w:after="40"/>
            </w:pPr>
            <w:r>
              <w:rPr>
                <w:sz w:val="18"/>
              </w:rPr>
              <w:t>24a</w:t>
            </w:r>
          </w:p>
        </w:tc>
        <w:tc>
          <w:tcPr>
            <w:tcW w:type="dxa" w:w="3515"/>
          </w:tcPr>
          <w:p>
            <w:pPr>
              <w:spacing w:after="40"/>
            </w:pPr>
            <w:r>
              <w:rPr>
                <w:sz w:val="18"/>
              </w:rPr>
              <w:t>Intervention and comparator as they were actually administered</w:t>
            </w:r>
          </w:p>
        </w:tc>
        <w:tc>
          <w:tcPr>
            <w:tcW w:type="dxa" w:w="1247"/>
          </w:tcPr>
          <w:p>
            <w:pPr>
              <w:spacing w:after="40"/>
            </w:pPr>
            <w:r>
              <w:rPr>
                <w:sz w:val="18"/>
              </w:rPr>
              <w:t>Yes</w:t>
            </w:r>
          </w:p>
        </w:tc>
        <w:tc>
          <w:tcPr>
            <w:tcW w:type="dxa" w:w="4139"/>
          </w:tcPr>
          <w:p>
            <w:pPr>
              <w:spacing w:after="40"/>
            </w:pPr>
            <w:r>
              <w:rPr>
                <w:sz w:val="18"/>
              </w:rPr>
              <w:t>Methods – Anesthesia Management, pp.6–7</w:t>
            </w:r>
          </w:p>
        </w:tc>
      </w:tr>
      <w:tr>
        <w:tc>
          <w:tcPr>
            <w:tcW w:type="dxa" w:w="737"/>
          </w:tcPr>
          <w:p>
            <w:pPr>
              <w:spacing w:after="40"/>
            </w:pPr>
            <w:r>
              <w:rPr>
                <w:sz w:val="18"/>
              </w:rPr>
              <w:t>24b</w:t>
            </w:r>
          </w:p>
        </w:tc>
        <w:tc>
          <w:tcPr>
            <w:tcW w:type="dxa" w:w="3515"/>
          </w:tcPr>
          <w:p>
            <w:pPr>
              <w:spacing w:after="40"/>
            </w:pPr>
            <w:r>
              <w:rPr>
                <w:sz w:val="18"/>
              </w:rPr>
              <w:t>Concomitant care received during the trial for each group</w:t>
            </w:r>
          </w:p>
        </w:tc>
        <w:tc>
          <w:tcPr>
            <w:tcW w:type="dxa" w:w="1247"/>
          </w:tcPr>
          <w:p>
            <w:pPr>
              <w:spacing w:after="40"/>
            </w:pPr>
            <w:r>
              <w:rPr>
                <w:sz w:val="18"/>
              </w:rPr>
              <w:t>Partially</w:t>
            </w:r>
          </w:p>
        </w:tc>
        <w:tc>
          <w:tcPr>
            <w:tcW w:type="dxa" w:w="4139"/>
          </w:tcPr>
          <w:p>
            <w:pPr>
              <w:spacing w:after="40"/>
            </w:pPr>
            <w:r>
              <w:rPr>
                <w:sz w:val="18"/>
              </w:rPr>
              <w:t>Background fluid infusion and co-administered sufentanil/rocuronium are described (p.6–7); other concomitant care (e.g., additional intraoperative medications by group) is not itemized – consider adding if relevant</w:t>
            </w:r>
          </w:p>
        </w:tc>
      </w:tr>
      <w:tr>
        <w:tc>
          <w:tcPr>
            <w:tcW w:type="dxa" w:w="737"/>
          </w:tcPr>
          <w:p>
            <w:pPr>
              <w:spacing w:after="40"/>
            </w:pPr>
            <w:r>
              <w:rPr>
                <w:sz w:val="18"/>
              </w:rPr>
              <w:t>25</w:t>
            </w:r>
          </w:p>
        </w:tc>
        <w:tc>
          <w:tcPr>
            <w:tcW w:type="dxa" w:w="3515"/>
          </w:tcPr>
          <w:p>
            <w:pPr>
              <w:spacing w:after="40"/>
            </w:pPr>
            <w:r>
              <w:rPr>
                <w:sz w:val="18"/>
              </w:rPr>
              <w:t>A table showing baseline demographic and clinical characteristics for each group</w:t>
            </w:r>
          </w:p>
        </w:tc>
        <w:tc>
          <w:tcPr>
            <w:tcW w:type="dxa" w:w="1247"/>
          </w:tcPr>
          <w:p>
            <w:pPr>
              <w:spacing w:after="40"/>
            </w:pPr>
            <w:r>
              <w:rPr>
                <w:sz w:val="18"/>
              </w:rPr>
              <w:t>Yes</w:t>
            </w:r>
          </w:p>
        </w:tc>
        <w:tc>
          <w:tcPr>
            <w:tcW w:type="dxa" w:w="4139"/>
          </w:tcPr>
          <w:p>
            <w:pPr>
              <w:spacing w:after="40"/>
            </w:pPr>
            <w:r>
              <w:rPr>
                <w:sz w:val="18"/>
              </w:rPr>
              <w:t>Results – Baseline Characteristics, p.11; Table 1</w:t>
            </w:r>
          </w:p>
        </w:tc>
      </w:tr>
      <w:tr>
        <w:tc>
          <w:tcPr>
            <w:tcW w:type="dxa" w:w="4139"/>
            <w:gridSpan w:val="4"/>
          </w:tcPr>
          <w:p>
            <w:r>
              <w:rPr>
                <w:b/>
              </w:rPr>
              <w:t>Numbers analyzed, outcomes and estimation</w:t>
            </w:r>
          </w:p>
        </w:tc>
      </w:tr>
      <w:tr>
        <w:tc>
          <w:tcPr>
            <w:tcW w:type="dxa" w:w="737"/>
          </w:tcPr>
          <w:p>
            <w:pPr>
              <w:spacing w:after="40"/>
            </w:pPr>
            <w:r>
              <w:rPr>
                <w:sz w:val="18"/>
              </w:rPr>
              <w:t>26</w:t>
            </w:r>
          </w:p>
        </w:tc>
        <w:tc>
          <w:tcPr>
            <w:tcW w:type="dxa" w:w="3515"/>
          </w:tcPr>
          <w:p>
            <w:pPr>
              <w:spacing w:after="40"/>
            </w:pPr>
            <w:r>
              <w:rPr>
                <w:sz w:val="18"/>
              </w:rPr>
              <w:t>For each primary/secondary outcome, by group: number analyzed; number with available data at each time point; result and estimated effect size with precision; for binary outcomes, both absolute and relative effect size</w:t>
            </w:r>
          </w:p>
        </w:tc>
        <w:tc>
          <w:tcPr>
            <w:tcW w:type="dxa" w:w="1247"/>
          </w:tcPr>
          <w:p>
            <w:pPr>
              <w:spacing w:after="40"/>
            </w:pPr>
            <w:r>
              <w:rPr>
                <w:sz w:val="18"/>
              </w:rPr>
              <w:t>Partially</w:t>
            </w:r>
          </w:p>
        </w:tc>
        <w:tc>
          <w:tcPr>
            <w:tcW w:type="dxa" w:w="4139"/>
          </w:tcPr>
          <w:p>
            <w:pPr>
              <w:spacing w:after="40"/>
            </w:pPr>
            <w:r>
              <w:rPr>
                <w:sz w:val="18"/>
              </w:rPr>
              <w:t>Results, pp.12–14; Tables 2–6 report group results, effect sizes (Cohen's d, correlation r with 95% CI) and P values; the number of participants with available data at each individual timepoint is not separately tabulated, and relative risk/risk ratio for the binary hypotension outcome is not reported – consider adding</w:t>
            </w:r>
          </w:p>
        </w:tc>
      </w:tr>
      <w:tr>
        <w:tc>
          <w:tcPr>
            <w:tcW w:type="dxa" w:w="4139"/>
            <w:gridSpan w:val="4"/>
          </w:tcPr>
          <w:p>
            <w:r>
              <w:rPr>
                <w:b/>
              </w:rPr>
              <w:t>Harms</w:t>
            </w:r>
          </w:p>
        </w:tc>
      </w:tr>
      <w:tr>
        <w:tc>
          <w:tcPr>
            <w:tcW w:type="dxa" w:w="737"/>
          </w:tcPr>
          <w:p>
            <w:pPr>
              <w:spacing w:after="40"/>
            </w:pPr>
            <w:r>
              <w:rPr>
                <w:sz w:val="18"/>
              </w:rPr>
              <w:t>27</w:t>
            </w:r>
          </w:p>
        </w:tc>
        <w:tc>
          <w:tcPr>
            <w:tcW w:type="dxa" w:w="3515"/>
          </w:tcPr>
          <w:p>
            <w:pPr>
              <w:spacing w:after="40"/>
            </w:pPr>
            <w:r>
              <w:rPr>
                <w:sz w:val="18"/>
              </w:rPr>
              <w:t>All harms or unintended events in each group</w:t>
            </w:r>
          </w:p>
        </w:tc>
        <w:tc>
          <w:tcPr>
            <w:tcW w:type="dxa" w:w="1247"/>
          </w:tcPr>
          <w:p>
            <w:pPr>
              <w:spacing w:after="40"/>
            </w:pPr>
            <w:r>
              <w:rPr>
                <w:sz w:val="18"/>
              </w:rPr>
              <w:t>Partially</w:t>
            </w:r>
          </w:p>
        </w:tc>
        <w:tc>
          <w:tcPr>
            <w:tcW w:type="dxa" w:w="4139"/>
          </w:tcPr>
          <w:p>
            <w:pPr>
              <w:spacing w:after="40"/>
            </w:pPr>
            <w:r>
              <w:rPr>
                <w:sz w:val="18"/>
              </w:rPr>
              <w:t>Vasopressor (phenylephrine) and atropine use for hypotension/bradycardia are reported as outcomes (Methods p.7, Results p.12); no separate systematic adverse-event table is presented – authors should confirm whether other adverse events occurred and, if so, add a harms summary</w:t>
            </w:r>
          </w:p>
        </w:tc>
      </w:tr>
      <w:tr>
        <w:tc>
          <w:tcPr>
            <w:tcW w:type="dxa" w:w="4139"/>
            <w:gridSpan w:val="4"/>
          </w:tcPr>
          <w:p>
            <w:r>
              <w:rPr>
                <w:b/>
              </w:rPr>
              <w:t>Ancillary analyses</w:t>
            </w:r>
          </w:p>
        </w:tc>
      </w:tr>
      <w:tr>
        <w:tc>
          <w:tcPr>
            <w:tcW w:type="dxa" w:w="737"/>
          </w:tcPr>
          <w:p>
            <w:pPr>
              <w:spacing w:after="40"/>
            </w:pPr>
            <w:r>
              <w:rPr>
                <w:sz w:val="18"/>
              </w:rPr>
              <w:t>28</w:t>
            </w:r>
          </w:p>
        </w:tc>
        <w:tc>
          <w:tcPr>
            <w:tcW w:type="dxa" w:w="3515"/>
          </w:tcPr>
          <w:p>
            <w:pPr>
              <w:spacing w:after="40"/>
            </w:pPr>
            <w:r>
              <w:rPr>
                <w:sz w:val="18"/>
              </w:rPr>
              <w:t>Any other analyses performed, including subgroup and sensitivity analyses, distinguishing pre-specified from post hoc</w:t>
            </w:r>
          </w:p>
        </w:tc>
        <w:tc>
          <w:tcPr>
            <w:tcW w:type="dxa" w:w="1247"/>
          </w:tcPr>
          <w:p>
            <w:pPr>
              <w:spacing w:after="40"/>
            </w:pPr>
            <w:r>
              <w:rPr>
                <w:sz w:val="18"/>
              </w:rPr>
              <w:t>Yes</w:t>
            </w:r>
          </w:p>
        </w:tc>
        <w:tc>
          <w:tcPr>
            <w:tcW w:type="dxa" w:w="4139"/>
          </w:tcPr>
          <w:p>
            <w:pPr>
              <w:spacing w:after="40"/>
            </w:pPr>
            <w:r>
              <w:rPr>
                <w:sz w:val="18"/>
              </w:rPr>
              <w:t>Results, pp.12–14 (age-stratum subgroup and correlation analyses; all pre-specified in Methods)</w:t>
            </w:r>
          </w:p>
        </w:tc>
      </w:tr>
      <w:tr>
        <w:tc>
          <w:tcPr>
            <w:tcW w:type="dxa" w:w="4139"/>
            <w:gridSpan w:val="4"/>
          </w:tcPr>
          <w:p>
            <w:r>
              <w:rPr>
                <w:b/>
              </w:rPr>
              <w:t>Discussion</w:t>
            </w:r>
          </w:p>
        </w:tc>
      </w:tr>
      <w:tr>
        <w:tc>
          <w:tcPr>
            <w:tcW w:type="dxa" w:w="737"/>
          </w:tcPr>
          <w:p>
            <w:pPr>
              <w:spacing w:after="40"/>
            </w:pPr>
            <w:r>
              <w:rPr>
                <w:sz w:val="18"/>
              </w:rPr>
              <w:t>29</w:t>
            </w:r>
          </w:p>
        </w:tc>
        <w:tc>
          <w:tcPr>
            <w:tcW w:type="dxa" w:w="3515"/>
          </w:tcPr>
          <w:p>
            <w:pPr>
              <w:spacing w:after="40"/>
            </w:pPr>
            <w:r>
              <w:rPr>
                <w:sz w:val="18"/>
              </w:rPr>
              <w:t>Interpretation consistent with results, balancing benefits and harms, and considering other relevant evidence</w:t>
            </w:r>
          </w:p>
        </w:tc>
        <w:tc>
          <w:tcPr>
            <w:tcW w:type="dxa" w:w="1247"/>
          </w:tcPr>
          <w:p>
            <w:pPr>
              <w:spacing w:after="40"/>
            </w:pPr>
            <w:r>
              <w:rPr>
                <w:sz w:val="18"/>
              </w:rPr>
              <w:t>Yes</w:t>
            </w:r>
          </w:p>
        </w:tc>
        <w:tc>
          <w:tcPr>
            <w:tcW w:type="dxa" w:w="4139"/>
          </w:tcPr>
          <w:p>
            <w:pPr>
              <w:spacing w:after="40"/>
            </w:pPr>
            <w:r>
              <w:rPr>
                <w:sz w:val="18"/>
              </w:rPr>
              <w:t>Discussion, pp.14–17</w:t>
            </w:r>
          </w:p>
        </w:tc>
      </w:tr>
      <w:tr>
        <w:tc>
          <w:tcPr>
            <w:tcW w:type="dxa" w:w="737"/>
          </w:tcPr>
          <w:p>
            <w:pPr>
              <w:spacing w:after="40"/>
            </w:pPr>
            <w:r>
              <w:rPr>
                <w:sz w:val="18"/>
              </w:rPr>
              <w:t>30</w:t>
            </w:r>
          </w:p>
        </w:tc>
        <w:tc>
          <w:tcPr>
            <w:tcW w:type="dxa" w:w="3515"/>
          </w:tcPr>
          <w:p>
            <w:pPr>
              <w:spacing w:after="40"/>
            </w:pPr>
            <w:r>
              <w:rPr>
                <w:sz w:val="18"/>
              </w:rPr>
              <w:t>Trial limitations, addressing sources of potential bias, imprecision, generalizability, and, if relevant, multiplicity of analyses</w:t>
            </w:r>
          </w:p>
        </w:tc>
        <w:tc>
          <w:tcPr>
            <w:tcW w:type="dxa" w:w="1247"/>
          </w:tcPr>
          <w:p>
            <w:pPr>
              <w:spacing w:after="40"/>
            </w:pPr>
            <w:r>
              <w:rPr>
                <w:sz w:val="18"/>
              </w:rPr>
              <w:t>Yes</w:t>
            </w:r>
          </w:p>
        </w:tc>
        <w:tc>
          <w:tcPr>
            <w:tcW w:type="dxa" w:w="4139"/>
          </w:tcPr>
          <w:p>
            <w:pPr>
              <w:spacing w:after="40"/>
            </w:pPr>
            <w:r>
              <w:rPr>
                <w:sz w:val="18"/>
              </w:rPr>
              <w:t>Limitations, pp.17–18 (single-center design/generalizability, potential confounders, drug interactions, measurement limitations)</w:t>
            </w:r>
          </w:p>
        </w:tc>
      </w:tr>
    </w:tbl>
    <w:p/>
    <w:p>
      <w:r>
        <w:rPr>
          <w:i/>
          <w:sz w:val="18"/>
        </w:rPr>
        <w:t>Adapted from the CONSORT 2025 Statement (Hopewell S, Chan A-W, Collins GS, et al. CONSORT 2025 statement: updated guideline for reporting randomised trials. BMJ/JAMA/Lancet/Nature Medicine/PLOS Medicine, 2025), which supersedes and replaces CONSORT 2010. This checklist has been completed based on review of the current manuscript by the authors’ assistant and should be verified by the authors for accuracy before submission.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