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05663" w14:textId="77777777" w:rsidR="00B46A9F" w:rsidRPr="00B46A9F" w:rsidRDefault="00B46A9F" w:rsidP="00B46A9F">
      <w:pPr>
        <w:rPr>
          <w:rFonts w:ascii="Times New Roman" w:hAnsi="Times New Roman" w:cs="Times New Roman"/>
          <w:b/>
          <w:bCs/>
          <w:sz w:val="20"/>
          <w:szCs w:val="22"/>
        </w:rPr>
      </w:pPr>
      <w:r w:rsidRPr="00B46A9F">
        <w:rPr>
          <w:rFonts w:ascii="Times New Roman" w:hAnsi="Times New Roman" w:cs="Times New Roman"/>
          <w:b/>
          <w:bCs/>
          <w:sz w:val="20"/>
          <w:szCs w:val="22"/>
        </w:rPr>
        <w:t>Supplementary Methods</w:t>
      </w:r>
    </w:p>
    <w:p w14:paraId="12A99B19" w14:textId="77777777" w:rsidR="00B46A63" w:rsidRPr="00B46A63" w:rsidRDefault="00B46A63" w:rsidP="00B46A63">
      <w:pPr>
        <w:widowControl/>
        <w:spacing w:line="360" w:lineRule="auto"/>
        <w:rPr>
          <w:rFonts w:ascii="Times New Roman" w:hAnsi="Times New Roman" w:cs="Times New Roman"/>
          <w:sz w:val="20"/>
          <w:szCs w:val="22"/>
        </w:rPr>
      </w:pPr>
      <w:r w:rsidRPr="00B46A63">
        <w:rPr>
          <w:rFonts w:ascii="Times New Roman" w:hAnsi="Times New Roman" w:cs="Times New Roman"/>
          <w:sz w:val="20"/>
          <w:szCs w:val="22"/>
        </w:rPr>
        <w:t>Outcome availability was summarised separately for each series. Total ED volume and emergency surgical procedure data were available for 906 of 908 calendar dates. Missing outcomes and exposures were neither replaced by zero nor imputed. Descriptive analyses used all available observations, whereas regression and prediction analyses were restricted to complete records for the variables included in each model.</w:t>
      </w:r>
    </w:p>
    <w:p w14:paraId="0FAFD39E" w14:textId="77777777" w:rsidR="00B46A63" w:rsidRPr="00B46A63" w:rsidRDefault="00B46A63" w:rsidP="00B46A63">
      <w:pPr>
        <w:widowControl/>
        <w:spacing w:line="360" w:lineRule="auto"/>
        <w:rPr>
          <w:rFonts w:ascii="Times New Roman" w:hAnsi="Times New Roman" w:cs="Times New Roman"/>
          <w:sz w:val="20"/>
          <w:szCs w:val="22"/>
        </w:rPr>
      </w:pPr>
      <w:r w:rsidRPr="00B46A63">
        <w:rPr>
          <w:rFonts w:ascii="Times New Roman" w:hAnsi="Times New Roman" w:cs="Times New Roman"/>
          <w:sz w:val="20"/>
          <w:szCs w:val="22"/>
        </w:rPr>
        <w:t>Prespecified sensitivity analyses varied the degrees of freedom used to control long-term and seasonal trends, examined alternative exposure-lag windows, incorporated non-linear meteorological terms, excluded Spring Festival and extreme-volume days, and fitted selected two-pollutant models. Overdispersion was assessed using the ratio of residual deviance to residual degrees of freedom. Residual autocorrelation was examined using autocorrelation functions and Ljung–Box tests. Large outcome-by-pollutant matrices were considered exploratory and were interpreted primarily from effect estimates and 95% CIs rather than isolated nominal p values.</w:t>
      </w:r>
    </w:p>
    <w:p w14:paraId="67561D74" w14:textId="77777777" w:rsidR="00B46A63" w:rsidRPr="00B46A63" w:rsidRDefault="00B46A63" w:rsidP="00B46A63">
      <w:pPr>
        <w:widowControl/>
        <w:spacing w:line="360" w:lineRule="auto"/>
        <w:rPr>
          <w:rFonts w:ascii="Times New Roman" w:hAnsi="Times New Roman" w:cs="Times New Roman"/>
          <w:sz w:val="20"/>
          <w:szCs w:val="22"/>
        </w:rPr>
      </w:pPr>
      <w:r w:rsidRPr="00B46A63">
        <w:rPr>
          <w:rFonts w:ascii="Times New Roman" w:hAnsi="Times New Roman" w:cs="Times New Roman"/>
          <w:sz w:val="20"/>
          <w:szCs w:val="22"/>
        </w:rPr>
        <w:t>For the internal prediction analysis, dates were ordered chronologically before lagged predictors were generated. After construction of lag-1, lag-7, and preceding 7-day mean ED-volume features and restriction to complete records, the first 80% of analysable dates formed the development set and the final 20% formed the temporal-validation set. This procedure yielded a validation period of 179 days from 30 December 2025 to 26 June 2026.</w:t>
      </w:r>
    </w:p>
    <w:p w14:paraId="6DB4C8CC" w14:textId="77777777" w:rsidR="00B46A63" w:rsidRPr="00B46A63" w:rsidRDefault="00B46A63" w:rsidP="00B46A63">
      <w:pPr>
        <w:widowControl/>
        <w:spacing w:line="360" w:lineRule="auto"/>
        <w:rPr>
          <w:rFonts w:ascii="Times New Roman" w:hAnsi="Times New Roman" w:cs="Times New Roman"/>
          <w:sz w:val="20"/>
          <w:szCs w:val="22"/>
        </w:rPr>
      </w:pPr>
      <w:r w:rsidRPr="00B46A63">
        <w:rPr>
          <w:rFonts w:ascii="Times New Roman" w:hAnsi="Times New Roman" w:cs="Times New Roman"/>
          <w:sz w:val="20"/>
          <w:szCs w:val="22"/>
        </w:rPr>
        <w:t>Ordinary least-squares regression models were fitted using the base-R stats::lm function with squared-error loss. Historical-demand predictors comprised ED volume at lags 1 and 7 and the preceding 7-day mean. Day of week and calendar category were included as treatment-coded categorical variables. Continuous environmental predictors were retained on their original scales. No regularisation, hyperparameter tuning, or internal resampling was applied. Models sequentially added meteorological variables, pollutant-specific PM2.5, PM10, NO2, and O3 AQI values, or both, to the history-plus-calendar model. Because observed target-day environmental data were included, the analysis was interpreted as retrospective contemporaneous prediction rather than a deployable day-ahead forecast.</w:t>
      </w:r>
    </w:p>
    <w:p w14:paraId="4B883C42" w14:textId="77777777" w:rsidR="00B46A63" w:rsidRPr="00B46A63" w:rsidRDefault="00B46A63" w:rsidP="00B46A63">
      <w:pPr>
        <w:widowControl/>
        <w:spacing w:line="360" w:lineRule="auto"/>
        <w:rPr>
          <w:rFonts w:ascii="Times New Roman" w:hAnsi="Times New Roman" w:cs="Times New Roman"/>
          <w:sz w:val="20"/>
          <w:szCs w:val="22"/>
        </w:rPr>
      </w:pPr>
      <w:r w:rsidRPr="00B46A63">
        <w:rPr>
          <w:rFonts w:ascii="Times New Roman" w:hAnsi="Times New Roman" w:cs="Times New Roman"/>
          <w:sz w:val="20"/>
          <w:szCs w:val="22"/>
        </w:rPr>
        <w:t xml:space="preserve">Prediction performance was evaluated using MAE, RMSE, MAPE, mean bias, and observed–predicted correlation. Incremental performance was assessed relative to the history-plus-calendar model. Permutation importance was calculated as the mean increase in validation-set MAE across 100 repeated 7-day moving-block permutations while holding the fitted model fixed. A fixed random seed of 2026 was </w:t>
      </w:r>
      <w:r w:rsidRPr="00B46A63">
        <w:rPr>
          <w:rFonts w:ascii="Times New Roman" w:hAnsi="Times New Roman" w:cs="Times New Roman"/>
          <w:sz w:val="20"/>
          <w:szCs w:val="22"/>
        </w:rPr>
        <w:lastRenderedPageBreak/>
        <w:t>used. Permutation importance was interpreted as an indicator of model reliance rather than causal importance.</w:t>
      </w:r>
    </w:p>
    <w:p w14:paraId="447C9D72" w14:textId="77777777" w:rsidR="00B46A63" w:rsidRPr="00B46A63" w:rsidRDefault="00B46A63" w:rsidP="00B46A63">
      <w:pPr>
        <w:widowControl/>
        <w:spacing w:line="360" w:lineRule="auto"/>
        <w:rPr>
          <w:rFonts w:ascii="Times New Roman" w:hAnsi="Times New Roman" w:cs="Times New Roman"/>
          <w:sz w:val="20"/>
          <w:szCs w:val="22"/>
        </w:rPr>
      </w:pPr>
      <w:r w:rsidRPr="00B46A63">
        <w:rPr>
          <w:rFonts w:ascii="Times New Roman" w:hAnsi="Times New Roman" w:cs="Times New Roman"/>
          <w:sz w:val="20"/>
          <w:szCs w:val="22"/>
        </w:rPr>
        <w:t>Environmental profiles were derived without reference to ED outcomes. Lag 0–2 mean meteorological variables and pollutant-specific AQI values were standardised as z scores and grouped using k-means clustering with Euclidean distance, 100 random initialisations, and a maximum of 1000 iterations. Candidate solutions containing two to eight clusters were compared using within-cluster sum of squares, average silhouette width, the gap statistic, cluster size, and interpretability of the exposure centroids. Four clusters were retained on the basis of concordance across these criteria and were labelled cool, warm-ozone, cool-pollution, and humid-rainy. Cluster stability was assessed using 500 bootstrap resamples and clusterwise Jaccard similarity. Profile analyses were considered exploratory and require temporal or external validation.</w:t>
      </w:r>
    </w:p>
    <w:p w14:paraId="7BB106B6" w14:textId="77777777" w:rsidR="00B46A63" w:rsidRPr="00B46A63" w:rsidRDefault="00B46A63" w:rsidP="00B46A63">
      <w:pPr>
        <w:widowControl/>
        <w:spacing w:line="360" w:lineRule="auto"/>
        <w:rPr>
          <w:rFonts w:ascii="Times New Roman" w:hAnsi="Times New Roman" w:cs="Times New Roman"/>
          <w:sz w:val="20"/>
          <w:szCs w:val="22"/>
        </w:rPr>
      </w:pPr>
      <w:r w:rsidRPr="00B46A63">
        <w:rPr>
          <w:rFonts w:ascii="Times New Roman" w:hAnsi="Times New Roman" w:cs="Times New Roman"/>
          <w:sz w:val="20"/>
          <w:szCs w:val="22"/>
        </w:rPr>
        <w:t>Analyses were conducted in R. Data management and visualisation used dplyr, tidyr, lubridate, and ggplot2; linear prediction models and time-series diagnostics used the base stats package; clustering diagnostics and stability analyses used cluster and fpc. Exact R and package versions were recorded using sessionInfo() and archived in an renv lockfile accompanying the analysis code. All statistical tests were two-sided.</w:t>
      </w:r>
    </w:p>
    <w:p w14:paraId="6E31B133" w14:textId="77777777" w:rsidR="00B46A9F" w:rsidRDefault="00B46A9F">
      <w:pPr>
        <w:widowControl/>
        <w:jc w:val="left"/>
        <w:rPr>
          <w:rFonts w:ascii="Times New Roman" w:hAnsi="Times New Roman" w:cs="Times New Roman"/>
          <w:sz w:val="20"/>
          <w:szCs w:val="22"/>
        </w:rPr>
      </w:pPr>
      <w:r>
        <w:rPr>
          <w:rFonts w:ascii="Times New Roman" w:hAnsi="Times New Roman" w:cs="Times New Roman"/>
          <w:sz w:val="20"/>
          <w:szCs w:val="22"/>
        </w:rPr>
        <w:br w:type="page"/>
      </w:r>
    </w:p>
    <w:p w14:paraId="3A72B450" w14:textId="77777777" w:rsidR="002D4275" w:rsidRPr="002D4275" w:rsidRDefault="002D4275" w:rsidP="002D4275">
      <w:pPr>
        <w:rPr>
          <w:b/>
          <w:bCs/>
          <w:sz w:val="20"/>
          <w:szCs w:val="22"/>
        </w:rPr>
      </w:pPr>
      <w:r w:rsidRPr="002D4275">
        <w:rPr>
          <w:b/>
          <w:bCs/>
          <w:sz w:val="20"/>
          <w:szCs w:val="22"/>
        </w:rPr>
        <w:lastRenderedPageBreak/>
        <w:t>Supplementary Table S1. Reproducibility information for the internal prediction analysis</w:t>
      </w:r>
    </w:p>
    <w:tbl>
      <w:tblPr>
        <w:tblStyle w:val="a3"/>
        <w:tblW w:w="0" w:type="auto"/>
        <w:jc w:val="center"/>
        <w:tblLook w:val="04A0" w:firstRow="1" w:lastRow="0" w:firstColumn="1" w:lastColumn="0" w:noHBand="0" w:noVBand="1"/>
      </w:tblPr>
      <w:tblGrid>
        <w:gridCol w:w="2547"/>
        <w:gridCol w:w="5749"/>
      </w:tblGrid>
      <w:tr w:rsidR="00B46A9F" w:rsidRPr="00B46A9F" w14:paraId="580FDA23" w14:textId="77777777" w:rsidTr="00B46A9F">
        <w:trPr>
          <w:tblHeader/>
          <w:jc w:val="center"/>
        </w:trPr>
        <w:tc>
          <w:tcPr>
            <w:tcW w:w="2547" w:type="dxa"/>
            <w:shd w:val="clear" w:color="auto" w:fill="auto"/>
            <w:vAlign w:val="center"/>
          </w:tcPr>
          <w:p w14:paraId="050E5250" w14:textId="77777777" w:rsidR="00B46A9F" w:rsidRPr="002D4275" w:rsidRDefault="00B46A9F" w:rsidP="00B46A9F">
            <w:pPr>
              <w:rPr>
                <w:rFonts w:ascii="Times New Roman" w:hAnsi="Times New Roman" w:cs="Times New Roman"/>
                <w:b/>
                <w:bCs/>
                <w:sz w:val="20"/>
                <w:szCs w:val="20"/>
              </w:rPr>
            </w:pPr>
            <w:r w:rsidRPr="002D4275">
              <w:rPr>
                <w:rFonts w:ascii="Times New Roman" w:hAnsi="Times New Roman" w:cs="Times New Roman"/>
                <w:b/>
                <w:bCs/>
                <w:sz w:val="20"/>
                <w:szCs w:val="20"/>
              </w:rPr>
              <w:t>Item</w:t>
            </w:r>
          </w:p>
        </w:tc>
        <w:tc>
          <w:tcPr>
            <w:tcW w:w="5749" w:type="dxa"/>
            <w:shd w:val="clear" w:color="auto" w:fill="auto"/>
            <w:vAlign w:val="center"/>
          </w:tcPr>
          <w:p w14:paraId="11788841" w14:textId="77777777" w:rsidR="00B46A9F" w:rsidRPr="002D4275" w:rsidRDefault="00B46A9F" w:rsidP="00B46A9F">
            <w:pPr>
              <w:rPr>
                <w:rFonts w:ascii="Times New Roman" w:hAnsi="Times New Roman" w:cs="Times New Roman"/>
                <w:b/>
                <w:bCs/>
                <w:sz w:val="20"/>
                <w:szCs w:val="20"/>
              </w:rPr>
            </w:pPr>
            <w:r w:rsidRPr="002D4275">
              <w:rPr>
                <w:rFonts w:ascii="Times New Roman" w:hAnsi="Times New Roman" w:cs="Times New Roman"/>
                <w:b/>
                <w:bCs/>
                <w:sz w:val="20"/>
                <w:szCs w:val="20"/>
              </w:rPr>
              <w:t>Manuscript specification</w:t>
            </w:r>
          </w:p>
        </w:tc>
      </w:tr>
      <w:tr w:rsidR="00B46A9F" w:rsidRPr="00B46A9F" w14:paraId="2037D3F7" w14:textId="77777777" w:rsidTr="00B46A9F">
        <w:trPr>
          <w:jc w:val="center"/>
        </w:trPr>
        <w:tc>
          <w:tcPr>
            <w:tcW w:w="2547" w:type="dxa"/>
            <w:vAlign w:val="center"/>
          </w:tcPr>
          <w:p w14:paraId="73305737" w14:textId="77777777" w:rsidR="00B46A9F" w:rsidRPr="00B46A9F" w:rsidRDefault="00B46A9F" w:rsidP="00B46A9F">
            <w:pPr>
              <w:rPr>
                <w:rFonts w:ascii="Times New Roman" w:hAnsi="Times New Roman" w:cs="Times New Roman"/>
                <w:sz w:val="20"/>
                <w:szCs w:val="20"/>
              </w:rPr>
            </w:pPr>
            <w:r w:rsidRPr="00B46A9F">
              <w:rPr>
                <w:rFonts w:ascii="Times New Roman" w:hAnsi="Times New Roman" w:cs="Times New Roman"/>
                <w:sz w:val="20"/>
                <w:szCs w:val="20"/>
              </w:rPr>
              <w:t>Prediction target</w:t>
            </w:r>
          </w:p>
        </w:tc>
        <w:tc>
          <w:tcPr>
            <w:tcW w:w="5749" w:type="dxa"/>
            <w:vAlign w:val="center"/>
          </w:tcPr>
          <w:p w14:paraId="208EC567" w14:textId="77777777" w:rsidR="00B46A9F" w:rsidRPr="00B46A9F" w:rsidRDefault="00B46A9F" w:rsidP="00B46A9F">
            <w:pPr>
              <w:rPr>
                <w:rFonts w:ascii="Times New Roman" w:hAnsi="Times New Roman" w:cs="Times New Roman"/>
                <w:sz w:val="20"/>
                <w:szCs w:val="20"/>
              </w:rPr>
            </w:pPr>
            <w:r w:rsidRPr="00B46A9F">
              <w:rPr>
                <w:rFonts w:ascii="Times New Roman" w:hAnsi="Times New Roman" w:cs="Times New Roman"/>
                <w:sz w:val="20"/>
                <w:szCs w:val="20"/>
              </w:rPr>
              <w:t>Total ED visits on day t</w:t>
            </w:r>
          </w:p>
        </w:tc>
      </w:tr>
      <w:tr w:rsidR="002D4275" w:rsidRPr="00B46A9F" w14:paraId="0123BDDC" w14:textId="77777777" w:rsidTr="00825204">
        <w:trPr>
          <w:jc w:val="center"/>
        </w:trPr>
        <w:tc>
          <w:tcPr>
            <w:tcW w:w="2547" w:type="dxa"/>
            <w:vAlign w:val="center"/>
          </w:tcPr>
          <w:p w14:paraId="18CB7284" w14:textId="77777777" w:rsidR="002D4275" w:rsidRPr="00B46A9F" w:rsidRDefault="002D4275" w:rsidP="002D4275">
            <w:pPr>
              <w:rPr>
                <w:rFonts w:ascii="Times New Roman" w:hAnsi="Times New Roman" w:cs="Times New Roman"/>
                <w:sz w:val="20"/>
                <w:szCs w:val="20"/>
              </w:rPr>
            </w:pPr>
            <w:r w:rsidRPr="00B46A9F">
              <w:rPr>
                <w:rFonts w:ascii="Times New Roman" w:hAnsi="Times New Roman" w:cs="Times New Roman"/>
                <w:sz w:val="20"/>
                <w:szCs w:val="20"/>
              </w:rPr>
              <w:t>Prediction setting</w:t>
            </w:r>
          </w:p>
        </w:tc>
        <w:tc>
          <w:tcPr>
            <w:tcW w:w="5749" w:type="dxa"/>
          </w:tcPr>
          <w:p w14:paraId="4FF4E5E1" w14:textId="1713ACCB" w:rsidR="002D4275" w:rsidRPr="00B46A9F" w:rsidRDefault="002D4275" w:rsidP="002D4275">
            <w:pPr>
              <w:rPr>
                <w:rFonts w:ascii="Times New Roman" w:hAnsi="Times New Roman" w:cs="Times New Roman"/>
                <w:sz w:val="20"/>
                <w:szCs w:val="20"/>
              </w:rPr>
            </w:pPr>
            <w:r w:rsidRPr="00B46A63">
              <w:rPr>
                <w:rFonts w:ascii="Times New Roman" w:eastAsia="宋体" w:hAnsi="Times New Roman" w:cs="Times New Roman"/>
                <w:noProof w:val="0"/>
                <w:color w:val="000000"/>
                <w:sz w:val="20"/>
                <w:szCs w:val="20"/>
              </w:rPr>
              <w:t>Retrospective contemporaneous prediction using observed target-day environmental data</w:t>
            </w:r>
          </w:p>
        </w:tc>
      </w:tr>
      <w:tr w:rsidR="002D4275" w:rsidRPr="00B46A9F" w14:paraId="60F3FF75" w14:textId="77777777" w:rsidTr="00825204">
        <w:trPr>
          <w:jc w:val="center"/>
        </w:trPr>
        <w:tc>
          <w:tcPr>
            <w:tcW w:w="2547" w:type="dxa"/>
            <w:vAlign w:val="center"/>
          </w:tcPr>
          <w:p w14:paraId="43E6D8E5" w14:textId="1496DAE4" w:rsidR="002D4275" w:rsidRPr="00B46A9F" w:rsidRDefault="002D4275" w:rsidP="002D4275">
            <w:pPr>
              <w:rPr>
                <w:rFonts w:ascii="Times New Roman" w:hAnsi="Times New Roman" w:cs="Times New Roman"/>
                <w:sz w:val="20"/>
                <w:szCs w:val="20"/>
              </w:rPr>
            </w:pPr>
            <w:r w:rsidRPr="002D4275">
              <w:rPr>
                <w:rFonts w:ascii="Times New Roman" w:hAnsi="Times New Roman" w:cs="Times New Roman"/>
                <w:sz w:val="20"/>
                <w:szCs w:val="20"/>
              </w:rPr>
              <w:t>Analy</w:t>
            </w:r>
            <w:r>
              <w:rPr>
                <w:rFonts w:ascii="Times New Roman" w:hAnsi="Times New Roman" w:cs="Times New Roman" w:hint="eastAsia"/>
                <w:sz w:val="20"/>
                <w:szCs w:val="20"/>
                <w:lang w:eastAsia="zh-CN"/>
              </w:rPr>
              <w:t>z</w:t>
            </w:r>
            <w:r w:rsidRPr="002D4275">
              <w:rPr>
                <w:rFonts w:ascii="Times New Roman" w:hAnsi="Times New Roman" w:cs="Times New Roman"/>
                <w:sz w:val="20"/>
                <w:szCs w:val="20"/>
              </w:rPr>
              <w:t>able sample</w:t>
            </w:r>
          </w:p>
        </w:tc>
        <w:tc>
          <w:tcPr>
            <w:tcW w:w="5749" w:type="dxa"/>
          </w:tcPr>
          <w:p w14:paraId="0A1BA0C9" w14:textId="1F1545A5" w:rsidR="002D4275" w:rsidRPr="00B46A63" w:rsidRDefault="002D4275" w:rsidP="002D4275">
            <w:pPr>
              <w:rPr>
                <w:rFonts w:ascii="Times New Roman" w:eastAsia="宋体" w:hAnsi="Times New Roman" w:cs="Times New Roman"/>
                <w:noProof w:val="0"/>
                <w:color w:val="000000"/>
                <w:sz w:val="20"/>
                <w:szCs w:val="20"/>
              </w:rPr>
            </w:pPr>
            <w:r w:rsidRPr="00B46A63">
              <w:rPr>
                <w:rFonts w:ascii="Times New Roman" w:eastAsia="宋体" w:hAnsi="Times New Roman" w:cs="Times New Roman"/>
                <w:noProof w:val="0"/>
                <w:color w:val="000000"/>
                <w:sz w:val="20"/>
                <w:szCs w:val="20"/>
              </w:rPr>
              <w:t>Complete records after chronological ordering and construction of lagged and rolling-demand features</w:t>
            </w:r>
          </w:p>
        </w:tc>
      </w:tr>
      <w:tr w:rsidR="002D4275" w:rsidRPr="00B46A9F" w14:paraId="4C17F72E" w14:textId="77777777" w:rsidTr="001C4E77">
        <w:trPr>
          <w:jc w:val="center"/>
        </w:trPr>
        <w:tc>
          <w:tcPr>
            <w:tcW w:w="2547" w:type="dxa"/>
            <w:vAlign w:val="center"/>
          </w:tcPr>
          <w:p w14:paraId="53376196" w14:textId="77777777" w:rsidR="002D4275" w:rsidRPr="00B46A9F" w:rsidRDefault="002D4275" w:rsidP="002D4275">
            <w:pPr>
              <w:rPr>
                <w:rFonts w:ascii="Times New Roman" w:hAnsi="Times New Roman" w:cs="Times New Roman"/>
                <w:sz w:val="20"/>
                <w:szCs w:val="20"/>
              </w:rPr>
            </w:pPr>
            <w:r w:rsidRPr="00B46A9F">
              <w:rPr>
                <w:rFonts w:ascii="Times New Roman" w:hAnsi="Times New Roman" w:cs="Times New Roman"/>
                <w:sz w:val="20"/>
                <w:szCs w:val="20"/>
              </w:rPr>
              <w:t>Temporal split</w:t>
            </w:r>
          </w:p>
        </w:tc>
        <w:tc>
          <w:tcPr>
            <w:tcW w:w="5749" w:type="dxa"/>
          </w:tcPr>
          <w:p w14:paraId="0EA787F8" w14:textId="444A17EE" w:rsidR="002D4275" w:rsidRPr="00B46A9F" w:rsidRDefault="002D4275" w:rsidP="002D4275">
            <w:pPr>
              <w:rPr>
                <w:rFonts w:ascii="Times New Roman" w:hAnsi="Times New Roman" w:cs="Times New Roman"/>
                <w:sz w:val="20"/>
                <w:szCs w:val="20"/>
              </w:rPr>
            </w:pPr>
            <w:r w:rsidRPr="00B46A63">
              <w:rPr>
                <w:rFonts w:ascii="Times New Roman" w:eastAsia="宋体" w:hAnsi="Times New Roman" w:cs="Times New Roman"/>
                <w:noProof w:val="0"/>
                <w:color w:val="000000"/>
                <w:sz w:val="20"/>
                <w:szCs w:val="20"/>
              </w:rPr>
              <w:t>First 80% of analyzable dates for development and final 20% for temporal validation</w:t>
            </w:r>
          </w:p>
        </w:tc>
      </w:tr>
      <w:tr w:rsidR="002D4275" w:rsidRPr="00B46A9F" w14:paraId="5EA0FD15" w14:textId="77777777" w:rsidTr="001C4E77">
        <w:trPr>
          <w:jc w:val="center"/>
        </w:trPr>
        <w:tc>
          <w:tcPr>
            <w:tcW w:w="2547" w:type="dxa"/>
            <w:vAlign w:val="center"/>
          </w:tcPr>
          <w:p w14:paraId="4056C76E" w14:textId="045C315B" w:rsidR="002D4275" w:rsidRPr="00B46A9F" w:rsidRDefault="002D4275" w:rsidP="002D4275">
            <w:pPr>
              <w:rPr>
                <w:rFonts w:ascii="Times New Roman" w:hAnsi="Times New Roman" w:cs="Times New Roman"/>
                <w:sz w:val="20"/>
                <w:szCs w:val="20"/>
              </w:rPr>
            </w:pPr>
            <w:r w:rsidRPr="002D4275">
              <w:rPr>
                <w:rFonts w:ascii="Times New Roman" w:hAnsi="Times New Roman" w:cs="Times New Roman"/>
                <w:sz w:val="20"/>
                <w:szCs w:val="20"/>
              </w:rPr>
              <w:t>Validation period</w:t>
            </w:r>
          </w:p>
        </w:tc>
        <w:tc>
          <w:tcPr>
            <w:tcW w:w="5749" w:type="dxa"/>
          </w:tcPr>
          <w:p w14:paraId="5C2DA85E" w14:textId="43951793" w:rsidR="002D4275" w:rsidRPr="00B46A63" w:rsidRDefault="002D4275" w:rsidP="002D4275">
            <w:pPr>
              <w:rPr>
                <w:rFonts w:ascii="Times New Roman" w:eastAsia="宋体" w:hAnsi="Times New Roman" w:cs="Times New Roman"/>
                <w:noProof w:val="0"/>
                <w:color w:val="000000"/>
                <w:sz w:val="20"/>
                <w:szCs w:val="20"/>
              </w:rPr>
            </w:pPr>
            <w:r w:rsidRPr="002D4275">
              <w:rPr>
                <w:rFonts w:ascii="Times New Roman" w:eastAsia="宋体" w:hAnsi="Times New Roman" w:cs="Times New Roman"/>
                <w:noProof w:val="0"/>
                <w:color w:val="000000"/>
                <w:sz w:val="20"/>
                <w:szCs w:val="20"/>
              </w:rPr>
              <w:t>30 December 2025 to 26 June 2026; 179 analyzable days</w:t>
            </w:r>
          </w:p>
        </w:tc>
      </w:tr>
      <w:tr w:rsidR="002D4275" w:rsidRPr="00B46A9F" w14:paraId="0BCDEDFF" w14:textId="77777777" w:rsidTr="00B46A9F">
        <w:trPr>
          <w:jc w:val="center"/>
        </w:trPr>
        <w:tc>
          <w:tcPr>
            <w:tcW w:w="2547" w:type="dxa"/>
            <w:vAlign w:val="center"/>
          </w:tcPr>
          <w:p w14:paraId="4E72817E" w14:textId="77777777" w:rsidR="002D4275" w:rsidRPr="00B46A9F" w:rsidRDefault="002D4275" w:rsidP="002D4275">
            <w:pPr>
              <w:rPr>
                <w:rFonts w:ascii="Times New Roman" w:hAnsi="Times New Roman" w:cs="Times New Roman"/>
                <w:sz w:val="20"/>
                <w:szCs w:val="20"/>
              </w:rPr>
            </w:pPr>
            <w:r w:rsidRPr="00B46A9F">
              <w:rPr>
                <w:rFonts w:ascii="Times New Roman" w:hAnsi="Times New Roman" w:cs="Times New Roman"/>
                <w:sz w:val="20"/>
                <w:szCs w:val="20"/>
              </w:rPr>
              <w:t>Historical features</w:t>
            </w:r>
          </w:p>
        </w:tc>
        <w:tc>
          <w:tcPr>
            <w:tcW w:w="5749" w:type="dxa"/>
            <w:vAlign w:val="center"/>
          </w:tcPr>
          <w:p w14:paraId="19DE9A30" w14:textId="054581D9" w:rsidR="002D4275" w:rsidRPr="00B46A9F" w:rsidRDefault="002D4275" w:rsidP="002D4275">
            <w:pPr>
              <w:rPr>
                <w:rFonts w:ascii="Times New Roman" w:hAnsi="Times New Roman" w:cs="Times New Roman"/>
                <w:sz w:val="20"/>
                <w:szCs w:val="20"/>
              </w:rPr>
            </w:pPr>
            <w:r w:rsidRPr="00B46A63">
              <w:rPr>
                <w:rFonts w:ascii="Times New Roman" w:hAnsi="Times New Roman" w:cs="Times New Roman"/>
                <w:sz w:val="20"/>
                <w:szCs w:val="20"/>
              </w:rPr>
              <w:t>ED visits at lag 1, ED visits at lag 7, and the preceding 7-day mean</w:t>
            </w:r>
          </w:p>
        </w:tc>
      </w:tr>
      <w:tr w:rsidR="002D4275" w:rsidRPr="00B46A9F" w14:paraId="73C7BCB2" w14:textId="77777777" w:rsidTr="00B46A9F">
        <w:trPr>
          <w:jc w:val="center"/>
        </w:trPr>
        <w:tc>
          <w:tcPr>
            <w:tcW w:w="2547" w:type="dxa"/>
            <w:vAlign w:val="center"/>
          </w:tcPr>
          <w:p w14:paraId="762FF8D8" w14:textId="77777777" w:rsidR="002D4275" w:rsidRPr="00B46A9F" w:rsidRDefault="002D4275" w:rsidP="002D4275">
            <w:pPr>
              <w:rPr>
                <w:rFonts w:ascii="Times New Roman" w:hAnsi="Times New Roman" w:cs="Times New Roman"/>
                <w:sz w:val="20"/>
                <w:szCs w:val="20"/>
              </w:rPr>
            </w:pPr>
            <w:r w:rsidRPr="00B46A9F">
              <w:rPr>
                <w:rFonts w:ascii="Times New Roman" w:hAnsi="Times New Roman" w:cs="Times New Roman"/>
                <w:sz w:val="20"/>
                <w:szCs w:val="20"/>
              </w:rPr>
              <w:t>Calendar features</w:t>
            </w:r>
          </w:p>
        </w:tc>
        <w:tc>
          <w:tcPr>
            <w:tcW w:w="5749" w:type="dxa"/>
            <w:vAlign w:val="center"/>
          </w:tcPr>
          <w:p w14:paraId="296A72ED" w14:textId="6708DF9F" w:rsidR="002D4275" w:rsidRPr="00B46A9F" w:rsidRDefault="002D4275" w:rsidP="002D4275">
            <w:pPr>
              <w:rPr>
                <w:rFonts w:ascii="Times New Roman" w:hAnsi="Times New Roman" w:cs="Times New Roman"/>
                <w:sz w:val="20"/>
                <w:szCs w:val="20"/>
              </w:rPr>
            </w:pPr>
            <w:r w:rsidRPr="00B46A63">
              <w:rPr>
                <w:rFonts w:ascii="Times New Roman" w:hAnsi="Times New Roman" w:cs="Times New Roman"/>
                <w:sz w:val="20"/>
                <w:szCs w:val="20"/>
              </w:rPr>
              <w:t>Day of week and calendar category</w:t>
            </w:r>
          </w:p>
        </w:tc>
      </w:tr>
      <w:tr w:rsidR="002D4275" w:rsidRPr="00B46A9F" w14:paraId="4960A4DF" w14:textId="77777777" w:rsidTr="00B46A9F">
        <w:trPr>
          <w:jc w:val="center"/>
        </w:trPr>
        <w:tc>
          <w:tcPr>
            <w:tcW w:w="2547" w:type="dxa"/>
            <w:vAlign w:val="center"/>
          </w:tcPr>
          <w:p w14:paraId="509EE742" w14:textId="77777777" w:rsidR="002D4275" w:rsidRPr="00B46A9F" w:rsidRDefault="002D4275" w:rsidP="002D4275">
            <w:pPr>
              <w:rPr>
                <w:rFonts w:ascii="Times New Roman" w:hAnsi="Times New Roman" w:cs="Times New Roman"/>
                <w:sz w:val="20"/>
                <w:szCs w:val="20"/>
              </w:rPr>
            </w:pPr>
            <w:r w:rsidRPr="00B46A9F">
              <w:rPr>
                <w:rFonts w:ascii="Times New Roman" w:hAnsi="Times New Roman" w:cs="Times New Roman"/>
                <w:sz w:val="20"/>
                <w:szCs w:val="20"/>
              </w:rPr>
              <w:t>Environmental features</w:t>
            </w:r>
          </w:p>
        </w:tc>
        <w:tc>
          <w:tcPr>
            <w:tcW w:w="5749" w:type="dxa"/>
            <w:vAlign w:val="center"/>
          </w:tcPr>
          <w:p w14:paraId="7B1AACB5" w14:textId="19C256FA" w:rsidR="002D4275" w:rsidRPr="00B46A9F" w:rsidRDefault="002D4275" w:rsidP="002D4275">
            <w:pPr>
              <w:rPr>
                <w:rFonts w:ascii="Times New Roman" w:hAnsi="Times New Roman" w:cs="Times New Roman"/>
                <w:sz w:val="20"/>
                <w:szCs w:val="20"/>
              </w:rPr>
            </w:pPr>
            <w:r w:rsidRPr="00B46A63">
              <w:rPr>
                <w:rFonts w:ascii="Times New Roman" w:hAnsi="Times New Roman" w:cs="Times New Roman"/>
                <w:sz w:val="20"/>
                <w:szCs w:val="20"/>
              </w:rPr>
              <w:t>Temperature, wind speed, precipitation, relative humidity, and pollutant-specific PM2.5, PM10, NO2, and O3 AQI values</w:t>
            </w:r>
          </w:p>
        </w:tc>
      </w:tr>
      <w:tr w:rsidR="002D4275" w:rsidRPr="00B46A9F" w14:paraId="2ADCCB4C" w14:textId="77777777" w:rsidTr="00B46A9F">
        <w:trPr>
          <w:jc w:val="center"/>
        </w:trPr>
        <w:tc>
          <w:tcPr>
            <w:tcW w:w="2547" w:type="dxa"/>
            <w:vAlign w:val="center"/>
          </w:tcPr>
          <w:p w14:paraId="1BA1E870" w14:textId="3B7350B5" w:rsidR="002D4275" w:rsidRPr="00B46A9F" w:rsidRDefault="002D4275" w:rsidP="002D4275">
            <w:pPr>
              <w:rPr>
                <w:rFonts w:ascii="Times New Roman" w:hAnsi="Times New Roman" w:cs="Times New Roman"/>
                <w:sz w:val="20"/>
                <w:szCs w:val="20"/>
              </w:rPr>
            </w:pPr>
            <w:r w:rsidRPr="00B46A9F">
              <w:rPr>
                <w:rFonts w:ascii="Times New Roman" w:hAnsi="Times New Roman" w:cs="Times New Roman"/>
                <w:sz w:val="20"/>
                <w:szCs w:val="20"/>
              </w:rPr>
              <w:t>Estimator</w:t>
            </w:r>
          </w:p>
        </w:tc>
        <w:tc>
          <w:tcPr>
            <w:tcW w:w="5749" w:type="dxa"/>
            <w:vAlign w:val="center"/>
          </w:tcPr>
          <w:p w14:paraId="2D5ED9F8" w14:textId="1326E0E7" w:rsidR="002D4275" w:rsidRPr="00B46A9F" w:rsidRDefault="002D4275" w:rsidP="002D4275">
            <w:pPr>
              <w:rPr>
                <w:rFonts w:ascii="Times New Roman" w:hAnsi="Times New Roman" w:cs="Times New Roman"/>
                <w:sz w:val="20"/>
                <w:szCs w:val="20"/>
              </w:rPr>
            </w:pPr>
            <w:r w:rsidRPr="00B46A63">
              <w:rPr>
                <w:rFonts w:ascii="Times New Roman" w:hAnsi="Times New Roman" w:cs="Times New Roman"/>
                <w:sz w:val="20"/>
                <w:szCs w:val="20"/>
              </w:rPr>
              <w:t>Ordinary least-squares linear regression using stats::lm</w:t>
            </w:r>
          </w:p>
        </w:tc>
      </w:tr>
      <w:tr w:rsidR="002D4275" w:rsidRPr="00B46A9F" w14:paraId="183BDB3C" w14:textId="77777777" w:rsidTr="00B46A9F">
        <w:trPr>
          <w:jc w:val="center"/>
        </w:trPr>
        <w:tc>
          <w:tcPr>
            <w:tcW w:w="2547" w:type="dxa"/>
            <w:vAlign w:val="center"/>
          </w:tcPr>
          <w:p w14:paraId="28BEE9DE" w14:textId="1A3AB937" w:rsidR="002D4275" w:rsidRPr="00B46A9F" w:rsidRDefault="002D4275" w:rsidP="002D4275">
            <w:pPr>
              <w:rPr>
                <w:rFonts w:ascii="Times New Roman" w:hAnsi="Times New Roman" w:cs="Times New Roman"/>
                <w:sz w:val="20"/>
                <w:szCs w:val="20"/>
              </w:rPr>
            </w:pPr>
            <w:r w:rsidRPr="002D4275">
              <w:rPr>
                <w:rFonts w:ascii="Times New Roman" w:hAnsi="Times New Roman" w:cs="Times New Roman"/>
                <w:sz w:val="20"/>
                <w:szCs w:val="20"/>
              </w:rPr>
              <w:t>Loss function</w:t>
            </w:r>
          </w:p>
        </w:tc>
        <w:tc>
          <w:tcPr>
            <w:tcW w:w="5749" w:type="dxa"/>
            <w:vAlign w:val="center"/>
          </w:tcPr>
          <w:p w14:paraId="3F1EB613" w14:textId="6144662A" w:rsidR="002D4275" w:rsidRPr="00B46A63" w:rsidRDefault="002D4275" w:rsidP="002D4275">
            <w:pPr>
              <w:rPr>
                <w:rFonts w:ascii="Times New Roman" w:hAnsi="Times New Roman" w:cs="Times New Roman"/>
                <w:sz w:val="20"/>
                <w:szCs w:val="20"/>
              </w:rPr>
            </w:pPr>
            <w:r w:rsidRPr="00B46A63">
              <w:rPr>
                <w:rFonts w:ascii="Times New Roman" w:hAnsi="Times New Roman" w:cs="Times New Roman"/>
                <w:sz w:val="20"/>
                <w:szCs w:val="20"/>
              </w:rPr>
              <w:t>Squared-error loss</w:t>
            </w:r>
          </w:p>
        </w:tc>
      </w:tr>
      <w:tr w:rsidR="002D4275" w:rsidRPr="00B46A9F" w14:paraId="5EB42B70" w14:textId="77777777" w:rsidTr="00B46A9F">
        <w:trPr>
          <w:jc w:val="center"/>
        </w:trPr>
        <w:tc>
          <w:tcPr>
            <w:tcW w:w="2547" w:type="dxa"/>
            <w:vAlign w:val="center"/>
          </w:tcPr>
          <w:p w14:paraId="736FF208" w14:textId="286ADBB1" w:rsidR="002D4275" w:rsidRPr="00B46A9F" w:rsidRDefault="002D4275" w:rsidP="002D4275">
            <w:pPr>
              <w:rPr>
                <w:rFonts w:ascii="Times New Roman" w:hAnsi="Times New Roman" w:cs="Times New Roman"/>
                <w:sz w:val="20"/>
                <w:szCs w:val="20"/>
              </w:rPr>
            </w:pPr>
            <w:r w:rsidRPr="00B46A9F">
              <w:rPr>
                <w:rFonts w:ascii="Times New Roman" w:hAnsi="Times New Roman" w:cs="Times New Roman"/>
                <w:sz w:val="20"/>
                <w:szCs w:val="20"/>
              </w:rPr>
              <w:t>Preprocessing</w:t>
            </w:r>
          </w:p>
        </w:tc>
        <w:tc>
          <w:tcPr>
            <w:tcW w:w="5749" w:type="dxa"/>
            <w:vAlign w:val="center"/>
          </w:tcPr>
          <w:p w14:paraId="28A50B6D" w14:textId="20FFC47E" w:rsidR="002D4275" w:rsidRPr="00B46A9F" w:rsidRDefault="002D4275" w:rsidP="002D4275">
            <w:pPr>
              <w:rPr>
                <w:rFonts w:ascii="Times New Roman" w:hAnsi="Times New Roman" w:cs="Times New Roman"/>
                <w:sz w:val="20"/>
                <w:szCs w:val="20"/>
              </w:rPr>
            </w:pPr>
            <w:r w:rsidRPr="00B46A63">
              <w:rPr>
                <w:rFonts w:ascii="Times New Roman" w:hAnsi="Times New Roman" w:cs="Times New Roman"/>
                <w:sz w:val="20"/>
                <w:szCs w:val="20"/>
              </w:rPr>
              <w:t>Chronological ordering, construction of lagged and rolling features, and complete-case restriction</w:t>
            </w:r>
          </w:p>
        </w:tc>
      </w:tr>
      <w:tr w:rsidR="002D4275" w:rsidRPr="00B46A9F" w14:paraId="765D1BAD" w14:textId="77777777" w:rsidTr="00B46A9F">
        <w:trPr>
          <w:jc w:val="center"/>
        </w:trPr>
        <w:tc>
          <w:tcPr>
            <w:tcW w:w="2547" w:type="dxa"/>
            <w:vAlign w:val="center"/>
          </w:tcPr>
          <w:p w14:paraId="40F35588" w14:textId="4920779B" w:rsidR="002D4275" w:rsidRPr="00B46A9F" w:rsidRDefault="002D4275" w:rsidP="002D4275">
            <w:pPr>
              <w:rPr>
                <w:rFonts w:ascii="Times New Roman" w:hAnsi="Times New Roman" w:cs="Times New Roman"/>
                <w:sz w:val="20"/>
                <w:szCs w:val="20"/>
              </w:rPr>
            </w:pPr>
            <w:r w:rsidRPr="002D4275">
              <w:rPr>
                <w:rFonts w:ascii="Times New Roman" w:hAnsi="Times New Roman" w:cs="Times New Roman"/>
                <w:sz w:val="20"/>
                <w:szCs w:val="20"/>
              </w:rPr>
              <w:t>Continuous predictors</w:t>
            </w:r>
          </w:p>
        </w:tc>
        <w:tc>
          <w:tcPr>
            <w:tcW w:w="5749" w:type="dxa"/>
            <w:vAlign w:val="center"/>
          </w:tcPr>
          <w:p w14:paraId="5225272F" w14:textId="0FE1D4DC" w:rsidR="002D4275" w:rsidRPr="00B46A9F" w:rsidRDefault="002D4275" w:rsidP="002D4275">
            <w:pPr>
              <w:rPr>
                <w:rFonts w:ascii="Times New Roman" w:hAnsi="Times New Roman" w:cs="Times New Roman"/>
                <w:sz w:val="20"/>
                <w:szCs w:val="20"/>
              </w:rPr>
            </w:pPr>
            <w:r w:rsidRPr="00B46A63">
              <w:rPr>
                <w:rFonts w:ascii="Times New Roman" w:hAnsi="Times New Roman" w:cs="Times New Roman"/>
                <w:sz w:val="20"/>
                <w:szCs w:val="20"/>
              </w:rPr>
              <w:t>Retained on their original scales</w:t>
            </w:r>
          </w:p>
        </w:tc>
      </w:tr>
      <w:tr w:rsidR="002D4275" w:rsidRPr="00B46A9F" w14:paraId="7150E5DB" w14:textId="77777777" w:rsidTr="00B46A9F">
        <w:trPr>
          <w:jc w:val="center"/>
        </w:trPr>
        <w:tc>
          <w:tcPr>
            <w:tcW w:w="2547" w:type="dxa"/>
            <w:vAlign w:val="center"/>
          </w:tcPr>
          <w:p w14:paraId="4490EC1F" w14:textId="220DC013" w:rsidR="002D4275" w:rsidRPr="002D4275" w:rsidRDefault="002D4275" w:rsidP="002D4275">
            <w:pPr>
              <w:rPr>
                <w:rFonts w:ascii="Times New Roman" w:hAnsi="Times New Roman" w:cs="Times New Roman"/>
                <w:sz w:val="20"/>
                <w:szCs w:val="20"/>
              </w:rPr>
            </w:pPr>
            <w:r w:rsidRPr="002D4275">
              <w:rPr>
                <w:rFonts w:ascii="Times New Roman" w:hAnsi="Times New Roman" w:cs="Times New Roman"/>
                <w:sz w:val="20"/>
                <w:szCs w:val="20"/>
              </w:rPr>
              <w:t>Categorical predictors</w:t>
            </w:r>
          </w:p>
        </w:tc>
        <w:tc>
          <w:tcPr>
            <w:tcW w:w="5749" w:type="dxa"/>
            <w:vAlign w:val="center"/>
          </w:tcPr>
          <w:p w14:paraId="06BF3B41" w14:textId="794F1D34" w:rsidR="002D4275" w:rsidRPr="00B46A63" w:rsidRDefault="002D4275" w:rsidP="002D4275">
            <w:pPr>
              <w:rPr>
                <w:rFonts w:ascii="Times New Roman" w:hAnsi="Times New Roman" w:cs="Times New Roman"/>
                <w:sz w:val="20"/>
                <w:szCs w:val="20"/>
              </w:rPr>
            </w:pPr>
            <w:r w:rsidRPr="002D4275">
              <w:rPr>
                <w:rFonts w:ascii="Times New Roman" w:hAnsi="Times New Roman" w:cs="Times New Roman"/>
                <w:sz w:val="20"/>
                <w:szCs w:val="20"/>
              </w:rPr>
              <w:t>Treatment-coded indicator variables</w:t>
            </w:r>
          </w:p>
        </w:tc>
      </w:tr>
      <w:tr w:rsidR="002D4275" w:rsidRPr="00B46A9F" w14:paraId="71850F2E" w14:textId="77777777" w:rsidTr="006C2A06">
        <w:trPr>
          <w:jc w:val="center"/>
        </w:trPr>
        <w:tc>
          <w:tcPr>
            <w:tcW w:w="2547" w:type="dxa"/>
          </w:tcPr>
          <w:p w14:paraId="746AB126" w14:textId="69F39F86" w:rsidR="002D4275" w:rsidRPr="002D4275" w:rsidRDefault="002D4275" w:rsidP="002D4275">
            <w:pPr>
              <w:rPr>
                <w:rFonts w:ascii="Times New Roman" w:hAnsi="Times New Roman" w:cs="Times New Roman"/>
                <w:sz w:val="20"/>
                <w:szCs w:val="20"/>
              </w:rPr>
            </w:pPr>
            <w:r w:rsidRPr="00B46A63">
              <w:rPr>
                <w:rFonts w:ascii="Times New Roman" w:eastAsia="宋体" w:hAnsi="Times New Roman" w:cs="Times New Roman"/>
                <w:noProof w:val="0"/>
                <w:color w:val="000000"/>
                <w:sz w:val="20"/>
                <w:szCs w:val="20"/>
              </w:rPr>
              <w:t>Regularization</w:t>
            </w:r>
          </w:p>
        </w:tc>
        <w:tc>
          <w:tcPr>
            <w:tcW w:w="5749" w:type="dxa"/>
          </w:tcPr>
          <w:p w14:paraId="3C1AF711" w14:textId="50550FBF" w:rsidR="002D4275" w:rsidRPr="002D4275" w:rsidRDefault="002D4275" w:rsidP="002D4275">
            <w:pPr>
              <w:rPr>
                <w:rFonts w:ascii="Times New Roman" w:hAnsi="Times New Roman" w:cs="Times New Roman"/>
                <w:sz w:val="20"/>
                <w:szCs w:val="20"/>
              </w:rPr>
            </w:pPr>
            <w:r w:rsidRPr="00B46A63">
              <w:rPr>
                <w:rFonts w:ascii="Times New Roman" w:eastAsia="宋体" w:hAnsi="Times New Roman" w:cs="Times New Roman"/>
                <w:noProof w:val="0"/>
                <w:color w:val="000000"/>
                <w:sz w:val="19"/>
                <w:szCs w:val="19"/>
              </w:rPr>
              <w:t>None</w:t>
            </w:r>
          </w:p>
        </w:tc>
      </w:tr>
      <w:tr w:rsidR="002D4275" w:rsidRPr="00B46A9F" w14:paraId="45616253" w14:textId="77777777" w:rsidTr="006C2A06">
        <w:trPr>
          <w:jc w:val="center"/>
        </w:trPr>
        <w:tc>
          <w:tcPr>
            <w:tcW w:w="2547" w:type="dxa"/>
          </w:tcPr>
          <w:p w14:paraId="03E7F2CC" w14:textId="36134378" w:rsidR="002D4275" w:rsidRPr="002D4275" w:rsidRDefault="002D4275" w:rsidP="002D4275">
            <w:pPr>
              <w:rPr>
                <w:rFonts w:ascii="Times New Roman" w:hAnsi="Times New Roman" w:cs="Times New Roman"/>
                <w:sz w:val="20"/>
                <w:szCs w:val="20"/>
              </w:rPr>
            </w:pPr>
            <w:r w:rsidRPr="00B46A63">
              <w:rPr>
                <w:rFonts w:ascii="Times New Roman" w:eastAsia="宋体" w:hAnsi="Times New Roman" w:cs="Times New Roman"/>
                <w:noProof w:val="0"/>
                <w:color w:val="000000"/>
                <w:sz w:val="20"/>
                <w:szCs w:val="20"/>
              </w:rPr>
              <w:t>Hyperparameter tuning</w:t>
            </w:r>
          </w:p>
        </w:tc>
        <w:tc>
          <w:tcPr>
            <w:tcW w:w="5749" w:type="dxa"/>
          </w:tcPr>
          <w:p w14:paraId="745A404B" w14:textId="6A49E4BB" w:rsidR="002D4275" w:rsidRPr="002D4275" w:rsidRDefault="002D4275" w:rsidP="002D4275">
            <w:pPr>
              <w:rPr>
                <w:rFonts w:ascii="Times New Roman" w:hAnsi="Times New Roman" w:cs="Times New Roman"/>
                <w:sz w:val="20"/>
                <w:szCs w:val="20"/>
              </w:rPr>
            </w:pPr>
            <w:r w:rsidRPr="00B46A63">
              <w:rPr>
                <w:rFonts w:ascii="Times New Roman" w:eastAsia="宋体" w:hAnsi="Times New Roman" w:cs="Times New Roman"/>
                <w:noProof w:val="0"/>
                <w:color w:val="000000"/>
                <w:sz w:val="19"/>
                <w:szCs w:val="19"/>
              </w:rPr>
              <w:t>None</w:t>
            </w:r>
          </w:p>
        </w:tc>
      </w:tr>
      <w:tr w:rsidR="002D4275" w:rsidRPr="00B46A9F" w14:paraId="5F8601B7" w14:textId="77777777" w:rsidTr="006C2A06">
        <w:trPr>
          <w:jc w:val="center"/>
        </w:trPr>
        <w:tc>
          <w:tcPr>
            <w:tcW w:w="2547" w:type="dxa"/>
          </w:tcPr>
          <w:p w14:paraId="64EB706B" w14:textId="1C102ED5" w:rsidR="002D4275" w:rsidRPr="002D4275" w:rsidRDefault="002D4275" w:rsidP="002D4275">
            <w:pPr>
              <w:rPr>
                <w:rFonts w:ascii="Times New Roman" w:hAnsi="Times New Roman" w:cs="Times New Roman"/>
                <w:sz w:val="20"/>
                <w:szCs w:val="20"/>
              </w:rPr>
            </w:pPr>
            <w:r w:rsidRPr="00B46A63">
              <w:rPr>
                <w:rFonts w:ascii="Times New Roman" w:eastAsia="宋体" w:hAnsi="Times New Roman" w:cs="Times New Roman"/>
                <w:noProof w:val="0"/>
                <w:color w:val="000000"/>
                <w:sz w:val="20"/>
                <w:szCs w:val="20"/>
              </w:rPr>
              <w:t>Internal resampling</w:t>
            </w:r>
          </w:p>
        </w:tc>
        <w:tc>
          <w:tcPr>
            <w:tcW w:w="5749" w:type="dxa"/>
          </w:tcPr>
          <w:p w14:paraId="3744A54B" w14:textId="2FD8CBAD" w:rsidR="002D4275" w:rsidRPr="002D4275" w:rsidRDefault="002D4275" w:rsidP="002D4275">
            <w:pPr>
              <w:rPr>
                <w:rFonts w:ascii="Times New Roman" w:hAnsi="Times New Roman" w:cs="Times New Roman"/>
                <w:sz w:val="20"/>
                <w:szCs w:val="20"/>
              </w:rPr>
            </w:pPr>
            <w:r w:rsidRPr="00B46A63">
              <w:rPr>
                <w:rFonts w:ascii="Times New Roman" w:eastAsia="宋体" w:hAnsi="Times New Roman" w:cs="Times New Roman"/>
                <w:noProof w:val="0"/>
                <w:color w:val="000000"/>
                <w:sz w:val="19"/>
                <w:szCs w:val="19"/>
              </w:rPr>
              <w:t>None</w:t>
            </w:r>
          </w:p>
        </w:tc>
      </w:tr>
      <w:tr w:rsidR="002D4275" w:rsidRPr="00B46A9F" w14:paraId="761B6AF3" w14:textId="77777777" w:rsidTr="00B46A9F">
        <w:trPr>
          <w:jc w:val="center"/>
        </w:trPr>
        <w:tc>
          <w:tcPr>
            <w:tcW w:w="2547" w:type="dxa"/>
            <w:vAlign w:val="center"/>
          </w:tcPr>
          <w:p w14:paraId="6CFBA160" w14:textId="77777777" w:rsidR="002D4275" w:rsidRPr="00B46A9F" w:rsidRDefault="002D4275" w:rsidP="002D4275">
            <w:pPr>
              <w:rPr>
                <w:rFonts w:ascii="Times New Roman" w:hAnsi="Times New Roman" w:cs="Times New Roman"/>
                <w:sz w:val="20"/>
                <w:szCs w:val="20"/>
              </w:rPr>
            </w:pPr>
            <w:r w:rsidRPr="00B46A9F">
              <w:rPr>
                <w:rFonts w:ascii="Times New Roman" w:hAnsi="Times New Roman" w:cs="Times New Roman"/>
                <w:sz w:val="20"/>
                <w:szCs w:val="20"/>
              </w:rPr>
              <w:t>Random seed</w:t>
            </w:r>
          </w:p>
        </w:tc>
        <w:tc>
          <w:tcPr>
            <w:tcW w:w="5749" w:type="dxa"/>
            <w:vAlign w:val="center"/>
          </w:tcPr>
          <w:p w14:paraId="0C6ABE83" w14:textId="3DFC4BE6" w:rsidR="002D4275" w:rsidRPr="00B46A9F" w:rsidRDefault="002D4275" w:rsidP="002D4275">
            <w:pPr>
              <w:rPr>
                <w:rFonts w:ascii="Times New Roman" w:hAnsi="Times New Roman" w:cs="Times New Roman"/>
                <w:sz w:val="20"/>
                <w:szCs w:val="20"/>
              </w:rPr>
            </w:pPr>
            <w:r w:rsidRPr="00B46A63">
              <w:rPr>
                <w:rFonts w:ascii="Times New Roman" w:hAnsi="Times New Roman" w:cs="Times New Roman"/>
                <w:sz w:val="20"/>
                <w:szCs w:val="20"/>
              </w:rPr>
              <w:t>2026</w:t>
            </w:r>
          </w:p>
        </w:tc>
      </w:tr>
      <w:tr w:rsidR="002D4275" w:rsidRPr="00B46A9F" w14:paraId="1A1675AA" w14:textId="77777777" w:rsidTr="00B46A9F">
        <w:trPr>
          <w:jc w:val="center"/>
        </w:trPr>
        <w:tc>
          <w:tcPr>
            <w:tcW w:w="2547" w:type="dxa"/>
            <w:vAlign w:val="center"/>
          </w:tcPr>
          <w:p w14:paraId="14E2D16F" w14:textId="77777777" w:rsidR="002D4275" w:rsidRPr="00B46A9F" w:rsidRDefault="002D4275" w:rsidP="002D4275">
            <w:pPr>
              <w:rPr>
                <w:rFonts w:ascii="Times New Roman" w:hAnsi="Times New Roman" w:cs="Times New Roman"/>
                <w:sz w:val="20"/>
                <w:szCs w:val="20"/>
              </w:rPr>
            </w:pPr>
            <w:r w:rsidRPr="00B46A9F">
              <w:rPr>
                <w:rFonts w:ascii="Times New Roman" w:hAnsi="Times New Roman" w:cs="Times New Roman"/>
                <w:sz w:val="20"/>
                <w:szCs w:val="20"/>
              </w:rPr>
              <w:t>Permutation importance</w:t>
            </w:r>
          </w:p>
        </w:tc>
        <w:tc>
          <w:tcPr>
            <w:tcW w:w="5749" w:type="dxa"/>
            <w:vAlign w:val="center"/>
          </w:tcPr>
          <w:p w14:paraId="5C894B31" w14:textId="5C78CFF2" w:rsidR="002D4275" w:rsidRPr="00B46A9F" w:rsidRDefault="002D4275" w:rsidP="002D4275">
            <w:pPr>
              <w:rPr>
                <w:rFonts w:ascii="Times New Roman" w:hAnsi="Times New Roman" w:cs="Times New Roman"/>
                <w:sz w:val="20"/>
                <w:szCs w:val="20"/>
              </w:rPr>
            </w:pPr>
            <w:r w:rsidRPr="00B46A63">
              <w:rPr>
                <w:rFonts w:ascii="Times New Roman" w:hAnsi="Times New Roman" w:cs="Times New Roman"/>
                <w:sz w:val="20"/>
                <w:szCs w:val="20"/>
              </w:rPr>
              <w:t>Mean increase in validation-set MAE across 100 repeated 7-day moving-block permutations</w:t>
            </w:r>
          </w:p>
        </w:tc>
      </w:tr>
      <w:tr w:rsidR="002D4275" w:rsidRPr="00B46A9F" w14:paraId="44C28C63" w14:textId="77777777" w:rsidTr="006E1F3B">
        <w:trPr>
          <w:jc w:val="center"/>
        </w:trPr>
        <w:tc>
          <w:tcPr>
            <w:tcW w:w="2547" w:type="dxa"/>
          </w:tcPr>
          <w:p w14:paraId="6AACAC95" w14:textId="2F2382D6" w:rsidR="002D4275" w:rsidRPr="002D4275" w:rsidRDefault="002D4275" w:rsidP="002D4275">
            <w:pPr>
              <w:rPr>
                <w:rFonts w:ascii="Times New Roman" w:hAnsi="Times New Roman" w:cs="Times New Roman"/>
                <w:sz w:val="20"/>
                <w:szCs w:val="20"/>
              </w:rPr>
            </w:pPr>
            <w:r w:rsidRPr="00B46A63">
              <w:rPr>
                <w:rFonts w:ascii="Times New Roman" w:eastAsia="宋体" w:hAnsi="Times New Roman" w:cs="Times New Roman"/>
                <w:noProof w:val="0"/>
                <w:color w:val="000000"/>
                <w:sz w:val="20"/>
                <w:szCs w:val="20"/>
              </w:rPr>
              <w:t>Model-comparison reference</w:t>
            </w:r>
          </w:p>
        </w:tc>
        <w:tc>
          <w:tcPr>
            <w:tcW w:w="5749" w:type="dxa"/>
          </w:tcPr>
          <w:p w14:paraId="7D65C84F" w14:textId="64245906" w:rsidR="002D4275" w:rsidRPr="002D4275" w:rsidRDefault="002D4275" w:rsidP="002D4275">
            <w:pPr>
              <w:rPr>
                <w:rFonts w:ascii="Times New Roman" w:hAnsi="Times New Roman" w:cs="Times New Roman"/>
                <w:sz w:val="20"/>
                <w:szCs w:val="20"/>
              </w:rPr>
            </w:pPr>
            <w:r w:rsidRPr="00B46A63">
              <w:rPr>
                <w:rFonts w:ascii="Times New Roman" w:eastAsia="宋体" w:hAnsi="Times New Roman" w:cs="Times New Roman"/>
                <w:noProof w:val="0"/>
                <w:color w:val="000000"/>
                <w:sz w:val="20"/>
                <w:szCs w:val="20"/>
              </w:rPr>
              <w:t>History-plus-calendar model</w:t>
            </w:r>
          </w:p>
        </w:tc>
      </w:tr>
      <w:tr w:rsidR="002D4275" w:rsidRPr="00B46A9F" w14:paraId="492A6520" w14:textId="77777777" w:rsidTr="006E1F3B">
        <w:trPr>
          <w:jc w:val="center"/>
        </w:trPr>
        <w:tc>
          <w:tcPr>
            <w:tcW w:w="2547" w:type="dxa"/>
          </w:tcPr>
          <w:p w14:paraId="79271A02" w14:textId="005F2A02" w:rsidR="002D4275" w:rsidRPr="002D4275" w:rsidRDefault="002D4275" w:rsidP="002D4275">
            <w:pPr>
              <w:rPr>
                <w:rFonts w:ascii="Times New Roman" w:hAnsi="Times New Roman" w:cs="Times New Roman"/>
                <w:sz w:val="20"/>
                <w:szCs w:val="20"/>
              </w:rPr>
            </w:pPr>
            <w:r w:rsidRPr="00B46A63">
              <w:rPr>
                <w:rFonts w:ascii="Times New Roman" w:eastAsia="宋体" w:hAnsi="Times New Roman" w:cs="Times New Roman"/>
                <w:noProof w:val="0"/>
                <w:color w:val="000000"/>
                <w:sz w:val="20"/>
                <w:szCs w:val="20"/>
              </w:rPr>
              <w:t>Software</w:t>
            </w:r>
          </w:p>
        </w:tc>
        <w:tc>
          <w:tcPr>
            <w:tcW w:w="5749" w:type="dxa"/>
          </w:tcPr>
          <w:p w14:paraId="6C1DAAB2" w14:textId="61783982" w:rsidR="002D4275" w:rsidRPr="002D4275" w:rsidRDefault="002D4275" w:rsidP="002D4275">
            <w:pPr>
              <w:rPr>
                <w:rFonts w:ascii="Times New Roman" w:hAnsi="Times New Roman" w:cs="Times New Roman"/>
                <w:sz w:val="20"/>
                <w:szCs w:val="20"/>
              </w:rPr>
            </w:pPr>
            <w:r w:rsidRPr="00B46A63">
              <w:rPr>
                <w:rFonts w:ascii="Times New Roman" w:eastAsia="宋体" w:hAnsi="Times New Roman" w:cs="Times New Roman"/>
                <w:noProof w:val="0"/>
                <w:color w:val="000000"/>
                <w:sz w:val="20"/>
                <w:szCs w:val="20"/>
              </w:rPr>
              <w:t>R; stats, dplyr, tidyr, lubridate, and ggplot2</w:t>
            </w:r>
          </w:p>
        </w:tc>
      </w:tr>
      <w:tr w:rsidR="002D4275" w:rsidRPr="00B46A9F" w14:paraId="2EC1F590" w14:textId="77777777" w:rsidTr="006E1F3B">
        <w:trPr>
          <w:jc w:val="center"/>
        </w:trPr>
        <w:tc>
          <w:tcPr>
            <w:tcW w:w="2547" w:type="dxa"/>
          </w:tcPr>
          <w:p w14:paraId="69EDAC26" w14:textId="5DDB2F2B" w:rsidR="002D4275" w:rsidRPr="002D4275" w:rsidRDefault="002D4275" w:rsidP="002D4275">
            <w:pPr>
              <w:rPr>
                <w:rFonts w:ascii="Times New Roman" w:hAnsi="Times New Roman" w:cs="Times New Roman"/>
                <w:sz w:val="20"/>
                <w:szCs w:val="20"/>
              </w:rPr>
            </w:pPr>
            <w:r w:rsidRPr="00B46A63">
              <w:rPr>
                <w:rFonts w:ascii="Times New Roman" w:eastAsia="宋体" w:hAnsi="Times New Roman" w:cs="Times New Roman"/>
                <w:noProof w:val="0"/>
                <w:color w:val="000000"/>
                <w:sz w:val="20"/>
                <w:szCs w:val="20"/>
              </w:rPr>
              <w:t>Reproducibility record</w:t>
            </w:r>
          </w:p>
        </w:tc>
        <w:tc>
          <w:tcPr>
            <w:tcW w:w="5749" w:type="dxa"/>
          </w:tcPr>
          <w:p w14:paraId="5DF22D55" w14:textId="5C431381" w:rsidR="002D4275" w:rsidRPr="00B46A9F" w:rsidRDefault="002D4275" w:rsidP="002D4275">
            <w:pPr>
              <w:rPr>
                <w:rFonts w:ascii="Times New Roman" w:hAnsi="Times New Roman" w:cs="Times New Roman"/>
                <w:sz w:val="20"/>
                <w:szCs w:val="20"/>
              </w:rPr>
            </w:pPr>
            <w:r w:rsidRPr="00B46A63">
              <w:rPr>
                <w:rFonts w:ascii="Times New Roman" w:eastAsia="宋体" w:hAnsi="Times New Roman" w:cs="Times New Roman"/>
                <w:noProof w:val="0"/>
                <w:color w:val="000000"/>
                <w:sz w:val="20"/>
                <w:szCs w:val="20"/>
              </w:rPr>
              <w:t>Exact R and package versions archived using sessionInfo() and renv.lock</w:t>
            </w:r>
          </w:p>
        </w:tc>
      </w:tr>
    </w:tbl>
    <w:p w14:paraId="37E189DE" w14:textId="4073E6C3" w:rsidR="00B46A9F" w:rsidRDefault="00B46A9F" w:rsidP="00B46A9F">
      <w:pPr>
        <w:spacing w:line="360" w:lineRule="auto"/>
        <w:rPr>
          <w:rFonts w:ascii="Times New Roman" w:hAnsi="Times New Roman" w:cs="Times New Roman"/>
          <w:sz w:val="20"/>
          <w:szCs w:val="22"/>
        </w:rPr>
      </w:pPr>
    </w:p>
    <w:p w14:paraId="39688F7C" w14:textId="77777777" w:rsidR="00B46A63" w:rsidRDefault="00B46A63" w:rsidP="00B46A9F">
      <w:pPr>
        <w:spacing w:line="360" w:lineRule="auto"/>
        <w:rPr>
          <w:rFonts w:ascii="Times New Roman" w:hAnsi="Times New Roman" w:cs="Times New Roman"/>
          <w:sz w:val="20"/>
          <w:szCs w:val="22"/>
        </w:rPr>
      </w:pPr>
    </w:p>
    <w:p w14:paraId="25A429C9" w14:textId="4804796B" w:rsidR="00B46A9F" w:rsidRPr="00B46A9F" w:rsidRDefault="00B46A9F">
      <w:pPr>
        <w:widowControl/>
        <w:jc w:val="left"/>
        <w:rPr>
          <w:rFonts w:ascii="Times New Roman" w:hAnsi="Times New Roman" w:cs="Times New Roman"/>
          <w:sz w:val="20"/>
          <w:szCs w:val="22"/>
        </w:rPr>
      </w:pPr>
      <w:r>
        <w:rPr>
          <w:rFonts w:ascii="Times New Roman" w:hAnsi="Times New Roman" w:cs="Times New Roman"/>
          <w:sz w:val="20"/>
          <w:szCs w:val="22"/>
        </w:rPr>
        <w:br w:type="page"/>
      </w:r>
    </w:p>
    <w:p w14:paraId="6A0FF81A" w14:textId="77777777" w:rsidR="00B46A9F" w:rsidRDefault="00B46A9F" w:rsidP="003A1021">
      <w:pPr>
        <w:rPr>
          <w:rFonts w:ascii="Times New Roman" w:hAnsi="Times New Roman" w:cs="Times New Roman"/>
          <w:b/>
          <w:bCs/>
          <w:sz w:val="20"/>
          <w:szCs w:val="22"/>
        </w:rPr>
      </w:pPr>
      <w:r w:rsidRPr="00B46A9F">
        <w:rPr>
          <w:rFonts w:ascii="Times New Roman" w:hAnsi="Times New Roman" w:cs="Times New Roman"/>
          <w:b/>
          <w:bCs/>
          <w:sz w:val="20"/>
          <w:szCs w:val="22"/>
        </w:rPr>
        <w:lastRenderedPageBreak/>
        <w:t xml:space="preserve">Supplementary Figure S1. Additional descriptive patterns of ED activity. </w:t>
      </w:r>
    </w:p>
    <w:p w14:paraId="75107BAD" w14:textId="01E38118" w:rsidR="00D614A1" w:rsidRPr="00B46A9F" w:rsidRDefault="00F95459" w:rsidP="003A1021">
      <w:pPr>
        <w:rPr>
          <w:rFonts w:ascii="Times New Roman" w:hAnsi="Times New Roman" w:cs="Times New Roman"/>
          <w:sz w:val="20"/>
          <w:szCs w:val="20"/>
        </w:rPr>
      </w:pPr>
      <w:r w:rsidRPr="00F95459">
        <w:rPr>
          <w:rFonts w:ascii="Times New Roman" w:hAnsi="Times New Roman" w:cs="Times New Roman"/>
          <w:sz w:val="20"/>
          <w:szCs w:val="20"/>
        </w:rPr>
        <w:t>(A) Monthly mean ED visits. (B) Mean daily visits by month and weekday. (C) Mean daily operational volumes. (D) Total counts and frequency of low-frequency acute events</w:t>
      </w:r>
      <w:r w:rsidR="003A1021" w:rsidRPr="00B46A9F">
        <w:rPr>
          <w:rFonts w:ascii="Times New Roman" w:hAnsi="Times New Roman" w:cs="Times New Roman"/>
          <w:sz w:val="20"/>
          <w:szCs w:val="20"/>
        </w:rPr>
        <w:t>.</w:t>
      </w:r>
    </w:p>
    <w:p w14:paraId="202EE42B" w14:textId="4D1CA1A3" w:rsidR="00003CF3" w:rsidRPr="00AE19CD" w:rsidRDefault="00302F4D" w:rsidP="003A1021">
      <w:pPr>
        <w:rPr>
          <w:rFonts w:ascii="Times New Roman" w:hAnsi="Times New Roman" w:cs="Times New Roman"/>
          <w:sz w:val="16"/>
          <w:szCs w:val="20"/>
        </w:rPr>
      </w:pPr>
      <w:r>
        <w:rPr>
          <w:rFonts w:ascii="Times New Roman" w:hAnsi="Times New Roman" w:cs="Times New Roman"/>
          <w:sz w:val="16"/>
          <w:szCs w:val="20"/>
        </w:rPr>
        <w:drawing>
          <wp:inline distT="0" distB="0" distL="0" distR="0" wp14:anchorId="5E71D224" wp14:editId="37F52980">
            <wp:extent cx="5274310" cy="6590665"/>
            <wp:effectExtent l="0" t="0" r="0" b="635"/>
            <wp:docPr id="6" name="图片 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表&#10;&#10;描述已自动生成"/>
                    <pic:cNvPicPr/>
                  </pic:nvPicPr>
                  <pic:blipFill>
                    <a:blip r:embed="rId4"/>
                    <a:stretch>
                      <a:fillRect/>
                    </a:stretch>
                  </pic:blipFill>
                  <pic:spPr>
                    <a:xfrm>
                      <a:off x="0" y="0"/>
                      <a:ext cx="5274310" cy="6590665"/>
                    </a:xfrm>
                    <a:prstGeom prst="rect">
                      <a:avLst/>
                    </a:prstGeom>
                  </pic:spPr>
                </pic:pic>
              </a:graphicData>
            </a:graphic>
          </wp:inline>
        </w:drawing>
      </w:r>
    </w:p>
    <w:p w14:paraId="251F8CCE" w14:textId="73A0D551" w:rsidR="009B27A0" w:rsidRDefault="009B27A0" w:rsidP="00C076D8">
      <w:pPr>
        <w:jc w:val="center"/>
      </w:pPr>
    </w:p>
    <w:p w14:paraId="55399D44" w14:textId="77777777" w:rsidR="009B27A0" w:rsidRDefault="009B27A0">
      <w:pPr>
        <w:widowControl/>
        <w:jc w:val="left"/>
      </w:pPr>
      <w:r>
        <w:br w:type="page"/>
      </w:r>
    </w:p>
    <w:p w14:paraId="3D48D131" w14:textId="77777777" w:rsidR="00B46A9F" w:rsidRDefault="00B46A9F" w:rsidP="009B27A0">
      <w:pPr>
        <w:rPr>
          <w:rFonts w:ascii="Times New Roman" w:hAnsi="Times New Roman" w:cs="Times New Roman"/>
          <w:b/>
          <w:bCs/>
          <w:sz w:val="20"/>
          <w:szCs w:val="22"/>
        </w:rPr>
      </w:pPr>
      <w:r w:rsidRPr="00B46A9F">
        <w:rPr>
          <w:rFonts w:ascii="Times New Roman" w:hAnsi="Times New Roman" w:cs="Times New Roman"/>
          <w:b/>
          <w:bCs/>
          <w:sz w:val="20"/>
          <w:szCs w:val="22"/>
        </w:rPr>
        <w:lastRenderedPageBreak/>
        <w:t xml:space="preserve">Supplementary Figure S2. Supporting analyses for meteorological associations and surgical-trauma procedure activity. </w:t>
      </w:r>
    </w:p>
    <w:p w14:paraId="1DCFE122" w14:textId="243AE52C" w:rsidR="003A1021" w:rsidRPr="00B46A9F" w:rsidRDefault="00F95459" w:rsidP="009B27A0">
      <w:pPr>
        <w:rPr>
          <w:rFonts w:ascii="Times New Roman" w:hAnsi="Times New Roman" w:cs="Times New Roman"/>
          <w:sz w:val="16"/>
          <w:szCs w:val="20"/>
        </w:rPr>
      </w:pPr>
      <w:r w:rsidRPr="00F95459">
        <w:rPr>
          <w:rFonts w:ascii="Times New Roman" w:hAnsi="Times New Roman" w:cs="Times New Roman"/>
          <w:sz w:val="20"/>
          <w:szCs w:val="22"/>
        </w:rPr>
        <w:t>(A) Estimated absolute changes per 1°C. (B) Piecewise temperature associations. (C) Monthly procedure counts verified against source records. Sparse-event estimates are exploratory</w:t>
      </w:r>
      <w:r w:rsidR="009B27A0" w:rsidRPr="00B46A9F">
        <w:rPr>
          <w:rFonts w:ascii="Times New Roman" w:hAnsi="Times New Roman" w:cs="Times New Roman"/>
          <w:sz w:val="16"/>
          <w:szCs w:val="20"/>
        </w:rPr>
        <w:t>.</w:t>
      </w:r>
    </w:p>
    <w:p w14:paraId="7304F9F8" w14:textId="03956EFB" w:rsidR="009B27A0" w:rsidRDefault="009B27A0" w:rsidP="00C076D8">
      <w:pPr>
        <w:jc w:val="center"/>
      </w:pPr>
      <w:r>
        <w:rPr>
          <w:rFonts w:hint="eastAsia"/>
        </w:rPr>
        <w:drawing>
          <wp:inline distT="0" distB="0" distL="0" distR="0" wp14:anchorId="7A9A3201" wp14:editId="05AE6AC2">
            <wp:extent cx="5274310" cy="6617970"/>
            <wp:effectExtent l="0" t="0" r="0" b="0"/>
            <wp:docPr id="2" name="图片 2" descr="图表&#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10;&#10;低可信度描述已自动生成"/>
                    <pic:cNvPicPr/>
                  </pic:nvPicPr>
                  <pic:blipFill>
                    <a:blip r:embed="rId5"/>
                    <a:stretch>
                      <a:fillRect/>
                    </a:stretch>
                  </pic:blipFill>
                  <pic:spPr>
                    <a:xfrm>
                      <a:off x="0" y="0"/>
                      <a:ext cx="5274310" cy="6617970"/>
                    </a:xfrm>
                    <a:prstGeom prst="rect">
                      <a:avLst/>
                    </a:prstGeom>
                  </pic:spPr>
                </pic:pic>
              </a:graphicData>
            </a:graphic>
          </wp:inline>
        </w:drawing>
      </w:r>
    </w:p>
    <w:p w14:paraId="40514A37" w14:textId="77777777" w:rsidR="00B46A9F" w:rsidRDefault="00B46A9F">
      <w:pPr>
        <w:widowControl/>
        <w:jc w:val="left"/>
        <w:rPr>
          <w:rFonts w:ascii="Times New Roman" w:hAnsi="Times New Roman" w:cs="Times New Roman"/>
          <w:b/>
          <w:bCs/>
          <w:sz w:val="20"/>
          <w:szCs w:val="22"/>
        </w:rPr>
      </w:pPr>
      <w:r>
        <w:rPr>
          <w:rFonts w:ascii="Times New Roman" w:hAnsi="Times New Roman" w:cs="Times New Roman"/>
          <w:b/>
          <w:bCs/>
          <w:sz w:val="20"/>
          <w:szCs w:val="22"/>
        </w:rPr>
        <w:br w:type="page"/>
      </w:r>
    </w:p>
    <w:p w14:paraId="3D3E1929" w14:textId="77777777" w:rsidR="00B46A9F" w:rsidRDefault="00B46A9F" w:rsidP="00CB1286">
      <w:pPr>
        <w:widowControl/>
        <w:rPr>
          <w:rFonts w:ascii="Times New Roman" w:hAnsi="Times New Roman" w:cs="Times New Roman"/>
          <w:b/>
          <w:bCs/>
          <w:sz w:val="20"/>
          <w:szCs w:val="22"/>
        </w:rPr>
      </w:pPr>
      <w:r w:rsidRPr="00B46A9F">
        <w:rPr>
          <w:rFonts w:ascii="Times New Roman" w:hAnsi="Times New Roman" w:cs="Times New Roman"/>
          <w:b/>
          <w:bCs/>
          <w:sz w:val="20"/>
          <w:szCs w:val="22"/>
        </w:rPr>
        <w:lastRenderedPageBreak/>
        <w:t xml:space="preserve">Supplementary Figure S3. Supporting analyses for air pollution and ED activity. </w:t>
      </w:r>
    </w:p>
    <w:p w14:paraId="6C191BB3" w14:textId="1C737B99" w:rsidR="004F3BAA" w:rsidRPr="00B46A9F" w:rsidRDefault="00F95459" w:rsidP="00CB1286">
      <w:pPr>
        <w:widowControl/>
        <w:rPr>
          <w:rFonts w:ascii="Times New Roman" w:hAnsi="Times New Roman" w:cs="Times New Roman"/>
          <w:sz w:val="20"/>
          <w:szCs w:val="20"/>
        </w:rPr>
      </w:pPr>
      <w:r w:rsidRPr="00F95459">
        <w:rPr>
          <w:rFonts w:ascii="Times New Roman" w:hAnsi="Times New Roman" w:cs="Times New Roman"/>
          <w:sz w:val="20"/>
          <w:szCs w:val="20"/>
        </w:rPr>
        <w:t>Panels show temporal pollutant-specific AQI patterns, correlations, exposure–response curves, lag-window estimates, observed volume by pollutant AQI quartile, and an exploratory outcome–pollutant matrix. AQI values are unitless indices rather than direct mass concentrations. The matrix should be interpreted from effect sizes and 95% CIs; stars denote nominal p values and do not establish confirmatory significance after multiple comparisons</w:t>
      </w:r>
      <w:r w:rsidR="004F3BAA" w:rsidRPr="00B46A9F">
        <w:rPr>
          <w:rFonts w:ascii="Times New Roman" w:hAnsi="Times New Roman" w:cs="Times New Roman"/>
          <w:sz w:val="20"/>
          <w:szCs w:val="20"/>
        </w:rPr>
        <w:t>.</w:t>
      </w:r>
    </w:p>
    <w:p w14:paraId="23FA1EAF" w14:textId="042BC9D5" w:rsidR="004F3BAA" w:rsidRDefault="001314F5" w:rsidP="00C076D8">
      <w:pPr>
        <w:widowControl/>
        <w:jc w:val="center"/>
      </w:pPr>
      <w:r>
        <w:drawing>
          <wp:inline distT="0" distB="0" distL="0" distR="0" wp14:anchorId="1EEAB41E" wp14:editId="5DF682E0">
            <wp:extent cx="5274310" cy="5274310"/>
            <wp:effectExtent l="0" t="0" r="0" b="0"/>
            <wp:docPr id="5" name="图片 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表&#10;&#10;描述已自动生成"/>
                    <pic:cNvPicPr/>
                  </pic:nvPicPr>
                  <pic:blipFill>
                    <a:blip r:embed="rId6"/>
                    <a:stretch>
                      <a:fillRect/>
                    </a:stretch>
                  </pic:blipFill>
                  <pic:spPr>
                    <a:xfrm>
                      <a:off x="0" y="0"/>
                      <a:ext cx="5274310" cy="5274310"/>
                    </a:xfrm>
                    <a:prstGeom prst="rect">
                      <a:avLst/>
                    </a:prstGeom>
                  </pic:spPr>
                </pic:pic>
              </a:graphicData>
            </a:graphic>
          </wp:inline>
        </w:drawing>
      </w:r>
      <w:r w:rsidR="009B27A0">
        <w:br w:type="page"/>
      </w:r>
    </w:p>
    <w:p w14:paraId="184C44B0" w14:textId="77777777" w:rsidR="00B46A9F" w:rsidRDefault="00B46A9F" w:rsidP="00CB1286">
      <w:pPr>
        <w:widowControl/>
        <w:rPr>
          <w:rFonts w:ascii="Times New Roman" w:eastAsia="Times New Roman" w:hAnsi="Times New Roman"/>
          <w:color w:val="000000" w:themeColor="text1"/>
          <w:sz w:val="20"/>
          <w:szCs w:val="22"/>
        </w:rPr>
      </w:pPr>
      <w:r w:rsidRPr="00B46A9F">
        <w:rPr>
          <w:rFonts w:ascii="Times New Roman" w:eastAsia="Times New Roman" w:hAnsi="Times New Roman"/>
          <w:b/>
          <w:color w:val="000000" w:themeColor="text1"/>
          <w:sz w:val="20"/>
          <w:szCs w:val="22"/>
        </w:rPr>
        <w:lastRenderedPageBreak/>
        <w:t>Supplementary Figure S4.</w:t>
      </w:r>
      <w:r w:rsidRPr="00B46A9F">
        <w:rPr>
          <w:rFonts w:ascii="Times New Roman" w:eastAsia="Times New Roman" w:hAnsi="Times New Roman"/>
          <w:color w:val="000000" w:themeColor="text1"/>
          <w:sz w:val="20"/>
          <w:szCs w:val="22"/>
        </w:rPr>
        <w:t xml:space="preserve"> </w:t>
      </w:r>
      <w:r w:rsidRPr="00B46A9F">
        <w:rPr>
          <w:rFonts w:ascii="Times New Roman" w:eastAsia="Times New Roman" w:hAnsi="Times New Roman"/>
          <w:b/>
          <w:bCs/>
          <w:color w:val="000000" w:themeColor="text1"/>
          <w:sz w:val="20"/>
          <w:szCs w:val="22"/>
        </w:rPr>
        <w:t xml:space="preserve">Prediction diagnostics and secondary-outcome analyses. </w:t>
      </w:r>
    </w:p>
    <w:p w14:paraId="570F83C2" w14:textId="173854B1" w:rsidR="004F3BAA" w:rsidRPr="00B46A9F" w:rsidRDefault="00F95459" w:rsidP="00CB1286">
      <w:pPr>
        <w:widowControl/>
        <w:rPr>
          <w:rFonts w:ascii="Times New Roman" w:eastAsia="Times New Roman" w:hAnsi="Times New Roman"/>
          <w:color w:val="000000" w:themeColor="text1"/>
          <w:sz w:val="20"/>
          <w:szCs w:val="22"/>
        </w:rPr>
      </w:pPr>
      <w:r w:rsidRPr="00F95459">
        <w:rPr>
          <w:rFonts w:ascii="Times New Roman" w:eastAsia="Times New Roman" w:hAnsi="Times New Roman"/>
          <w:color w:val="000000" w:themeColor="text1"/>
          <w:sz w:val="20"/>
          <w:szCs w:val="22"/>
        </w:rPr>
        <w:t>Residuals are observed minus predicted visits. Permutation importance is the increase in validation-set MAE after predictor permutation. The analysis used observed target-day environmental data and therefore represents retrospective contemporaneous prediction rather than prospective forecasting</w:t>
      </w:r>
      <w:r w:rsidR="00B46A9F" w:rsidRPr="00B46A9F">
        <w:rPr>
          <w:rFonts w:ascii="Times New Roman" w:eastAsia="Times New Roman" w:hAnsi="Times New Roman"/>
          <w:color w:val="000000" w:themeColor="text1"/>
          <w:sz w:val="20"/>
          <w:szCs w:val="22"/>
        </w:rPr>
        <w:t>.</w:t>
      </w:r>
    </w:p>
    <w:p w14:paraId="3A2C058D" w14:textId="69E485D7" w:rsidR="00A57250" w:rsidRDefault="001E3FEF" w:rsidP="00C076D8">
      <w:pPr>
        <w:widowControl/>
        <w:jc w:val="center"/>
      </w:pPr>
      <w:r>
        <w:rPr>
          <w:rFonts w:hint="eastAsia"/>
        </w:rPr>
        <w:drawing>
          <wp:inline distT="0" distB="0" distL="0" distR="0" wp14:anchorId="0B241E70" wp14:editId="0B8CE140">
            <wp:extent cx="5274310" cy="6126480"/>
            <wp:effectExtent l="0" t="0" r="0" b="0"/>
            <wp:docPr id="4" name="图片 4" descr="图表, 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表, 日程表&#10;&#10;描述已自动生成"/>
                    <pic:cNvPicPr/>
                  </pic:nvPicPr>
                  <pic:blipFill>
                    <a:blip r:embed="rId7"/>
                    <a:stretch>
                      <a:fillRect/>
                    </a:stretch>
                  </pic:blipFill>
                  <pic:spPr>
                    <a:xfrm>
                      <a:off x="0" y="0"/>
                      <a:ext cx="5274310" cy="6126480"/>
                    </a:xfrm>
                    <a:prstGeom prst="rect">
                      <a:avLst/>
                    </a:prstGeom>
                  </pic:spPr>
                </pic:pic>
              </a:graphicData>
            </a:graphic>
          </wp:inline>
        </w:drawing>
      </w:r>
    </w:p>
    <w:p w14:paraId="7EEF8AA7" w14:textId="77777777" w:rsidR="00A57250" w:rsidRDefault="00A57250">
      <w:pPr>
        <w:widowControl/>
        <w:jc w:val="left"/>
      </w:pPr>
      <w:r>
        <w:br w:type="page"/>
      </w:r>
    </w:p>
    <w:p w14:paraId="0070D818" w14:textId="77777777" w:rsidR="00B46A9F" w:rsidRDefault="00B46A9F" w:rsidP="00CB1286">
      <w:pPr>
        <w:widowControl/>
        <w:rPr>
          <w:rFonts w:ascii="Times New Roman" w:hAnsi="Times New Roman" w:cs="Times New Roman"/>
          <w:b/>
          <w:bCs/>
          <w:sz w:val="20"/>
          <w:szCs w:val="22"/>
        </w:rPr>
      </w:pPr>
      <w:r w:rsidRPr="00B46A9F">
        <w:rPr>
          <w:rFonts w:ascii="Times New Roman" w:hAnsi="Times New Roman" w:cs="Times New Roman"/>
          <w:b/>
          <w:bCs/>
          <w:sz w:val="20"/>
          <w:szCs w:val="22"/>
        </w:rPr>
        <w:lastRenderedPageBreak/>
        <w:t xml:space="preserve">Supplementary Figure S5. Supporting analyses for environmental profiles and high-demand ED days. </w:t>
      </w:r>
    </w:p>
    <w:p w14:paraId="15940084" w14:textId="00F3FA63" w:rsidR="001E3FEF" w:rsidRDefault="00F95459" w:rsidP="00CB1286">
      <w:pPr>
        <w:widowControl/>
        <w:rPr>
          <w:rFonts w:ascii="Times New Roman" w:hAnsi="Times New Roman" w:cs="Times New Roman"/>
          <w:sz w:val="20"/>
          <w:szCs w:val="20"/>
        </w:rPr>
      </w:pPr>
      <w:r w:rsidRPr="00F95459">
        <w:rPr>
          <w:rFonts w:ascii="Times New Roman" w:hAnsi="Times New Roman" w:cs="Times New Roman"/>
          <w:sz w:val="20"/>
          <w:szCs w:val="20"/>
        </w:rPr>
        <w:t>(A) ED volume by profile. (B) Temporal distribution of high-demand days. (C) High-demand frequency by compound exposure burden. (D) Sensitivity to P85, P90, and P95 thresholds. All profile analyses are descriptive and require temporal or external validation</w:t>
      </w:r>
      <w:r w:rsidR="00A57250" w:rsidRPr="00B46A9F">
        <w:rPr>
          <w:rFonts w:ascii="Times New Roman" w:hAnsi="Times New Roman" w:cs="Times New Roman"/>
          <w:sz w:val="20"/>
          <w:szCs w:val="20"/>
        </w:rPr>
        <w:t>.</w:t>
      </w:r>
    </w:p>
    <w:p w14:paraId="71A21AD2" w14:textId="3E7AFD11" w:rsidR="00B46A9F" w:rsidRPr="00B46A9F" w:rsidRDefault="00C66417" w:rsidP="00CB1286">
      <w:pPr>
        <w:widowControl/>
        <w:rPr>
          <w:rFonts w:ascii="Times New Roman" w:hAnsi="Times New Roman" w:cs="Times New Roman"/>
          <w:sz w:val="20"/>
          <w:szCs w:val="20"/>
        </w:rPr>
      </w:pPr>
      <w:r>
        <w:rPr>
          <w:rFonts w:ascii="Times New Roman" w:hAnsi="Times New Roman" w:cs="Times New Roman"/>
          <w:sz w:val="20"/>
          <w:szCs w:val="20"/>
        </w:rPr>
        <w:drawing>
          <wp:inline distT="0" distB="0" distL="0" distR="0" wp14:anchorId="0F4B4308" wp14:editId="38FAC63D">
            <wp:extent cx="5274310" cy="5487670"/>
            <wp:effectExtent l="0" t="0" r="0" b="0"/>
            <wp:docPr id="1"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10;&#10;描述已自动生成"/>
                    <pic:cNvPicPr/>
                  </pic:nvPicPr>
                  <pic:blipFill>
                    <a:blip r:embed="rId8"/>
                    <a:stretch>
                      <a:fillRect/>
                    </a:stretch>
                  </pic:blipFill>
                  <pic:spPr>
                    <a:xfrm>
                      <a:off x="0" y="0"/>
                      <a:ext cx="5274310" cy="5487670"/>
                    </a:xfrm>
                    <a:prstGeom prst="rect">
                      <a:avLst/>
                    </a:prstGeom>
                  </pic:spPr>
                </pic:pic>
              </a:graphicData>
            </a:graphic>
          </wp:inline>
        </w:drawing>
      </w:r>
    </w:p>
    <w:p w14:paraId="162B20F0" w14:textId="041EB331" w:rsidR="00A57250" w:rsidRDefault="00A57250" w:rsidP="00C076D8">
      <w:pPr>
        <w:widowControl/>
        <w:jc w:val="center"/>
      </w:pPr>
    </w:p>
    <w:sectPr w:rsidR="00A572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34A"/>
    <w:rsid w:val="00000FC1"/>
    <w:rsid w:val="00003CF3"/>
    <w:rsid w:val="0001136D"/>
    <w:rsid w:val="00014D1A"/>
    <w:rsid w:val="00036F30"/>
    <w:rsid w:val="00037CC6"/>
    <w:rsid w:val="00041178"/>
    <w:rsid w:val="000414CA"/>
    <w:rsid w:val="00046569"/>
    <w:rsid w:val="000541B8"/>
    <w:rsid w:val="00056CFD"/>
    <w:rsid w:val="00064980"/>
    <w:rsid w:val="00070B13"/>
    <w:rsid w:val="00074039"/>
    <w:rsid w:val="00076451"/>
    <w:rsid w:val="000874D9"/>
    <w:rsid w:val="000A585E"/>
    <w:rsid w:val="000B5341"/>
    <w:rsid w:val="000B62DA"/>
    <w:rsid w:val="000C31AF"/>
    <w:rsid w:val="000C401D"/>
    <w:rsid w:val="000C7861"/>
    <w:rsid w:val="000D2FF7"/>
    <w:rsid w:val="000D688C"/>
    <w:rsid w:val="000D74D8"/>
    <w:rsid w:val="000F1A79"/>
    <w:rsid w:val="000F6EA3"/>
    <w:rsid w:val="000F7C24"/>
    <w:rsid w:val="00100A1C"/>
    <w:rsid w:val="00101EF8"/>
    <w:rsid w:val="00102AE5"/>
    <w:rsid w:val="00102E3D"/>
    <w:rsid w:val="001031BC"/>
    <w:rsid w:val="00116606"/>
    <w:rsid w:val="00117953"/>
    <w:rsid w:val="00123074"/>
    <w:rsid w:val="0012407F"/>
    <w:rsid w:val="00126E5A"/>
    <w:rsid w:val="001306EF"/>
    <w:rsid w:val="001314F5"/>
    <w:rsid w:val="0013535C"/>
    <w:rsid w:val="0014727D"/>
    <w:rsid w:val="00154FB3"/>
    <w:rsid w:val="00164FCF"/>
    <w:rsid w:val="00180531"/>
    <w:rsid w:val="00183073"/>
    <w:rsid w:val="00191E3E"/>
    <w:rsid w:val="001A3D09"/>
    <w:rsid w:val="001A583D"/>
    <w:rsid w:val="001A63A6"/>
    <w:rsid w:val="001A6E05"/>
    <w:rsid w:val="001C28EB"/>
    <w:rsid w:val="001D02E0"/>
    <w:rsid w:val="001E38A3"/>
    <w:rsid w:val="001E3FEF"/>
    <w:rsid w:val="001F16A9"/>
    <w:rsid w:val="001F4CDD"/>
    <w:rsid w:val="001F67FF"/>
    <w:rsid w:val="00204493"/>
    <w:rsid w:val="0020536F"/>
    <w:rsid w:val="0020568C"/>
    <w:rsid w:val="002107EE"/>
    <w:rsid w:val="0022225B"/>
    <w:rsid w:val="00227C3A"/>
    <w:rsid w:val="0023007D"/>
    <w:rsid w:val="00231550"/>
    <w:rsid w:val="0023304E"/>
    <w:rsid w:val="00236B32"/>
    <w:rsid w:val="00247D2F"/>
    <w:rsid w:val="00247D53"/>
    <w:rsid w:val="002534AB"/>
    <w:rsid w:val="0025576F"/>
    <w:rsid w:val="00284EB9"/>
    <w:rsid w:val="00293263"/>
    <w:rsid w:val="00293B71"/>
    <w:rsid w:val="002A2005"/>
    <w:rsid w:val="002B1373"/>
    <w:rsid w:val="002B186E"/>
    <w:rsid w:val="002C1A86"/>
    <w:rsid w:val="002C3FDD"/>
    <w:rsid w:val="002D028A"/>
    <w:rsid w:val="002D4275"/>
    <w:rsid w:val="002E69FC"/>
    <w:rsid w:val="002F2227"/>
    <w:rsid w:val="002F5AD2"/>
    <w:rsid w:val="00300088"/>
    <w:rsid w:val="0030072A"/>
    <w:rsid w:val="00302F4D"/>
    <w:rsid w:val="0030663F"/>
    <w:rsid w:val="00307B15"/>
    <w:rsid w:val="0033640A"/>
    <w:rsid w:val="00340804"/>
    <w:rsid w:val="00340870"/>
    <w:rsid w:val="0034091A"/>
    <w:rsid w:val="003442E7"/>
    <w:rsid w:val="00350C74"/>
    <w:rsid w:val="0037095A"/>
    <w:rsid w:val="00372ADE"/>
    <w:rsid w:val="00372BD4"/>
    <w:rsid w:val="00375028"/>
    <w:rsid w:val="003862EB"/>
    <w:rsid w:val="00392003"/>
    <w:rsid w:val="003939CE"/>
    <w:rsid w:val="00395499"/>
    <w:rsid w:val="003A1021"/>
    <w:rsid w:val="003A4950"/>
    <w:rsid w:val="003B2E83"/>
    <w:rsid w:val="003B4627"/>
    <w:rsid w:val="003B58A1"/>
    <w:rsid w:val="003B6E8E"/>
    <w:rsid w:val="003C205C"/>
    <w:rsid w:val="003D28D2"/>
    <w:rsid w:val="003E24B9"/>
    <w:rsid w:val="003E5D22"/>
    <w:rsid w:val="003F2C57"/>
    <w:rsid w:val="003F30AC"/>
    <w:rsid w:val="00401C90"/>
    <w:rsid w:val="0040630C"/>
    <w:rsid w:val="0041194B"/>
    <w:rsid w:val="00423D8D"/>
    <w:rsid w:val="004251BB"/>
    <w:rsid w:val="0043586E"/>
    <w:rsid w:val="00443C8D"/>
    <w:rsid w:val="00451A00"/>
    <w:rsid w:val="00452CA4"/>
    <w:rsid w:val="00467F82"/>
    <w:rsid w:val="00477567"/>
    <w:rsid w:val="0048033E"/>
    <w:rsid w:val="00480B83"/>
    <w:rsid w:val="00486290"/>
    <w:rsid w:val="00486696"/>
    <w:rsid w:val="00486D34"/>
    <w:rsid w:val="00497A2D"/>
    <w:rsid w:val="004B0A66"/>
    <w:rsid w:val="004B55C6"/>
    <w:rsid w:val="004B65DF"/>
    <w:rsid w:val="004C05E6"/>
    <w:rsid w:val="004C323B"/>
    <w:rsid w:val="004D295F"/>
    <w:rsid w:val="004D2E2B"/>
    <w:rsid w:val="004D3711"/>
    <w:rsid w:val="004F3BAA"/>
    <w:rsid w:val="004F7660"/>
    <w:rsid w:val="00501AA1"/>
    <w:rsid w:val="0050602D"/>
    <w:rsid w:val="005067E5"/>
    <w:rsid w:val="00511DE1"/>
    <w:rsid w:val="00517867"/>
    <w:rsid w:val="0052032A"/>
    <w:rsid w:val="0052315C"/>
    <w:rsid w:val="00524613"/>
    <w:rsid w:val="00525FE5"/>
    <w:rsid w:val="00526C64"/>
    <w:rsid w:val="00533B0B"/>
    <w:rsid w:val="00554F1A"/>
    <w:rsid w:val="00556BAB"/>
    <w:rsid w:val="0056053A"/>
    <w:rsid w:val="00560F09"/>
    <w:rsid w:val="00564057"/>
    <w:rsid w:val="005675AF"/>
    <w:rsid w:val="00570ACB"/>
    <w:rsid w:val="00570AF0"/>
    <w:rsid w:val="00583F82"/>
    <w:rsid w:val="005974B1"/>
    <w:rsid w:val="005A0762"/>
    <w:rsid w:val="005A2D4F"/>
    <w:rsid w:val="005A2FA6"/>
    <w:rsid w:val="005A72E8"/>
    <w:rsid w:val="005B0634"/>
    <w:rsid w:val="005B584B"/>
    <w:rsid w:val="005C0D41"/>
    <w:rsid w:val="005C3AA0"/>
    <w:rsid w:val="005D0E58"/>
    <w:rsid w:val="005E6869"/>
    <w:rsid w:val="00606E92"/>
    <w:rsid w:val="00616411"/>
    <w:rsid w:val="00621D5A"/>
    <w:rsid w:val="00625593"/>
    <w:rsid w:val="006328D8"/>
    <w:rsid w:val="0063476F"/>
    <w:rsid w:val="00635712"/>
    <w:rsid w:val="006457B7"/>
    <w:rsid w:val="00655331"/>
    <w:rsid w:val="00655BDE"/>
    <w:rsid w:val="00666BBA"/>
    <w:rsid w:val="00667B03"/>
    <w:rsid w:val="00670541"/>
    <w:rsid w:val="006824B2"/>
    <w:rsid w:val="0068593F"/>
    <w:rsid w:val="00695EE8"/>
    <w:rsid w:val="006A23B0"/>
    <w:rsid w:val="006A5FE7"/>
    <w:rsid w:val="006B0DED"/>
    <w:rsid w:val="006B5151"/>
    <w:rsid w:val="006B549B"/>
    <w:rsid w:val="006D63D0"/>
    <w:rsid w:val="006D7ED5"/>
    <w:rsid w:val="006E4437"/>
    <w:rsid w:val="006F0BAE"/>
    <w:rsid w:val="006F382A"/>
    <w:rsid w:val="006F623C"/>
    <w:rsid w:val="00702F89"/>
    <w:rsid w:val="007051C6"/>
    <w:rsid w:val="00706CB2"/>
    <w:rsid w:val="00707119"/>
    <w:rsid w:val="007154FA"/>
    <w:rsid w:val="00720DE8"/>
    <w:rsid w:val="00721533"/>
    <w:rsid w:val="00721FA5"/>
    <w:rsid w:val="00727912"/>
    <w:rsid w:val="007302E6"/>
    <w:rsid w:val="007339C1"/>
    <w:rsid w:val="00736EE7"/>
    <w:rsid w:val="00747A23"/>
    <w:rsid w:val="00750737"/>
    <w:rsid w:val="00751913"/>
    <w:rsid w:val="00752430"/>
    <w:rsid w:val="007630FD"/>
    <w:rsid w:val="0077376D"/>
    <w:rsid w:val="0078079F"/>
    <w:rsid w:val="00782993"/>
    <w:rsid w:val="00786EAE"/>
    <w:rsid w:val="00791729"/>
    <w:rsid w:val="007953C0"/>
    <w:rsid w:val="007A76BD"/>
    <w:rsid w:val="007B4A55"/>
    <w:rsid w:val="007C0F08"/>
    <w:rsid w:val="007D385B"/>
    <w:rsid w:val="007D40E4"/>
    <w:rsid w:val="007D72B9"/>
    <w:rsid w:val="007E0F07"/>
    <w:rsid w:val="007F105E"/>
    <w:rsid w:val="00802960"/>
    <w:rsid w:val="00803B74"/>
    <w:rsid w:val="0080663A"/>
    <w:rsid w:val="00807F8D"/>
    <w:rsid w:val="00821F40"/>
    <w:rsid w:val="00862754"/>
    <w:rsid w:val="0086279F"/>
    <w:rsid w:val="008647A7"/>
    <w:rsid w:val="00865E28"/>
    <w:rsid w:val="00870075"/>
    <w:rsid w:val="008934DA"/>
    <w:rsid w:val="008A6784"/>
    <w:rsid w:val="008B7D99"/>
    <w:rsid w:val="008C3B1C"/>
    <w:rsid w:val="008C76F1"/>
    <w:rsid w:val="008D054B"/>
    <w:rsid w:val="008D17C8"/>
    <w:rsid w:val="008D1EE1"/>
    <w:rsid w:val="008D723E"/>
    <w:rsid w:val="008E0363"/>
    <w:rsid w:val="008F09AE"/>
    <w:rsid w:val="00904CF2"/>
    <w:rsid w:val="009105AC"/>
    <w:rsid w:val="00912CC4"/>
    <w:rsid w:val="00920BC3"/>
    <w:rsid w:val="00923808"/>
    <w:rsid w:val="009260CA"/>
    <w:rsid w:val="00931DBD"/>
    <w:rsid w:val="00947A04"/>
    <w:rsid w:val="00962AC2"/>
    <w:rsid w:val="009735BC"/>
    <w:rsid w:val="00977528"/>
    <w:rsid w:val="0098152B"/>
    <w:rsid w:val="00991949"/>
    <w:rsid w:val="009949FF"/>
    <w:rsid w:val="00995DF6"/>
    <w:rsid w:val="009A41DE"/>
    <w:rsid w:val="009B27A0"/>
    <w:rsid w:val="009B318F"/>
    <w:rsid w:val="009C4861"/>
    <w:rsid w:val="009C4EE3"/>
    <w:rsid w:val="009D1661"/>
    <w:rsid w:val="009D41A1"/>
    <w:rsid w:val="009E25FD"/>
    <w:rsid w:val="009E7CC1"/>
    <w:rsid w:val="009F0D9D"/>
    <w:rsid w:val="00A00949"/>
    <w:rsid w:val="00A03251"/>
    <w:rsid w:val="00A131B9"/>
    <w:rsid w:val="00A14058"/>
    <w:rsid w:val="00A26D3F"/>
    <w:rsid w:val="00A26DAF"/>
    <w:rsid w:val="00A36C24"/>
    <w:rsid w:val="00A37C62"/>
    <w:rsid w:val="00A50C8A"/>
    <w:rsid w:val="00A57250"/>
    <w:rsid w:val="00A6238D"/>
    <w:rsid w:val="00A62DD5"/>
    <w:rsid w:val="00A63E4A"/>
    <w:rsid w:val="00A73FB5"/>
    <w:rsid w:val="00A77C25"/>
    <w:rsid w:val="00A86FB5"/>
    <w:rsid w:val="00A87F92"/>
    <w:rsid w:val="00A96DE9"/>
    <w:rsid w:val="00AA37F9"/>
    <w:rsid w:val="00AA444F"/>
    <w:rsid w:val="00AA4876"/>
    <w:rsid w:val="00AA4BD0"/>
    <w:rsid w:val="00AB6E8A"/>
    <w:rsid w:val="00AE19CD"/>
    <w:rsid w:val="00AE7006"/>
    <w:rsid w:val="00AF682F"/>
    <w:rsid w:val="00B00B8A"/>
    <w:rsid w:val="00B120E2"/>
    <w:rsid w:val="00B14B88"/>
    <w:rsid w:val="00B157DB"/>
    <w:rsid w:val="00B1596D"/>
    <w:rsid w:val="00B163BA"/>
    <w:rsid w:val="00B211BC"/>
    <w:rsid w:val="00B32574"/>
    <w:rsid w:val="00B365A5"/>
    <w:rsid w:val="00B41FD1"/>
    <w:rsid w:val="00B42F51"/>
    <w:rsid w:val="00B46A63"/>
    <w:rsid w:val="00B46A9F"/>
    <w:rsid w:val="00B54A54"/>
    <w:rsid w:val="00B619AC"/>
    <w:rsid w:val="00B65F95"/>
    <w:rsid w:val="00B715E6"/>
    <w:rsid w:val="00B73204"/>
    <w:rsid w:val="00B8084A"/>
    <w:rsid w:val="00B83D5B"/>
    <w:rsid w:val="00B84E57"/>
    <w:rsid w:val="00B92E0A"/>
    <w:rsid w:val="00BA243A"/>
    <w:rsid w:val="00BA277C"/>
    <w:rsid w:val="00BA40CE"/>
    <w:rsid w:val="00BA6319"/>
    <w:rsid w:val="00BC0F89"/>
    <w:rsid w:val="00BC3F15"/>
    <w:rsid w:val="00BC5F08"/>
    <w:rsid w:val="00BD36D8"/>
    <w:rsid w:val="00BD38D3"/>
    <w:rsid w:val="00BD5A14"/>
    <w:rsid w:val="00BE2428"/>
    <w:rsid w:val="00BE4904"/>
    <w:rsid w:val="00BF2BAA"/>
    <w:rsid w:val="00BF783B"/>
    <w:rsid w:val="00C054D8"/>
    <w:rsid w:val="00C076D8"/>
    <w:rsid w:val="00C10BC9"/>
    <w:rsid w:val="00C12E64"/>
    <w:rsid w:val="00C21CEB"/>
    <w:rsid w:val="00C2221D"/>
    <w:rsid w:val="00C23FB5"/>
    <w:rsid w:val="00C25B0E"/>
    <w:rsid w:val="00C3018B"/>
    <w:rsid w:val="00C34C2B"/>
    <w:rsid w:val="00C42382"/>
    <w:rsid w:val="00C51551"/>
    <w:rsid w:val="00C66417"/>
    <w:rsid w:val="00C7199E"/>
    <w:rsid w:val="00C82FCA"/>
    <w:rsid w:val="00C85FEE"/>
    <w:rsid w:val="00C86472"/>
    <w:rsid w:val="00C86477"/>
    <w:rsid w:val="00C9318A"/>
    <w:rsid w:val="00C95303"/>
    <w:rsid w:val="00C9534A"/>
    <w:rsid w:val="00C95620"/>
    <w:rsid w:val="00CA3E01"/>
    <w:rsid w:val="00CA4415"/>
    <w:rsid w:val="00CA759D"/>
    <w:rsid w:val="00CB0C15"/>
    <w:rsid w:val="00CB1286"/>
    <w:rsid w:val="00CB6178"/>
    <w:rsid w:val="00CC42AD"/>
    <w:rsid w:val="00CD691B"/>
    <w:rsid w:val="00CE203E"/>
    <w:rsid w:val="00CE4457"/>
    <w:rsid w:val="00CE5302"/>
    <w:rsid w:val="00CE6526"/>
    <w:rsid w:val="00CF6D43"/>
    <w:rsid w:val="00D1296A"/>
    <w:rsid w:val="00D26DA8"/>
    <w:rsid w:val="00D35AE3"/>
    <w:rsid w:val="00D3742B"/>
    <w:rsid w:val="00D43C17"/>
    <w:rsid w:val="00D43F6B"/>
    <w:rsid w:val="00D5128F"/>
    <w:rsid w:val="00D56334"/>
    <w:rsid w:val="00D608B9"/>
    <w:rsid w:val="00D614A1"/>
    <w:rsid w:val="00D7065A"/>
    <w:rsid w:val="00D71803"/>
    <w:rsid w:val="00D82910"/>
    <w:rsid w:val="00D92121"/>
    <w:rsid w:val="00D92A1B"/>
    <w:rsid w:val="00D92D2D"/>
    <w:rsid w:val="00D945F1"/>
    <w:rsid w:val="00DA4159"/>
    <w:rsid w:val="00DB71EA"/>
    <w:rsid w:val="00DE3491"/>
    <w:rsid w:val="00DF7EA3"/>
    <w:rsid w:val="00E03679"/>
    <w:rsid w:val="00E073AE"/>
    <w:rsid w:val="00E2026F"/>
    <w:rsid w:val="00E23E06"/>
    <w:rsid w:val="00E30CAF"/>
    <w:rsid w:val="00E45F5D"/>
    <w:rsid w:val="00E50FDE"/>
    <w:rsid w:val="00E6053A"/>
    <w:rsid w:val="00E6559B"/>
    <w:rsid w:val="00E675B7"/>
    <w:rsid w:val="00E73A4A"/>
    <w:rsid w:val="00E83221"/>
    <w:rsid w:val="00E83C5C"/>
    <w:rsid w:val="00E9388D"/>
    <w:rsid w:val="00E954C1"/>
    <w:rsid w:val="00E97ECB"/>
    <w:rsid w:val="00EB3E2B"/>
    <w:rsid w:val="00EB6198"/>
    <w:rsid w:val="00EC2CAB"/>
    <w:rsid w:val="00EC2CB0"/>
    <w:rsid w:val="00EC5941"/>
    <w:rsid w:val="00ED0370"/>
    <w:rsid w:val="00ED3CE1"/>
    <w:rsid w:val="00ED5F66"/>
    <w:rsid w:val="00EE005D"/>
    <w:rsid w:val="00EF31D9"/>
    <w:rsid w:val="00F066C0"/>
    <w:rsid w:val="00F33A17"/>
    <w:rsid w:val="00F45D8C"/>
    <w:rsid w:val="00F46B87"/>
    <w:rsid w:val="00F477A4"/>
    <w:rsid w:val="00F50634"/>
    <w:rsid w:val="00F54CD3"/>
    <w:rsid w:val="00F5634A"/>
    <w:rsid w:val="00F607DD"/>
    <w:rsid w:val="00F611DF"/>
    <w:rsid w:val="00F644D6"/>
    <w:rsid w:val="00F8041C"/>
    <w:rsid w:val="00F823A1"/>
    <w:rsid w:val="00F855CC"/>
    <w:rsid w:val="00F91613"/>
    <w:rsid w:val="00F94D46"/>
    <w:rsid w:val="00F95051"/>
    <w:rsid w:val="00F95459"/>
    <w:rsid w:val="00FA7701"/>
    <w:rsid w:val="00FA78D5"/>
    <w:rsid w:val="00FB52DE"/>
    <w:rsid w:val="00FC0FE3"/>
    <w:rsid w:val="00FD20EA"/>
    <w:rsid w:val="00FD2B6C"/>
    <w:rsid w:val="00FD58E8"/>
    <w:rsid w:val="00FE3CE0"/>
    <w:rsid w:val="00FE3EA0"/>
    <w:rsid w:val="00FF5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5605BAB"/>
  <w14:discardImageEditingData/>
  <w14:defaultImageDpi w14:val="32767"/>
  <w15:chartTrackingRefBased/>
  <w15:docId w15:val="{1835DE82-4D12-0649-B63B-F21392E05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6A9F"/>
    <w:rPr>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Legend">
    <w:name w:val="Figure Legend"/>
    <w:rsid w:val="00B46A9F"/>
    <w:pPr>
      <w:spacing w:after="60"/>
    </w:pPr>
    <w:rPr>
      <w:rFonts w:ascii="Times New Roman" w:eastAsia="Times New Roman" w:hAnsi="Times New Roman"/>
      <w:kern w:val="0"/>
      <w:sz w:val="18"/>
      <w:szCs w:val="22"/>
      <w:lang w:eastAsia="en-US"/>
    </w:rPr>
  </w:style>
  <w:style w:type="paragraph" w:styleId="a4">
    <w:name w:val="List Paragraph"/>
    <w:basedOn w:val="a"/>
    <w:uiPriority w:val="34"/>
    <w:qFormat/>
    <w:rsid w:val="00B46A9F"/>
    <w:pPr>
      <w:ind w:firstLineChars="200" w:firstLine="420"/>
    </w:pPr>
  </w:style>
  <w:style w:type="paragraph" w:styleId="a5">
    <w:name w:val="Normal (Web)"/>
    <w:basedOn w:val="a"/>
    <w:uiPriority w:val="99"/>
    <w:semiHidden/>
    <w:unhideWhenUsed/>
    <w:rsid w:val="00B46A63"/>
    <w:pPr>
      <w:widowControl/>
      <w:spacing w:before="100" w:beforeAutospacing="1" w:after="100" w:afterAutospacing="1"/>
      <w:jc w:val="left"/>
    </w:pPr>
    <w:rPr>
      <w:rFonts w:ascii="宋体" w:eastAsia="宋体" w:hAnsi="宋体" w:cs="宋体"/>
      <w:noProof w:val="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08589">
      <w:bodyDiv w:val="1"/>
      <w:marLeft w:val="0"/>
      <w:marRight w:val="0"/>
      <w:marTop w:val="0"/>
      <w:marBottom w:val="0"/>
      <w:divBdr>
        <w:top w:val="none" w:sz="0" w:space="0" w:color="auto"/>
        <w:left w:val="none" w:sz="0" w:space="0" w:color="auto"/>
        <w:bottom w:val="none" w:sz="0" w:space="0" w:color="auto"/>
        <w:right w:val="none" w:sz="0" w:space="0" w:color="auto"/>
      </w:divBdr>
    </w:div>
    <w:div w:id="179585189">
      <w:bodyDiv w:val="1"/>
      <w:marLeft w:val="0"/>
      <w:marRight w:val="0"/>
      <w:marTop w:val="0"/>
      <w:marBottom w:val="0"/>
      <w:divBdr>
        <w:top w:val="none" w:sz="0" w:space="0" w:color="auto"/>
        <w:left w:val="none" w:sz="0" w:space="0" w:color="auto"/>
        <w:bottom w:val="none" w:sz="0" w:space="0" w:color="auto"/>
        <w:right w:val="none" w:sz="0" w:space="0" w:color="auto"/>
      </w:divBdr>
    </w:div>
    <w:div w:id="351222916">
      <w:bodyDiv w:val="1"/>
      <w:marLeft w:val="0"/>
      <w:marRight w:val="0"/>
      <w:marTop w:val="0"/>
      <w:marBottom w:val="0"/>
      <w:divBdr>
        <w:top w:val="none" w:sz="0" w:space="0" w:color="auto"/>
        <w:left w:val="none" w:sz="0" w:space="0" w:color="auto"/>
        <w:bottom w:val="none" w:sz="0" w:space="0" w:color="auto"/>
        <w:right w:val="none" w:sz="0" w:space="0" w:color="auto"/>
      </w:divBdr>
    </w:div>
    <w:div w:id="734934573">
      <w:bodyDiv w:val="1"/>
      <w:marLeft w:val="0"/>
      <w:marRight w:val="0"/>
      <w:marTop w:val="0"/>
      <w:marBottom w:val="0"/>
      <w:divBdr>
        <w:top w:val="none" w:sz="0" w:space="0" w:color="auto"/>
        <w:left w:val="none" w:sz="0" w:space="0" w:color="auto"/>
        <w:bottom w:val="none" w:sz="0" w:space="0" w:color="auto"/>
        <w:right w:val="none" w:sz="0" w:space="0" w:color="auto"/>
      </w:divBdr>
    </w:div>
    <w:div w:id="929436177">
      <w:bodyDiv w:val="1"/>
      <w:marLeft w:val="0"/>
      <w:marRight w:val="0"/>
      <w:marTop w:val="0"/>
      <w:marBottom w:val="0"/>
      <w:divBdr>
        <w:top w:val="none" w:sz="0" w:space="0" w:color="auto"/>
        <w:left w:val="none" w:sz="0" w:space="0" w:color="auto"/>
        <w:bottom w:val="none" w:sz="0" w:space="0" w:color="auto"/>
        <w:right w:val="none" w:sz="0" w:space="0" w:color="auto"/>
      </w:divBdr>
    </w:div>
    <w:div w:id="1244678924">
      <w:bodyDiv w:val="1"/>
      <w:marLeft w:val="0"/>
      <w:marRight w:val="0"/>
      <w:marTop w:val="0"/>
      <w:marBottom w:val="0"/>
      <w:divBdr>
        <w:top w:val="none" w:sz="0" w:space="0" w:color="auto"/>
        <w:left w:val="none" w:sz="0" w:space="0" w:color="auto"/>
        <w:bottom w:val="none" w:sz="0" w:space="0" w:color="auto"/>
        <w:right w:val="none" w:sz="0" w:space="0" w:color="auto"/>
      </w:divBdr>
    </w:div>
    <w:div w:id="1335835813">
      <w:bodyDiv w:val="1"/>
      <w:marLeft w:val="0"/>
      <w:marRight w:val="0"/>
      <w:marTop w:val="0"/>
      <w:marBottom w:val="0"/>
      <w:divBdr>
        <w:top w:val="none" w:sz="0" w:space="0" w:color="auto"/>
        <w:left w:val="none" w:sz="0" w:space="0" w:color="auto"/>
        <w:bottom w:val="none" w:sz="0" w:space="0" w:color="auto"/>
        <w:right w:val="none" w:sz="0" w:space="0" w:color="auto"/>
      </w:divBdr>
    </w:div>
    <w:div w:id="1749615949">
      <w:bodyDiv w:val="1"/>
      <w:marLeft w:val="0"/>
      <w:marRight w:val="0"/>
      <w:marTop w:val="0"/>
      <w:marBottom w:val="0"/>
      <w:divBdr>
        <w:top w:val="none" w:sz="0" w:space="0" w:color="auto"/>
        <w:left w:val="none" w:sz="0" w:space="0" w:color="auto"/>
        <w:bottom w:val="none" w:sz="0" w:space="0" w:color="auto"/>
        <w:right w:val="none" w:sz="0" w:space="0" w:color="auto"/>
      </w:divBdr>
    </w:div>
    <w:div w:id="1867984365">
      <w:bodyDiv w:val="1"/>
      <w:marLeft w:val="0"/>
      <w:marRight w:val="0"/>
      <w:marTop w:val="0"/>
      <w:marBottom w:val="0"/>
      <w:divBdr>
        <w:top w:val="none" w:sz="0" w:space="0" w:color="auto"/>
        <w:left w:val="none" w:sz="0" w:space="0" w:color="auto"/>
        <w:bottom w:val="none" w:sz="0" w:space="0" w:color="auto"/>
        <w:right w:val="none" w:sz="0" w:space="0" w:color="auto"/>
      </w:divBdr>
    </w:div>
    <w:div w:id="2041397036">
      <w:bodyDiv w:val="1"/>
      <w:marLeft w:val="0"/>
      <w:marRight w:val="0"/>
      <w:marTop w:val="0"/>
      <w:marBottom w:val="0"/>
      <w:divBdr>
        <w:top w:val="none" w:sz="0" w:space="0" w:color="auto"/>
        <w:left w:val="none" w:sz="0" w:space="0" w:color="auto"/>
        <w:bottom w:val="none" w:sz="0" w:space="0" w:color="auto"/>
        <w:right w:val="none" w:sz="0" w:space="0" w:color="auto"/>
      </w:divBdr>
    </w:div>
    <w:div w:id="213964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1119</Words>
  <Characters>6381</Characters>
  <Application>Microsoft Office Word</Application>
  <DocSecurity>0</DocSecurity>
  <Lines>53</Lines>
  <Paragraphs>14</Paragraphs>
  <ScaleCrop>false</ScaleCrop>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e69587</dc:creator>
  <cp:keywords/>
  <dc:description/>
  <cp:lastModifiedBy>e69587</cp:lastModifiedBy>
  <cp:revision>16</cp:revision>
  <dcterms:created xsi:type="dcterms:W3CDTF">2026-07-02T02:18:00Z</dcterms:created>
  <dcterms:modified xsi:type="dcterms:W3CDTF">2026-07-20T09:06:00Z</dcterms:modified>
</cp:coreProperties>
</file>