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366A62" w14:textId="150070D9" w:rsidR="002347A2" w:rsidRDefault="006A5120" w:rsidP="00240A99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0EFC8F45" wp14:editId="406DFD58">
            <wp:extent cx="4680000" cy="4228603"/>
            <wp:effectExtent l="0" t="0" r="0" b="635"/>
            <wp:docPr id="115217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17839" name="Picture 11521783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422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ED5D5" w14:textId="77777777" w:rsidR="00605BF1" w:rsidRDefault="00605BF1" w:rsidP="002347A2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776D6F4" w14:textId="73F728FB" w:rsidR="002347A2" w:rsidRPr="00605BF1" w:rsidRDefault="002347A2" w:rsidP="002347A2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2347A2">
        <w:rPr>
          <w:rFonts w:ascii="Arial" w:hAnsi="Arial" w:cs="Arial"/>
          <w:b/>
          <w:bCs/>
          <w:sz w:val="20"/>
          <w:szCs w:val="20"/>
          <w:lang w:val="en-US"/>
        </w:rPr>
        <w:t>Extended Data Fig. 1 | Root class</w:t>
      </w:r>
      <w:r w:rsidR="00E72A42">
        <w:rPr>
          <w:rFonts w:ascii="Arial" w:hAnsi="Arial" w:cs="Arial"/>
          <w:b/>
          <w:bCs/>
          <w:sz w:val="20"/>
          <w:szCs w:val="20"/>
          <w:lang w:val="en-US"/>
        </w:rPr>
        <w:t>-</w:t>
      </w:r>
      <w:r w:rsidR="00327205">
        <w:rPr>
          <w:rFonts w:ascii="Arial" w:hAnsi="Arial" w:cs="Arial"/>
          <w:b/>
          <w:bCs/>
          <w:sz w:val="20"/>
          <w:szCs w:val="20"/>
          <w:lang w:val="en-US"/>
        </w:rPr>
        <w:t xml:space="preserve">specific </w:t>
      </w:r>
      <w:r w:rsidRPr="002347A2">
        <w:rPr>
          <w:rFonts w:ascii="Arial" w:hAnsi="Arial" w:cs="Arial"/>
          <w:b/>
          <w:bCs/>
          <w:sz w:val="20"/>
          <w:szCs w:val="20"/>
          <w:lang w:val="en-US"/>
        </w:rPr>
        <w:t>growth</w:t>
      </w:r>
      <w:r w:rsidR="00327205">
        <w:rPr>
          <w:rFonts w:ascii="Arial" w:hAnsi="Arial" w:cs="Arial"/>
          <w:b/>
          <w:bCs/>
          <w:sz w:val="20"/>
          <w:szCs w:val="20"/>
          <w:lang w:val="en-US"/>
        </w:rPr>
        <w:t xml:space="preserve"> dynamics</w:t>
      </w:r>
      <w:r w:rsidRPr="002347A2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666CF1">
        <w:rPr>
          <w:rFonts w:ascii="Arial" w:hAnsi="Arial" w:cs="Arial"/>
          <w:b/>
          <w:bCs/>
          <w:sz w:val="20"/>
          <w:szCs w:val="20"/>
          <w:lang w:val="en-US"/>
        </w:rPr>
        <w:t xml:space="preserve">and GSA </w:t>
      </w:r>
      <w:r w:rsidRPr="002347A2">
        <w:rPr>
          <w:rFonts w:ascii="Arial" w:hAnsi="Arial" w:cs="Arial"/>
          <w:b/>
          <w:bCs/>
          <w:sz w:val="20"/>
          <w:szCs w:val="20"/>
          <w:lang w:val="en-US"/>
        </w:rPr>
        <w:t>in wheat.</w:t>
      </w:r>
    </w:p>
    <w:p w14:paraId="19398590" w14:textId="04DC0884" w:rsidR="002347A2" w:rsidRDefault="002347A2" w:rsidP="002347A2">
      <w:pPr>
        <w:jc w:val="both"/>
        <w:rPr>
          <w:rFonts w:ascii="Arial" w:hAnsi="Arial" w:cs="Arial"/>
          <w:sz w:val="20"/>
          <w:szCs w:val="20"/>
          <w:lang w:val="en-US"/>
        </w:rPr>
      </w:pPr>
      <w:r w:rsidRPr="002347A2">
        <w:rPr>
          <w:rFonts w:ascii="Arial" w:hAnsi="Arial" w:cs="Arial"/>
          <w:b/>
          <w:bCs/>
          <w:sz w:val="20"/>
          <w:szCs w:val="20"/>
          <w:lang w:val="en-US"/>
        </w:rPr>
        <w:t>a,</w:t>
      </w:r>
      <w:r w:rsidRPr="002347A2">
        <w:rPr>
          <w:rFonts w:ascii="Arial" w:hAnsi="Arial" w:cs="Arial"/>
          <w:sz w:val="20"/>
          <w:szCs w:val="20"/>
          <w:lang w:val="en-US"/>
        </w:rPr>
        <w:t xml:space="preserve"> Representative image of a wheat (</w:t>
      </w:r>
      <w:r w:rsidRPr="002347A2">
        <w:rPr>
          <w:rFonts w:ascii="Arial" w:hAnsi="Arial" w:cs="Arial"/>
          <w:i/>
          <w:iCs/>
          <w:sz w:val="20"/>
          <w:szCs w:val="20"/>
          <w:lang w:val="en-US"/>
        </w:rPr>
        <w:t xml:space="preserve">Triticum aestivum </w:t>
      </w:r>
      <w:r w:rsidRPr="002347A2">
        <w:rPr>
          <w:rFonts w:ascii="Arial" w:hAnsi="Arial" w:cs="Arial"/>
          <w:sz w:val="20"/>
          <w:szCs w:val="20"/>
          <w:lang w:val="en-US"/>
        </w:rPr>
        <w:t xml:space="preserve">cv. Cadenza) root system grown in growth pouches, highlighting primary and seminal root classes. </w:t>
      </w:r>
      <w:r w:rsidRPr="002347A2">
        <w:rPr>
          <w:rFonts w:ascii="Arial" w:hAnsi="Arial" w:cs="Arial"/>
          <w:b/>
          <w:bCs/>
          <w:sz w:val="20"/>
          <w:szCs w:val="20"/>
          <w:lang w:val="en-US"/>
        </w:rPr>
        <w:t>b,</w:t>
      </w:r>
      <w:r w:rsidRPr="002347A2">
        <w:rPr>
          <w:rFonts w:ascii="Arial" w:hAnsi="Arial" w:cs="Arial"/>
          <w:sz w:val="20"/>
          <w:szCs w:val="20"/>
          <w:lang w:val="en-US"/>
        </w:rPr>
        <w:t xml:space="preserve"> Emergence angles of primary, seminal 1, and seminal 2 roots. </w:t>
      </w:r>
      <w:r w:rsidRPr="002347A2">
        <w:rPr>
          <w:rFonts w:ascii="Arial" w:hAnsi="Arial" w:cs="Arial"/>
          <w:b/>
          <w:bCs/>
          <w:sz w:val="20"/>
          <w:szCs w:val="20"/>
          <w:lang w:val="en-US"/>
        </w:rPr>
        <w:t>c,</w:t>
      </w:r>
      <w:r w:rsidRPr="002347A2">
        <w:rPr>
          <w:rFonts w:ascii="Arial" w:hAnsi="Arial" w:cs="Arial"/>
          <w:sz w:val="20"/>
          <w:szCs w:val="20"/>
          <w:lang w:val="en-US"/>
        </w:rPr>
        <w:t xml:space="preserve"> Vertical growth dynamics following transfer to plates, shown for each root class across time. Data are shown as box plots with individual data points overlaid (n = 30 plants). Different letters indicate statistically significant differences between root classes within each treatment (one-way ANOVA, α = 0.05). </w:t>
      </w:r>
      <w:r w:rsidRPr="002347A2">
        <w:rPr>
          <w:rFonts w:ascii="Arial" w:hAnsi="Arial" w:cs="Arial"/>
          <w:b/>
          <w:bCs/>
          <w:sz w:val="20"/>
          <w:szCs w:val="20"/>
          <w:lang w:val="en-US"/>
        </w:rPr>
        <w:t xml:space="preserve">d, </w:t>
      </w:r>
      <w:r w:rsidRPr="002347A2">
        <w:rPr>
          <w:rFonts w:ascii="Arial" w:hAnsi="Arial" w:cs="Arial"/>
          <w:sz w:val="20"/>
          <w:szCs w:val="20"/>
          <w:lang w:val="en-US"/>
        </w:rPr>
        <w:t xml:space="preserve">Representative images of initial and after 48 hours of 90° gravistimulation. </w:t>
      </w:r>
      <w:r w:rsidRPr="002347A2">
        <w:rPr>
          <w:rFonts w:ascii="Arial" w:hAnsi="Arial" w:cs="Arial"/>
          <w:b/>
          <w:bCs/>
          <w:sz w:val="20"/>
          <w:szCs w:val="20"/>
          <w:lang w:val="en-US"/>
        </w:rPr>
        <w:t>e, </w:t>
      </w:r>
      <w:r w:rsidR="004C437A">
        <w:rPr>
          <w:rFonts w:ascii="Arial" w:hAnsi="Arial" w:cs="Arial"/>
          <w:sz w:val="20"/>
          <w:szCs w:val="20"/>
          <w:lang w:val="en-US"/>
        </w:rPr>
        <w:t>R</w:t>
      </w:r>
      <w:r w:rsidRPr="002347A2">
        <w:rPr>
          <w:rFonts w:ascii="Arial" w:hAnsi="Arial" w:cs="Arial"/>
          <w:sz w:val="20"/>
          <w:szCs w:val="20"/>
          <w:lang w:val="en-US"/>
        </w:rPr>
        <w:t>oot class-wise comparison of tip angles before and after 48 hours of 90° gravistimulation. Data are shown as box plots with paired points (n = 10 plants)</w:t>
      </w:r>
      <w:r w:rsidR="0066545A">
        <w:rPr>
          <w:rFonts w:ascii="Arial" w:hAnsi="Arial" w:cs="Arial"/>
          <w:sz w:val="20"/>
          <w:szCs w:val="20"/>
          <w:lang w:val="en-US"/>
        </w:rPr>
        <w:t xml:space="preserve"> to indicate their initial and post-rotation GSA</w:t>
      </w:r>
      <w:r w:rsidRPr="002347A2">
        <w:rPr>
          <w:rFonts w:ascii="Arial" w:hAnsi="Arial" w:cs="Arial"/>
          <w:sz w:val="20"/>
          <w:szCs w:val="20"/>
          <w:lang w:val="en-US"/>
        </w:rPr>
        <w:t>. Different letters indicate statistically significant differences between time points within each root class (one-way ANOVA, α = 0.05).</w:t>
      </w:r>
      <w:r w:rsidR="00E40919">
        <w:rPr>
          <w:rFonts w:ascii="Arial" w:hAnsi="Arial" w:cs="Arial"/>
          <w:sz w:val="20"/>
          <w:szCs w:val="20"/>
          <w:lang w:val="en-US"/>
        </w:rPr>
        <w:t xml:space="preserve"> Scale bar represents 5mm. </w:t>
      </w:r>
      <w:r w:rsidRPr="002347A2">
        <w:rPr>
          <w:rFonts w:ascii="Arial" w:hAnsi="Arial" w:cs="Arial"/>
          <w:sz w:val="20"/>
          <w:szCs w:val="20"/>
          <w:lang w:val="en-US"/>
        </w:rPr>
        <w:t> </w:t>
      </w:r>
    </w:p>
    <w:p w14:paraId="7C29FED3" w14:textId="77777777" w:rsidR="00571C54" w:rsidRDefault="00571C54" w:rsidP="002347A2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F42E244" w14:textId="2A1908D0" w:rsidR="00571C54" w:rsidRPr="002347A2" w:rsidRDefault="00571C54" w:rsidP="006921B5">
      <w:pPr>
        <w:jc w:val="center"/>
        <w:rPr>
          <w:rFonts w:ascii="Arial" w:hAnsi="Arial" w:cs="Arial"/>
          <w:sz w:val="20"/>
          <w:szCs w:val="20"/>
        </w:rPr>
      </w:pPr>
      <w:r w:rsidRPr="006921B5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3ACE705D" wp14:editId="28C03EB7">
            <wp:extent cx="4680000" cy="6897073"/>
            <wp:effectExtent l="0" t="0" r="0" b="0"/>
            <wp:docPr id="762833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689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B3B68" w14:textId="75A15FD6" w:rsidR="00A069B3" w:rsidRDefault="00A069B3" w:rsidP="006921B5">
      <w:pPr>
        <w:jc w:val="both"/>
        <w:rPr>
          <w:rFonts w:ascii="Arial" w:hAnsi="Arial" w:cs="Arial"/>
          <w:sz w:val="20"/>
          <w:szCs w:val="20"/>
        </w:rPr>
      </w:pPr>
      <w:r w:rsidRPr="00E672C4">
        <w:rPr>
          <w:rFonts w:ascii="Arial" w:hAnsi="Arial" w:cs="Arial"/>
          <w:b/>
          <w:bCs/>
          <w:sz w:val="20"/>
          <w:szCs w:val="20"/>
          <w:lang w:val="en-US"/>
        </w:rPr>
        <w:t>Extended Data Fig. 2 | Improved assay for quantifying root gravitropic responses in cereals.</w:t>
      </w:r>
      <w:r w:rsidRPr="00E672C4">
        <w:rPr>
          <w:rFonts w:ascii="Arial" w:hAnsi="Arial" w:cs="Arial"/>
          <w:sz w:val="20"/>
          <w:szCs w:val="20"/>
        </w:rPr>
        <w:br/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 xml:space="preserve">a,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Representative images of a wheat </w:t>
      </w:r>
      <w:r w:rsidR="00B91A52" w:rsidRPr="002347A2">
        <w:rPr>
          <w:rFonts w:ascii="Arial" w:hAnsi="Arial" w:cs="Arial"/>
          <w:sz w:val="20"/>
          <w:szCs w:val="20"/>
          <w:lang w:val="en-US"/>
        </w:rPr>
        <w:t>(</w:t>
      </w:r>
      <w:r w:rsidR="00B91A52" w:rsidRPr="002347A2">
        <w:rPr>
          <w:rFonts w:ascii="Arial" w:hAnsi="Arial" w:cs="Arial"/>
          <w:i/>
          <w:iCs/>
          <w:sz w:val="20"/>
          <w:szCs w:val="20"/>
          <w:lang w:val="en-US"/>
        </w:rPr>
        <w:t xml:space="preserve">Triticum aestivum </w:t>
      </w:r>
      <w:r w:rsidR="00B91A52" w:rsidRPr="002347A2">
        <w:rPr>
          <w:rFonts w:ascii="Arial" w:hAnsi="Arial" w:cs="Arial"/>
          <w:sz w:val="20"/>
          <w:szCs w:val="20"/>
          <w:lang w:val="en-US"/>
        </w:rPr>
        <w:t>cv. Cadenza)</w:t>
      </w:r>
      <w:r w:rsidR="00B91A52">
        <w:rPr>
          <w:rFonts w:ascii="Arial" w:hAnsi="Arial" w:cs="Arial"/>
          <w:sz w:val="20"/>
          <w:szCs w:val="20"/>
          <w:lang w:val="en-US"/>
        </w:rPr>
        <w:t xml:space="preserve">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root system following 90° reorientation in agar-only plate assays at 0 and 18 h timepoints.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 xml:space="preserve">b,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Representative images showing increased root hair formation and growth arrest as roots exit the agar surface in conventional plate assays.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c,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Representative images of 90° reorientation in an integrated growth pouch-agar plate system at initial and final timepoints. Root growth trajectories of each class are highlighted post-reorientation (red, green, and blue lines), showing continued growth across all root classes. See Supplementary Note 1 for assay development and application in gravitropic and antigravitropic response measurements.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d-f</w:t>
      </w:r>
      <w:r w:rsidR="003F646A">
        <w:rPr>
          <w:rFonts w:ascii="Arial" w:hAnsi="Arial" w:cs="Arial"/>
          <w:b/>
          <w:bCs/>
          <w:sz w:val="20"/>
          <w:szCs w:val="20"/>
          <w:lang w:val="en-US"/>
        </w:rPr>
        <w:t>,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Representative initial and final timepoint images of root tips experiencing different gravistimul</w:t>
      </w:r>
      <w:r w:rsidR="001340A8">
        <w:rPr>
          <w:rFonts w:ascii="Arial" w:hAnsi="Arial" w:cs="Arial"/>
          <w:sz w:val="20"/>
          <w:szCs w:val="20"/>
          <w:lang w:val="en-US"/>
        </w:rPr>
        <w:t>i</w:t>
      </w:r>
      <w:r w:rsidR="006E2849">
        <w:rPr>
          <w:rFonts w:ascii="Arial" w:hAnsi="Arial" w:cs="Arial"/>
          <w:sz w:val="20"/>
          <w:szCs w:val="20"/>
          <w:lang w:val="en-US"/>
        </w:rPr>
        <w:t>;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</w:t>
      </w:r>
      <w:r w:rsidRPr="00C976CA">
        <w:rPr>
          <w:rFonts w:ascii="Arial" w:hAnsi="Arial" w:cs="Arial"/>
          <w:sz w:val="20"/>
          <w:szCs w:val="20"/>
          <w:lang w:val="en-US"/>
        </w:rPr>
        <w:t>(</w:t>
      </w:r>
      <w:r w:rsidRPr="00C976CA">
        <w:rPr>
          <w:rFonts w:ascii="Arial" w:hAnsi="Arial" w:cs="Arial"/>
          <w:b/>
          <w:bCs/>
          <w:sz w:val="20"/>
          <w:szCs w:val="20"/>
          <w:lang w:val="en-US"/>
        </w:rPr>
        <w:t>d</w:t>
      </w:r>
      <w:r w:rsidRPr="00C976CA">
        <w:rPr>
          <w:rFonts w:ascii="Arial" w:hAnsi="Arial" w:cs="Arial"/>
          <w:sz w:val="20"/>
          <w:szCs w:val="20"/>
          <w:lang w:val="en-US"/>
        </w:rPr>
        <w:t xml:space="preserve">) </w:t>
      </w:r>
      <w:r w:rsidR="007A5CD8" w:rsidRPr="00C976CA">
        <w:rPr>
          <w:rFonts w:ascii="Arial" w:hAnsi="Arial" w:cs="Arial"/>
          <w:sz w:val="20"/>
          <w:szCs w:val="20"/>
          <w:lang w:val="en-US"/>
        </w:rPr>
        <w:t xml:space="preserve">Seminal 1 root experiencing </w:t>
      </w:r>
      <w:r w:rsidR="00C976CA" w:rsidRPr="00C976CA">
        <w:rPr>
          <w:rFonts w:ascii="Arial" w:hAnsi="Arial" w:cs="Arial"/>
          <w:sz w:val="20"/>
          <w:szCs w:val="20"/>
          <w:lang w:val="en-US"/>
        </w:rPr>
        <w:t>&gt;</w:t>
      </w:r>
      <w:r w:rsidR="007A5CD8" w:rsidRPr="00C976CA">
        <w:rPr>
          <w:rFonts w:ascii="Arial" w:hAnsi="Arial" w:cs="Arial"/>
          <w:sz w:val="20"/>
          <w:szCs w:val="20"/>
          <w:lang w:val="en-US"/>
        </w:rPr>
        <w:t>90°</w:t>
      </w:r>
      <w:r w:rsidR="00C976CA" w:rsidRPr="00C976CA">
        <w:rPr>
          <w:rFonts w:ascii="Arial" w:hAnsi="Arial" w:cs="Arial"/>
          <w:sz w:val="20"/>
          <w:szCs w:val="20"/>
          <w:lang w:val="en-US"/>
        </w:rPr>
        <w:t xml:space="preserve"> gravistimulus</w:t>
      </w:r>
      <w:r w:rsidR="007A5CD8" w:rsidRPr="00C976CA">
        <w:rPr>
          <w:rFonts w:ascii="Arial" w:hAnsi="Arial" w:cs="Arial"/>
          <w:sz w:val="20"/>
          <w:szCs w:val="20"/>
          <w:lang w:val="en-US"/>
        </w:rPr>
        <w:t xml:space="preserve"> </w:t>
      </w:r>
      <w:r w:rsidRPr="00C976CA">
        <w:rPr>
          <w:rFonts w:ascii="Arial" w:hAnsi="Arial" w:cs="Arial"/>
          <w:sz w:val="20"/>
          <w:szCs w:val="20"/>
          <w:lang w:val="en-US"/>
        </w:rPr>
        <w:t>(</w:t>
      </w:r>
      <w:r w:rsidRPr="00C976CA">
        <w:rPr>
          <w:rFonts w:ascii="Arial" w:hAnsi="Arial" w:cs="Arial"/>
          <w:b/>
          <w:bCs/>
          <w:sz w:val="20"/>
          <w:szCs w:val="20"/>
          <w:lang w:val="en-US"/>
        </w:rPr>
        <w:t>e</w:t>
      </w:r>
      <w:r w:rsidRPr="00C976CA">
        <w:rPr>
          <w:rFonts w:ascii="Arial" w:hAnsi="Arial" w:cs="Arial"/>
          <w:sz w:val="20"/>
          <w:szCs w:val="20"/>
          <w:lang w:val="en-US"/>
        </w:rPr>
        <w:t xml:space="preserve">) </w:t>
      </w:r>
      <w:r w:rsidR="007A5CD8" w:rsidRPr="00C976CA">
        <w:rPr>
          <w:rFonts w:ascii="Arial" w:hAnsi="Arial" w:cs="Arial"/>
          <w:sz w:val="20"/>
          <w:szCs w:val="20"/>
          <w:lang w:val="en-US"/>
        </w:rPr>
        <w:t xml:space="preserve">Primary root tip experiencing ~90° gravistimulus </w:t>
      </w:r>
      <w:r w:rsidRPr="00C976CA">
        <w:rPr>
          <w:rFonts w:ascii="Arial" w:hAnsi="Arial" w:cs="Arial"/>
          <w:sz w:val="20"/>
          <w:szCs w:val="20"/>
          <w:lang w:val="en-US"/>
        </w:rPr>
        <w:t>(</w:t>
      </w:r>
      <w:r w:rsidRPr="00C976CA">
        <w:rPr>
          <w:rFonts w:ascii="Arial" w:hAnsi="Arial" w:cs="Arial"/>
          <w:b/>
          <w:bCs/>
          <w:sz w:val="20"/>
          <w:szCs w:val="20"/>
          <w:lang w:val="en-US"/>
        </w:rPr>
        <w:t>f</w:t>
      </w:r>
      <w:r w:rsidRPr="00C976CA">
        <w:rPr>
          <w:rFonts w:ascii="Arial" w:hAnsi="Arial" w:cs="Arial"/>
          <w:sz w:val="20"/>
          <w:szCs w:val="20"/>
          <w:lang w:val="en-US"/>
        </w:rPr>
        <w:t xml:space="preserve">) Seminal 1 root experiencing </w:t>
      </w:r>
      <w:r w:rsidR="00C976CA" w:rsidRPr="00C976CA">
        <w:rPr>
          <w:rFonts w:ascii="Arial" w:hAnsi="Arial" w:cs="Arial"/>
          <w:sz w:val="20"/>
          <w:szCs w:val="20"/>
          <w:lang w:val="en-US"/>
        </w:rPr>
        <w:t>&lt;90° gravistimulus</w:t>
      </w:r>
      <w:r w:rsidRPr="00C976CA">
        <w:rPr>
          <w:rFonts w:ascii="Arial" w:hAnsi="Arial" w:cs="Arial"/>
          <w:sz w:val="20"/>
          <w:szCs w:val="20"/>
          <w:lang w:val="en-US"/>
        </w:rPr>
        <w:t>.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g-h</w:t>
      </w:r>
      <w:r w:rsidR="00257DC1">
        <w:rPr>
          <w:rFonts w:ascii="Arial" w:hAnsi="Arial" w:cs="Arial"/>
          <w:b/>
          <w:bCs/>
          <w:sz w:val="20"/>
          <w:szCs w:val="20"/>
          <w:lang w:val="en-US"/>
        </w:rPr>
        <w:t>,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Root angle (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g</w:t>
      </w:r>
      <w:r w:rsidRPr="00E672C4">
        <w:rPr>
          <w:rFonts w:ascii="Arial" w:hAnsi="Arial" w:cs="Arial"/>
          <w:sz w:val="20"/>
          <w:szCs w:val="20"/>
          <w:lang w:val="en-US"/>
        </w:rPr>
        <w:t>) and growth dynamics (</w:t>
      </w:r>
      <w:r w:rsidRPr="00E672C4">
        <w:rPr>
          <w:rFonts w:ascii="Arial" w:hAnsi="Arial" w:cs="Arial"/>
          <w:b/>
          <w:bCs/>
          <w:sz w:val="20"/>
          <w:szCs w:val="20"/>
          <w:lang w:val="en-US"/>
        </w:rPr>
        <w:t>h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) of primary and seminal roots </w:t>
      </w:r>
      <w:r w:rsidR="00257DC1">
        <w:rPr>
          <w:rFonts w:ascii="Arial" w:hAnsi="Arial" w:cs="Arial"/>
          <w:sz w:val="20"/>
          <w:szCs w:val="20"/>
          <w:lang w:val="en-US"/>
        </w:rPr>
        <w:t>over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 18</w:t>
      </w:r>
      <w:r w:rsidR="00C976CA">
        <w:rPr>
          <w:rFonts w:ascii="Arial" w:hAnsi="Arial" w:cs="Arial"/>
          <w:sz w:val="20"/>
          <w:szCs w:val="20"/>
          <w:lang w:val="en-US"/>
        </w:rPr>
        <w:t xml:space="preserve"> </w:t>
      </w:r>
      <w:r w:rsidRPr="00E672C4">
        <w:rPr>
          <w:rFonts w:ascii="Arial" w:hAnsi="Arial" w:cs="Arial"/>
          <w:sz w:val="20"/>
          <w:szCs w:val="20"/>
          <w:lang w:val="en-US"/>
        </w:rPr>
        <w:t xml:space="preserve">h following reorientation. Data are shown as box plots with individual data points overlaid (n = 30 plants). Different letters indicate statistically significant differences between root classes within each treatment (one-way ANOVA, </w:t>
      </w:r>
      <w:r w:rsidRPr="00E672C4">
        <w:rPr>
          <w:rFonts w:ascii="Arial" w:hAnsi="Arial" w:cs="Arial"/>
          <w:sz w:val="20"/>
          <w:szCs w:val="20"/>
          <w:lang w:val="el-GR"/>
        </w:rPr>
        <w:t>α = 0.05).</w:t>
      </w:r>
      <w:r w:rsidR="00C27E9C">
        <w:rPr>
          <w:rFonts w:ascii="Arial" w:hAnsi="Arial" w:cs="Arial"/>
          <w:sz w:val="20"/>
          <w:szCs w:val="20"/>
        </w:rPr>
        <w:t xml:space="preserve"> Scale bar represents 5 mm. </w:t>
      </w:r>
    </w:p>
    <w:p w14:paraId="4D311948" w14:textId="0DD3ECAF" w:rsidR="00C34EB7" w:rsidRPr="00C27E9C" w:rsidRDefault="00C34EB7" w:rsidP="004C61CF">
      <w:pPr>
        <w:jc w:val="center"/>
      </w:pPr>
      <w:r>
        <w:rPr>
          <w:noProof/>
        </w:rPr>
        <w:lastRenderedPageBreak/>
        <w:drawing>
          <wp:inline distT="0" distB="0" distL="0" distR="0" wp14:anchorId="0A02FFEC" wp14:editId="55C28B4C">
            <wp:extent cx="4808113" cy="7212169"/>
            <wp:effectExtent l="0" t="0" r="0" b="8255"/>
            <wp:docPr id="1318536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788" cy="724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771E" w14:textId="164B7CA6" w:rsidR="002347A2" w:rsidRDefault="002347A2" w:rsidP="00D0301C">
      <w:pPr>
        <w:jc w:val="center"/>
      </w:pPr>
    </w:p>
    <w:p w14:paraId="6234625C" w14:textId="77777777" w:rsidR="007F1A06" w:rsidRPr="007F1A06" w:rsidRDefault="007F1A06" w:rsidP="007F1A06">
      <w:pPr>
        <w:jc w:val="both"/>
        <w:rPr>
          <w:rFonts w:ascii="Arial" w:hAnsi="Arial" w:cs="Arial"/>
          <w:sz w:val="20"/>
          <w:szCs w:val="20"/>
        </w:rPr>
      </w:pPr>
      <w:r w:rsidRPr="007F1A06">
        <w:rPr>
          <w:rFonts w:ascii="Arial" w:hAnsi="Arial" w:cs="Arial"/>
          <w:b/>
          <w:bCs/>
          <w:sz w:val="20"/>
          <w:szCs w:val="20"/>
        </w:rPr>
        <w:t>Extended Data Fig. 3 | Matched gravistimulus conditions resolve intrinsic gravitropic responses across root classes.</w:t>
      </w:r>
    </w:p>
    <w:p w14:paraId="0EAE60EE" w14:textId="77777777" w:rsidR="007F1A06" w:rsidRPr="007F1A06" w:rsidRDefault="007F1A06" w:rsidP="007F1A06">
      <w:pPr>
        <w:jc w:val="both"/>
        <w:rPr>
          <w:rFonts w:ascii="Arial" w:hAnsi="Arial" w:cs="Arial"/>
          <w:sz w:val="20"/>
          <w:szCs w:val="20"/>
        </w:rPr>
      </w:pPr>
      <w:r w:rsidRPr="007F1A06">
        <w:rPr>
          <w:rFonts w:ascii="Arial" w:hAnsi="Arial" w:cs="Arial"/>
          <w:b/>
          <w:bCs/>
          <w:sz w:val="20"/>
          <w:szCs w:val="20"/>
        </w:rPr>
        <w:t>a-c,</w:t>
      </w:r>
      <w:r w:rsidRPr="007F1A06">
        <w:rPr>
          <w:rFonts w:ascii="Arial" w:hAnsi="Arial" w:cs="Arial"/>
          <w:sz w:val="20"/>
          <w:szCs w:val="20"/>
        </w:rPr>
        <w:t xml:space="preserve"> Time-course analysis of root tip angle (</w:t>
      </w:r>
      <w:r w:rsidRPr="007F1A06">
        <w:rPr>
          <w:rFonts w:ascii="Arial" w:hAnsi="Arial" w:cs="Arial"/>
          <w:b/>
          <w:bCs/>
          <w:sz w:val="20"/>
          <w:szCs w:val="20"/>
        </w:rPr>
        <w:t>a</w:t>
      </w:r>
      <w:r w:rsidRPr="007F1A06">
        <w:rPr>
          <w:rFonts w:ascii="Arial" w:hAnsi="Arial" w:cs="Arial"/>
          <w:sz w:val="20"/>
          <w:szCs w:val="20"/>
        </w:rPr>
        <w:t>), growth rate (</w:t>
      </w:r>
      <w:r w:rsidRPr="007F1A06">
        <w:rPr>
          <w:rFonts w:ascii="Arial" w:hAnsi="Arial" w:cs="Arial"/>
          <w:b/>
          <w:bCs/>
          <w:sz w:val="20"/>
          <w:szCs w:val="20"/>
        </w:rPr>
        <w:t>b</w:t>
      </w:r>
      <w:r w:rsidRPr="007F1A06">
        <w:rPr>
          <w:rFonts w:ascii="Arial" w:hAnsi="Arial" w:cs="Arial"/>
          <w:sz w:val="20"/>
          <w:szCs w:val="20"/>
        </w:rPr>
        <w:t>) and growth rate normalised tip angle (</w:t>
      </w:r>
      <w:r w:rsidRPr="007F1A06">
        <w:rPr>
          <w:rFonts w:ascii="Arial" w:hAnsi="Arial" w:cs="Arial"/>
          <w:b/>
          <w:bCs/>
          <w:sz w:val="20"/>
          <w:szCs w:val="20"/>
        </w:rPr>
        <w:t>c</w:t>
      </w:r>
      <w:r w:rsidRPr="007F1A06">
        <w:rPr>
          <w:rFonts w:ascii="Arial" w:hAnsi="Arial" w:cs="Arial"/>
          <w:sz w:val="20"/>
          <w:szCs w:val="20"/>
        </w:rPr>
        <w:t>) for roots grouped according to experienced gravistimulus (0-80°, aligned; 80-110°, intermediate; 110-200°, opposed), enabling comparisons under matched stimulus conditions. Gravistimulus ranges were generated following 45°, 90° or 120° reorientation (see Methods). Data are shown as box plots with individual data points overlaid (n = 30 plants). Different letters indicate statistically significant differences between root classes within each treatment (one-way ANOVA, α = 0.05).</w:t>
      </w:r>
    </w:p>
    <w:p w14:paraId="1DF77676" w14:textId="77777777" w:rsidR="002B5167" w:rsidRDefault="002B5167" w:rsidP="00D0301C">
      <w:pPr>
        <w:jc w:val="center"/>
      </w:pPr>
    </w:p>
    <w:p w14:paraId="5582EAA7" w14:textId="7E9A1486" w:rsidR="00310A12" w:rsidRDefault="00177FEC" w:rsidP="00D414CF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w:drawing>
          <wp:inline distT="0" distB="0" distL="0" distR="0" wp14:anchorId="78124D6A" wp14:editId="0408CC3A">
            <wp:extent cx="4680000" cy="4943326"/>
            <wp:effectExtent l="0" t="0" r="0" b="0"/>
            <wp:docPr id="8605523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552395" name="Picture 860552395"/>
                    <pic:cNvPicPr/>
                  </pic:nvPicPr>
                  <pic:blipFill rotWithShape="1">
                    <a:blip r:embed="rId7"/>
                    <a:srcRect l="5226" t="4206" r="6954" b="30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943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49CEBC" w14:textId="784DA369" w:rsidR="00B967D5" w:rsidRPr="00B967D5" w:rsidRDefault="00B967D5" w:rsidP="00B967D5">
      <w:pPr>
        <w:jc w:val="both"/>
        <w:rPr>
          <w:rFonts w:ascii="Arial" w:hAnsi="Arial" w:cs="Arial"/>
          <w:sz w:val="20"/>
          <w:szCs w:val="20"/>
        </w:rPr>
      </w:pPr>
      <w:r w:rsidRPr="00B967D5">
        <w:rPr>
          <w:rFonts w:ascii="Arial" w:hAnsi="Arial" w:cs="Arial"/>
          <w:b/>
          <w:bCs/>
          <w:sz w:val="20"/>
          <w:szCs w:val="20"/>
        </w:rPr>
        <w:t>Extended Data Fig. 4 | Genotype-dependent gravitropic responses under matched gravistimulus conditions.</w:t>
      </w:r>
    </w:p>
    <w:p w14:paraId="6E8CC2F5" w14:textId="77777777" w:rsidR="00B967D5" w:rsidRPr="00B967D5" w:rsidRDefault="00B967D5" w:rsidP="00B967D5">
      <w:pPr>
        <w:jc w:val="both"/>
        <w:rPr>
          <w:rFonts w:ascii="Arial" w:hAnsi="Arial" w:cs="Arial"/>
          <w:sz w:val="20"/>
          <w:szCs w:val="20"/>
        </w:rPr>
      </w:pPr>
      <w:r w:rsidRPr="00B967D5">
        <w:rPr>
          <w:rFonts w:ascii="Arial" w:hAnsi="Arial" w:cs="Arial"/>
          <w:b/>
          <w:bCs/>
          <w:sz w:val="20"/>
          <w:szCs w:val="20"/>
        </w:rPr>
        <w:t>a-b, </w:t>
      </w:r>
      <w:r w:rsidRPr="00B967D5">
        <w:rPr>
          <w:rFonts w:ascii="Arial" w:hAnsi="Arial" w:cs="Arial"/>
          <w:sz w:val="20"/>
          <w:szCs w:val="20"/>
        </w:rPr>
        <w:t>Time-course analysis of root tip angle (</w:t>
      </w:r>
      <w:r w:rsidRPr="00B967D5">
        <w:rPr>
          <w:rFonts w:ascii="Arial" w:hAnsi="Arial" w:cs="Arial"/>
          <w:b/>
          <w:bCs/>
          <w:sz w:val="20"/>
          <w:szCs w:val="20"/>
        </w:rPr>
        <w:t>a</w:t>
      </w:r>
      <w:r w:rsidRPr="00B967D5">
        <w:rPr>
          <w:rFonts w:ascii="Arial" w:hAnsi="Arial" w:cs="Arial"/>
          <w:sz w:val="20"/>
          <w:szCs w:val="20"/>
        </w:rPr>
        <w:t>), and growth rate (</w:t>
      </w:r>
      <w:r w:rsidRPr="00B967D5">
        <w:rPr>
          <w:rFonts w:ascii="Arial" w:hAnsi="Arial" w:cs="Arial"/>
          <w:b/>
          <w:bCs/>
          <w:sz w:val="20"/>
          <w:szCs w:val="20"/>
        </w:rPr>
        <w:t>b</w:t>
      </w:r>
      <w:r w:rsidRPr="00B967D5">
        <w:rPr>
          <w:rFonts w:ascii="Arial" w:hAnsi="Arial" w:cs="Arial"/>
          <w:sz w:val="20"/>
          <w:szCs w:val="20"/>
        </w:rPr>
        <w:t>) for WT, </w:t>
      </w:r>
      <w:r w:rsidRPr="00B967D5">
        <w:rPr>
          <w:rFonts w:ascii="Arial" w:hAnsi="Arial" w:cs="Arial"/>
          <w:i/>
          <w:iCs/>
          <w:sz w:val="20"/>
          <w:szCs w:val="20"/>
        </w:rPr>
        <w:t>egt1</w:t>
      </w:r>
      <w:r w:rsidRPr="00B967D5">
        <w:rPr>
          <w:rFonts w:ascii="Arial" w:hAnsi="Arial" w:cs="Arial"/>
          <w:sz w:val="20"/>
          <w:szCs w:val="20"/>
        </w:rPr>
        <w:t>, </w:t>
      </w:r>
      <w:r w:rsidRPr="00B967D5">
        <w:rPr>
          <w:rFonts w:ascii="Arial" w:hAnsi="Arial" w:cs="Arial"/>
          <w:i/>
          <w:iCs/>
          <w:sz w:val="20"/>
          <w:szCs w:val="20"/>
        </w:rPr>
        <w:t>egt2</w:t>
      </w:r>
      <w:r w:rsidRPr="00B967D5">
        <w:rPr>
          <w:rFonts w:ascii="Arial" w:hAnsi="Arial" w:cs="Arial"/>
          <w:sz w:val="20"/>
          <w:szCs w:val="20"/>
        </w:rPr>
        <w:t> and </w:t>
      </w:r>
      <w:r w:rsidRPr="00B967D5">
        <w:rPr>
          <w:rFonts w:ascii="Arial" w:hAnsi="Arial" w:cs="Arial"/>
          <w:i/>
          <w:iCs/>
          <w:sz w:val="20"/>
          <w:szCs w:val="20"/>
        </w:rPr>
        <w:t>egt1 egt2 </w:t>
      </w:r>
      <w:r w:rsidRPr="00B967D5">
        <w:rPr>
          <w:rFonts w:ascii="Arial" w:hAnsi="Arial" w:cs="Arial"/>
          <w:sz w:val="20"/>
          <w:szCs w:val="20"/>
        </w:rPr>
        <w:t>roots grouped according to similar gravistimulus (80-110°), enabling comparisons under matched stimulus conditions. Data are shown as box plots with individual data points overlaid (n = 30 plants). Different letters indicate statistically significant differences between genotypes within each treatment (one-way ANOVA, α = 0.05).</w:t>
      </w:r>
    </w:p>
    <w:p w14:paraId="6A4BF29A" w14:textId="1A4DB00C" w:rsidR="005E47FE" w:rsidRDefault="005E47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5D19C6B" w14:textId="0E01AA96" w:rsidR="00550030" w:rsidRDefault="00BE23E0" w:rsidP="00EE4A2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0F9E2C7" wp14:editId="3D7DE587">
            <wp:extent cx="3276600" cy="3073400"/>
            <wp:effectExtent l="0" t="0" r="0" b="0"/>
            <wp:docPr id="1988341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3415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6F689" w14:textId="5D3FDB6C" w:rsidR="00550030" w:rsidRPr="00550030" w:rsidRDefault="00550030" w:rsidP="00550030">
      <w:pPr>
        <w:jc w:val="both"/>
        <w:rPr>
          <w:rFonts w:ascii="Arial" w:hAnsi="Arial" w:cs="Arial"/>
          <w:sz w:val="20"/>
          <w:szCs w:val="20"/>
        </w:rPr>
      </w:pPr>
      <w:r w:rsidRPr="00550030">
        <w:rPr>
          <w:rFonts w:ascii="Arial" w:hAnsi="Arial" w:cs="Arial"/>
          <w:b/>
          <w:bCs/>
          <w:sz w:val="20"/>
          <w:szCs w:val="20"/>
        </w:rPr>
        <w:t>Extended Data Fig. 5 | Loss of AGO reduces transcriptional divergence between root classes.</w:t>
      </w:r>
    </w:p>
    <w:p w14:paraId="36CC9546" w14:textId="77777777" w:rsidR="00550030" w:rsidRPr="00550030" w:rsidRDefault="00550030" w:rsidP="00550030">
      <w:pPr>
        <w:jc w:val="both"/>
        <w:rPr>
          <w:rFonts w:ascii="Arial" w:hAnsi="Arial" w:cs="Arial"/>
          <w:sz w:val="20"/>
          <w:szCs w:val="20"/>
        </w:rPr>
      </w:pPr>
      <w:r w:rsidRPr="00550030">
        <w:rPr>
          <w:rFonts w:ascii="Arial" w:hAnsi="Arial" w:cs="Arial"/>
          <w:sz w:val="20"/>
          <w:szCs w:val="20"/>
        </w:rPr>
        <w:t xml:space="preserve">Bar plots showing the number of differentially expressed genes (DEGs) between pairwise root class comparisons within each genotype (WT and </w:t>
      </w:r>
      <w:r w:rsidRPr="00550030">
        <w:rPr>
          <w:rFonts w:ascii="Arial" w:hAnsi="Arial" w:cs="Arial"/>
          <w:i/>
          <w:iCs/>
          <w:sz w:val="20"/>
          <w:szCs w:val="20"/>
        </w:rPr>
        <w:t>egt1</w:t>
      </w:r>
      <w:r w:rsidRPr="00550030">
        <w:rPr>
          <w:rFonts w:ascii="Arial" w:hAnsi="Arial" w:cs="Arial"/>
          <w:sz w:val="20"/>
          <w:szCs w:val="20"/>
        </w:rPr>
        <w:t>). Differential expression analysis was performed using three biological replicates per root class. DEGs were defined using a ≥2-fold expression change, false discovery rate (FDR)-corrected P &lt; 0.05, and a minimum expression threshold of 1 FPKM to exclude lowly expressed genes. Wild type exhibited pronounced transcriptional divergence between root classes, whereas </w:t>
      </w:r>
      <w:r w:rsidRPr="00550030">
        <w:rPr>
          <w:rFonts w:ascii="Arial" w:hAnsi="Arial" w:cs="Arial"/>
          <w:i/>
          <w:iCs/>
          <w:sz w:val="20"/>
          <w:szCs w:val="20"/>
        </w:rPr>
        <w:t>egt1</w:t>
      </w:r>
      <w:r w:rsidRPr="00550030">
        <w:rPr>
          <w:rFonts w:ascii="Arial" w:hAnsi="Arial" w:cs="Arial"/>
          <w:sz w:val="20"/>
          <w:szCs w:val="20"/>
        </w:rPr>
        <w:t> showed substantially reduced numbers of DEGs across comparisons, indicating convergence of root class-specific transcriptional states.</w:t>
      </w:r>
    </w:p>
    <w:p w14:paraId="31678258" w14:textId="25ACA384" w:rsidR="00544E78" w:rsidRDefault="00544E7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961A49F" w14:textId="77777777" w:rsidR="00635088" w:rsidRDefault="00734017" w:rsidP="00635088">
      <w:pPr>
        <w:jc w:val="center"/>
        <w:rPr>
          <w:rFonts w:ascii="Arial" w:eastAsiaTheme="minorEastAsia" w:hAnsi="Arial"/>
          <w:b/>
          <w:bCs/>
          <w:color w:val="000000" w:themeColor="dark1"/>
          <w:kern w:val="24"/>
          <w:sz w:val="20"/>
          <w:szCs w:val="20"/>
          <w:lang w:eastAsia="en-GB"/>
          <w14:ligatures w14:val="none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51A90C1C" wp14:editId="45B1C56B">
            <wp:extent cx="4680000" cy="5203293"/>
            <wp:effectExtent l="0" t="0" r="0" b="0"/>
            <wp:docPr id="175224824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248241" name="Picture 175224824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520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5088" w:rsidRPr="00635088">
        <w:rPr>
          <w:rFonts w:ascii="Arial" w:eastAsiaTheme="minorEastAsia" w:hAnsi="Arial"/>
          <w:b/>
          <w:bCs/>
          <w:color w:val="000000" w:themeColor="dark1"/>
          <w:kern w:val="24"/>
          <w:sz w:val="20"/>
          <w:szCs w:val="20"/>
          <w:lang w:eastAsia="en-GB"/>
          <w14:ligatures w14:val="none"/>
        </w:rPr>
        <w:t xml:space="preserve"> </w:t>
      </w:r>
    </w:p>
    <w:p w14:paraId="1823FD65" w14:textId="503C6E55" w:rsidR="00635088" w:rsidRPr="00635088" w:rsidRDefault="00635088" w:rsidP="00635088">
      <w:pPr>
        <w:jc w:val="both"/>
        <w:rPr>
          <w:rFonts w:ascii="Arial" w:hAnsi="Arial" w:cs="Arial"/>
          <w:sz w:val="20"/>
          <w:szCs w:val="20"/>
        </w:rPr>
      </w:pPr>
      <w:r w:rsidRPr="00635088">
        <w:rPr>
          <w:rFonts w:ascii="Arial" w:hAnsi="Arial" w:cs="Arial"/>
          <w:b/>
          <w:bCs/>
          <w:sz w:val="20"/>
          <w:szCs w:val="20"/>
        </w:rPr>
        <w:t>Extended Data Fig. 6 | Loss of AGO affect agronomic performance.</w:t>
      </w:r>
    </w:p>
    <w:p w14:paraId="6B09B473" w14:textId="762FF3F6" w:rsidR="00715E0A" w:rsidRDefault="00635088" w:rsidP="006C2AD7">
      <w:pPr>
        <w:jc w:val="both"/>
        <w:rPr>
          <w:rFonts w:ascii="Arial" w:hAnsi="Arial" w:cs="Arial"/>
          <w:sz w:val="20"/>
          <w:szCs w:val="20"/>
        </w:rPr>
      </w:pPr>
      <w:r w:rsidRPr="00635088">
        <w:rPr>
          <w:rFonts w:ascii="Arial" w:hAnsi="Arial" w:cs="Arial"/>
          <w:b/>
          <w:bCs/>
          <w:sz w:val="20"/>
          <w:szCs w:val="20"/>
        </w:rPr>
        <w:t>a-b, </w:t>
      </w:r>
      <w:r w:rsidRPr="00635088">
        <w:rPr>
          <w:rFonts w:ascii="Arial" w:hAnsi="Arial" w:cs="Arial"/>
          <w:sz w:val="20"/>
          <w:szCs w:val="20"/>
        </w:rPr>
        <w:t xml:space="preserve">Field trial data from irrigated and unirrigated plots. </w:t>
      </w:r>
      <w:r w:rsidRPr="00635088">
        <w:rPr>
          <w:rFonts w:ascii="Arial" w:hAnsi="Arial" w:cs="Arial"/>
          <w:b/>
          <w:bCs/>
          <w:sz w:val="20"/>
          <w:szCs w:val="20"/>
        </w:rPr>
        <w:t>(a)</w:t>
      </w:r>
      <w:r w:rsidRPr="00635088">
        <w:rPr>
          <w:rFonts w:ascii="Arial" w:hAnsi="Arial" w:cs="Arial"/>
          <w:sz w:val="20"/>
          <w:szCs w:val="20"/>
        </w:rPr>
        <w:t> Crop height across all genotypes</w:t>
      </w:r>
      <w:r w:rsidRPr="00635088">
        <w:rPr>
          <w:rFonts w:ascii="Arial" w:hAnsi="Arial" w:cs="Arial"/>
          <w:b/>
          <w:bCs/>
          <w:sz w:val="20"/>
          <w:szCs w:val="20"/>
        </w:rPr>
        <w:t>,</w:t>
      </w:r>
      <w:r w:rsidR="00186C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35088">
        <w:rPr>
          <w:rFonts w:ascii="Arial" w:hAnsi="Arial" w:cs="Arial"/>
          <w:b/>
          <w:bCs/>
          <w:sz w:val="20"/>
          <w:szCs w:val="20"/>
        </w:rPr>
        <w:t xml:space="preserve">(b) </w:t>
      </w:r>
      <w:r w:rsidRPr="00635088">
        <w:rPr>
          <w:rFonts w:ascii="Arial" w:hAnsi="Arial" w:cs="Arial"/>
          <w:sz w:val="20"/>
          <w:szCs w:val="20"/>
        </w:rPr>
        <w:t>Hectoliter Weight (HLW) across all genotypes. Different letters denote significant differences between genotypes within each treatment (one</w:t>
      </w:r>
      <w:r w:rsidRPr="00635088">
        <w:rPr>
          <w:rFonts w:ascii="Arial" w:hAnsi="Arial" w:cs="Arial"/>
          <w:sz w:val="20"/>
          <w:szCs w:val="20"/>
        </w:rPr>
        <w:noBreakHyphen/>
        <w:t>way ANOVA, α = 0.05). Whisker plots show distributions with individual data points overlaid (</w:t>
      </w:r>
      <w:r w:rsidRPr="00635088">
        <w:rPr>
          <w:rFonts w:ascii="Arial" w:hAnsi="Arial" w:cs="Arial"/>
          <w:i/>
          <w:iCs/>
          <w:sz w:val="20"/>
          <w:szCs w:val="20"/>
        </w:rPr>
        <w:t>n</w:t>
      </w:r>
      <w:r w:rsidRPr="00635088">
        <w:rPr>
          <w:rFonts w:ascii="Arial" w:hAnsi="Arial" w:cs="Arial"/>
          <w:sz w:val="20"/>
          <w:szCs w:val="20"/>
        </w:rPr>
        <w:t> = 24 plots).</w:t>
      </w:r>
      <w:r w:rsidR="000E1591">
        <w:rPr>
          <w:rFonts w:ascii="Arial" w:hAnsi="Arial" w:cs="Arial"/>
          <w:sz w:val="20"/>
          <w:szCs w:val="20"/>
        </w:rPr>
        <w:t xml:space="preserve"> </w:t>
      </w:r>
      <w:r w:rsidR="000E1591" w:rsidRPr="001340A8">
        <w:rPr>
          <w:rFonts w:ascii="Arial" w:hAnsi="Arial" w:cs="Arial"/>
          <w:sz w:val="20"/>
          <w:szCs w:val="20"/>
        </w:rPr>
        <w:t>c.</w:t>
      </w:r>
      <w:r w:rsidR="00F1060A" w:rsidRPr="001340A8">
        <w:rPr>
          <w:rFonts w:ascii="Arial" w:hAnsi="Arial" w:cs="Arial"/>
          <w:sz w:val="20"/>
          <w:szCs w:val="20"/>
        </w:rPr>
        <w:t xml:space="preserve"> Weekly cumulative rainfall received by </w:t>
      </w:r>
      <w:r w:rsidR="00B5714D" w:rsidRPr="001340A8">
        <w:rPr>
          <w:rFonts w:ascii="Arial" w:hAnsi="Arial" w:cs="Arial"/>
          <w:sz w:val="20"/>
          <w:szCs w:val="20"/>
        </w:rPr>
        <w:t>rainfed and irrigated</w:t>
      </w:r>
      <w:r w:rsidR="006B57A5" w:rsidRPr="001340A8">
        <w:rPr>
          <w:rFonts w:ascii="Arial" w:hAnsi="Arial" w:cs="Arial"/>
          <w:sz w:val="20"/>
          <w:szCs w:val="20"/>
        </w:rPr>
        <w:t xml:space="preserve"> </w:t>
      </w:r>
      <w:r w:rsidR="00965E86" w:rsidRPr="001340A8">
        <w:rPr>
          <w:rFonts w:ascii="Arial" w:hAnsi="Arial" w:cs="Arial"/>
          <w:sz w:val="20"/>
          <w:szCs w:val="20"/>
        </w:rPr>
        <w:t>plots.</w:t>
      </w:r>
      <w:r w:rsidR="00965E86">
        <w:rPr>
          <w:rFonts w:ascii="Arial" w:hAnsi="Arial" w:cs="Arial"/>
          <w:sz w:val="20"/>
          <w:szCs w:val="20"/>
        </w:rPr>
        <w:t xml:space="preserve"> </w:t>
      </w:r>
    </w:p>
    <w:p w14:paraId="5AF40E50" w14:textId="77777777" w:rsidR="006C2AD7" w:rsidRDefault="006C2AD7" w:rsidP="006C2AD7">
      <w:pPr>
        <w:jc w:val="both"/>
        <w:rPr>
          <w:rFonts w:ascii="Arial" w:hAnsi="Arial" w:cs="Arial"/>
          <w:sz w:val="20"/>
          <w:szCs w:val="20"/>
        </w:rPr>
      </w:pPr>
    </w:p>
    <w:p w14:paraId="31777758" w14:textId="4F2A3512" w:rsidR="006C2AD7" w:rsidRDefault="006C2A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142E608" w14:textId="7FF451B0" w:rsidR="006C2AD7" w:rsidRDefault="006C2AD7" w:rsidP="006C2AD7">
      <w:pPr>
        <w:jc w:val="center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6FFE157D" wp14:editId="758DF30F">
            <wp:extent cx="4680000" cy="5726100"/>
            <wp:effectExtent l="0" t="0" r="0" b="1905"/>
            <wp:docPr id="108773632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36326" name="Picture 108773632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57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47638" w14:textId="77777777" w:rsidR="00005F82" w:rsidRPr="00005F82" w:rsidRDefault="00005F82" w:rsidP="00005F82">
      <w:pPr>
        <w:jc w:val="both"/>
        <w:rPr>
          <w:rFonts w:ascii="Arial" w:hAnsi="Arial" w:cs="Arial"/>
          <w:sz w:val="20"/>
          <w:szCs w:val="20"/>
        </w:rPr>
      </w:pPr>
    </w:p>
    <w:p w14:paraId="084887C6" w14:textId="77777777" w:rsidR="00005F82" w:rsidRPr="00005F82" w:rsidRDefault="00005F82" w:rsidP="00005F82">
      <w:pPr>
        <w:tabs>
          <w:tab w:val="left" w:pos="1552"/>
        </w:tabs>
        <w:jc w:val="both"/>
        <w:rPr>
          <w:rFonts w:ascii="Arial" w:hAnsi="Arial" w:cs="Arial"/>
          <w:sz w:val="20"/>
          <w:szCs w:val="20"/>
        </w:rPr>
      </w:pPr>
      <w:r w:rsidRPr="00005F82">
        <w:rPr>
          <w:rFonts w:ascii="Arial" w:hAnsi="Arial" w:cs="Arial"/>
          <w:b/>
          <w:bCs/>
          <w:sz w:val="20"/>
          <w:szCs w:val="20"/>
        </w:rPr>
        <w:t>Extended Data Fig. 7 | Acceleration profiles during gravistimulation and simulated microgravity assays.</w:t>
      </w:r>
    </w:p>
    <w:p w14:paraId="618D715F" w14:textId="77777777" w:rsidR="00005F82" w:rsidRPr="00005F82" w:rsidRDefault="00005F82" w:rsidP="00005F82">
      <w:pPr>
        <w:tabs>
          <w:tab w:val="left" w:pos="1552"/>
        </w:tabs>
        <w:jc w:val="both"/>
        <w:rPr>
          <w:rFonts w:ascii="Arial" w:hAnsi="Arial" w:cs="Arial"/>
          <w:sz w:val="20"/>
          <w:szCs w:val="20"/>
        </w:rPr>
      </w:pPr>
      <w:r w:rsidRPr="00005F82">
        <w:rPr>
          <w:rFonts w:ascii="Arial" w:hAnsi="Arial" w:cs="Arial"/>
          <w:b/>
          <w:bCs/>
          <w:sz w:val="20"/>
          <w:szCs w:val="20"/>
        </w:rPr>
        <w:t xml:space="preserve">a, </w:t>
      </w:r>
      <w:r w:rsidRPr="00005F82">
        <w:rPr>
          <w:rFonts w:ascii="Arial" w:hAnsi="Arial" w:cs="Arial"/>
          <w:sz w:val="20"/>
          <w:szCs w:val="20"/>
        </w:rPr>
        <w:t xml:space="preserve">Accelerometer output from a growth plate following 90° reorientation. </w:t>
      </w:r>
      <w:r w:rsidRPr="00005F82">
        <w:rPr>
          <w:rFonts w:ascii="Arial" w:hAnsi="Arial" w:cs="Arial"/>
          <w:b/>
          <w:bCs/>
          <w:sz w:val="20"/>
          <w:szCs w:val="20"/>
        </w:rPr>
        <w:t>b,</w:t>
      </w:r>
      <w:r w:rsidRPr="00005F82">
        <w:rPr>
          <w:rFonts w:ascii="Arial" w:hAnsi="Arial" w:cs="Arial"/>
          <w:sz w:val="20"/>
          <w:szCs w:val="20"/>
        </w:rPr>
        <w:t xml:space="preserve"> Acceleration experienced by an accelerometer positioned at the centre of the OpenClino device operating in clinostat mode. </w:t>
      </w:r>
      <w:r w:rsidRPr="00005F82">
        <w:rPr>
          <w:rFonts w:ascii="Arial" w:hAnsi="Arial" w:cs="Arial"/>
          <w:b/>
          <w:bCs/>
          <w:sz w:val="20"/>
          <w:szCs w:val="20"/>
        </w:rPr>
        <w:t>c,</w:t>
      </w:r>
      <w:r w:rsidRPr="00005F82">
        <w:rPr>
          <w:rFonts w:ascii="Arial" w:hAnsi="Arial" w:cs="Arial"/>
          <w:sz w:val="20"/>
          <w:szCs w:val="20"/>
        </w:rPr>
        <w:t xml:space="preserve"> Acceleration experienced by an accelerometer positioned at the centre of the OpenClino device operating in random positioning machine (RPM) mode.</w:t>
      </w:r>
    </w:p>
    <w:p w14:paraId="579EF7F9" w14:textId="5CBB955B" w:rsidR="00647B95" w:rsidRDefault="00647B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35DBE45" w14:textId="4D5BF3E0" w:rsidR="00005F82" w:rsidRDefault="00001F9C" w:rsidP="00001F9C">
      <w:pPr>
        <w:tabs>
          <w:tab w:val="left" w:pos="1552"/>
        </w:tabs>
        <w:jc w:val="center"/>
        <w:rPr>
          <w:rFonts w:ascii="Arial" w:hAnsi="Arial" w:cs="Arial"/>
          <w:sz w:val="20"/>
          <w:szCs w:val="20"/>
        </w:rPr>
      </w:pPr>
      <w:r w:rsidRPr="00001F9C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5BA7C3E5" wp14:editId="4E131B22">
            <wp:extent cx="5383440" cy="2635200"/>
            <wp:effectExtent l="0" t="0" r="1905" b="0"/>
            <wp:docPr id="7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2"/>
                    <pic:cNvPicPr/>
                  </pic:nvPicPr>
                  <pic:blipFill>
                    <a:blip r:embed="rId11"/>
                    <a:srcRect l="4313" t="5926" r="7650" b="17510"/>
                    <a:stretch/>
                  </pic:blipFill>
                  <pic:spPr>
                    <a:xfrm>
                      <a:off x="0" y="0"/>
                      <a:ext cx="5383440" cy="263520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48B193AC" w14:textId="77777777" w:rsidR="003C0FBD" w:rsidRDefault="003C0FBD" w:rsidP="003C0FBD">
      <w:pPr>
        <w:tabs>
          <w:tab w:val="left" w:pos="1552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003C0FBD">
        <w:rPr>
          <w:rFonts w:ascii="Arial" w:hAnsi="Arial" w:cs="Arial"/>
          <w:b/>
          <w:bCs/>
          <w:sz w:val="20"/>
          <w:szCs w:val="20"/>
        </w:rPr>
        <w:t>Extended Data Fig. 8 | Crossing strategy for generation of near-isogenic lines (NILs) for </w:t>
      </w:r>
      <w:r w:rsidRPr="003C0FBD">
        <w:rPr>
          <w:rFonts w:ascii="Arial" w:hAnsi="Arial" w:cs="Arial"/>
          <w:b/>
          <w:bCs/>
          <w:i/>
          <w:iCs/>
          <w:sz w:val="20"/>
          <w:szCs w:val="20"/>
        </w:rPr>
        <w:t>EGT1</w:t>
      </w:r>
      <w:r w:rsidRPr="003C0FBD">
        <w:rPr>
          <w:rFonts w:ascii="Arial" w:hAnsi="Arial" w:cs="Arial"/>
          <w:b/>
          <w:bCs/>
          <w:sz w:val="20"/>
          <w:szCs w:val="20"/>
        </w:rPr>
        <w:t> and </w:t>
      </w:r>
      <w:r w:rsidRPr="003C0FBD">
        <w:rPr>
          <w:rFonts w:ascii="Arial" w:hAnsi="Arial" w:cs="Arial"/>
          <w:b/>
          <w:bCs/>
          <w:i/>
          <w:iCs/>
          <w:sz w:val="20"/>
          <w:szCs w:val="20"/>
        </w:rPr>
        <w:t>EGT2</w:t>
      </w:r>
      <w:r w:rsidRPr="003C0FBD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799DCF10" w14:textId="5B117B3C" w:rsidR="003C0FBD" w:rsidRPr="003C0FBD" w:rsidRDefault="003C0FBD" w:rsidP="003C0FBD">
      <w:pPr>
        <w:tabs>
          <w:tab w:val="left" w:pos="1552"/>
        </w:tabs>
        <w:jc w:val="both"/>
        <w:rPr>
          <w:rFonts w:ascii="Arial" w:hAnsi="Arial" w:cs="Arial"/>
          <w:sz w:val="20"/>
          <w:szCs w:val="20"/>
        </w:rPr>
      </w:pPr>
      <w:r w:rsidRPr="003C0FBD">
        <w:rPr>
          <w:rFonts w:ascii="Arial" w:hAnsi="Arial" w:cs="Arial"/>
          <w:sz w:val="20"/>
          <w:szCs w:val="20"/>
        </w:rPr>
        <w:t>Schematic overview of the multi-step crossing and backcrossing strategy used to generate NILs in the wheat cv. Cadenza genetic background. Homoeologue-specific TILLING alleles in the A, B and D genomes were first intercrossed to generate three-way F</w:t>
      </w:r>
      <w:r w:rsidRPr="003C0FBD">
        <w:rPr>
          <w:rFonts w:ascii="Cambria Math" w:hAnsi="Cambria Math" w:cs="Cambria Math"/>
          <w:sz w:val="20"/>
          <w:szCs w:val="20"/>
        </w:rPr>
        <w:t>₁</w:t>
      </w:r>
      <w:r w:rsidRPr="003C0FBD">
        <w:rPr>
          <w:rFonts w:ascii="Arial" w:hAnsi="Arial" w:cs="Arial"/>
          <w:sz w:val="20"/>
          <w:szCs w:val="20"/>
        </w:rPr>
        <w:t xml:space="preserve"> plants carrying mutations across all homoeologues. These were subsequently backcrossed to cv. Cadenza for four generations (BC</w:t>
      </w:r>
      <w:r w:rsidRPr="003C0FBD">
        <w:rPr>
          <w:rFonts w:ascii="Cambria Math" w:hAnsi="Cambria Math" w:cs="Cambria Math"/>
          <w:sz w:val="20"/>
          <w:szCs w:val="20"/>
        </w:rPr>
        <w:t>₁</w:t>
      </w:r>
      <w:r w:rsidRPr="003C0FBD">
        <w:rPr>
          <w:rFonts w:ascii="Arial" w:hAnsi="Arial" w:cs="Arial"/>
          <w:sz w:val="20"/>
          <w:szCs w:val="20"/>
        </w:rPr>
        <w:t>–BC</w:t>
      </w:r>
      <w:r w:rsidRPr="003C0FBD">
        <w:rPr>
          <w:rFonts w:ascii="Cambria Math" w:hAnsi="Cambria Math" w:cs="Cambria Math"/>
          <w:sz w:val="20"/>
          <w:szCs w:val="20"/>
        </w:rPr>
        <w:t>₄</w:t>
      </w:r>
      <w:r w:rsidRPr="003C0FBD">
        <w:rPr>
          <w:rFonts w:ascii="Arial" w:hAnsi="Arial" w:cs="Arial"/>
          <w:sz w:val="20"/>
          <w:szCs w:val="20"/>
        </w:rPr>
        <w:t>) with marker-assisted selection at each generation using KASP markers to retain target alleles and reduce background mutations. Heterozygous BC</w:t>
      </w:r>
      <w:r w:rsidRPr="003C0FBD">
        <w:rPr>
          <w:rFonts w:ascii="Cambria Math" w:hAnsi="Cambria Math" w:cs="Cambria Math"/>
          <w:sz w:val="20"/>
          <w:szCs w:val="20"/>
        </w:rPr>
        <w:t>₄</w:t>
      </w:r>
      <w:r w:rsidRPr="003C0FBD">
        <w:rPr>
          <w:rFonts w:ascii="Arial" w:hAnsi="Arial" w:cs="Arial"/>
          <w:sz w:val="20"/>
          <w:szCs w:val="20"/>
        </w:rPr>
        <w:t>F</w:t>
      </w:r>
      <w:r w:rsidRPr="003C0FBD">
        <w:rPr>
          <w:rFonts w:ascii="Cambria Math" w:hAnsi="Cambria Math" w:cs="Cambria Math"/>
          <w:sz w:val="20"/>
          <w:szCs w:val="20"/>
        </w:rPr>
        <w:t>₁</w:t>
      </w:r>
      <w:r w:rsidRPr="003C0FBD">
        <w:rPr>
          <w:rFonts w:ascii="Arial" w:hAnsi="Arial" w:cs="Arial"/>
          <w:sz w:val="20"/>
          <w:szCs w:val="20"/>
        </w:rPr>
        <w:t xml:space="preserve"> plants were selfed to generate segregating BC</w:t>
      </w:r>
      <w:r w:rsidRPr="003C0FBD">
        <w:rPr>
          <w:rFonts w:ascii="Cambria Math" w:hAnsi="Cambria Math" w:cs="Cambria Math"/>
          <w:sz w:val="20"/>
          <w:szCs w:val="20"/>
        </w:rPr>
        <w:t>₄</w:t>
      </w:r>
      <w:r w:rsidRPr="003C0FBD">
        <w:rPr>
          <w:rFonts w:ascii="Arial" w:hAnsi="Arial" w:cs="Arial"/>
          <w:sz w:val="20"/>
          <w:szCs w:val="20"/>
        </w:rPr>
        <w:t>F</w:t>
      </w:r>
      <w:r w:rsidRPr="003C0FBD">
        <w:rPr>
          <w:rFonts w:ascii="Cambria Math" w:hAnsi="Cambria Math" w:cs="Cambria Math"/>
          <w:sz w:val="20"/>
          <w:szCs w:val="20"/>
        </w:rPr>
        <w:t>₂</w:t>
      </w:r>
      <w:r w:rsidRPr="003C0FBD">
        <w:rPr>
          <w:rFonts w:ascii="Arial" w:hAnsi="Arial" w:cs="Arial"/>
          <w:sz w:val="20"/>
          <w:szCs w:val="20"/>
        </w:rPr>
        <w:t xml:space="preserve"> populations, from which homozygous triple-mutant NILs were selected. To generate combined </w:t>
      </w:r>
      <w:r w:rsidRPr="003C0FBD">
        <w:rPr>
          <w:rFonts w:ascii="Arial" w:hAnsi="Arial" w:cs="Arial"/>
          <w:i/>
          <w:iCs/>
          <w:sz w:val="20"/>
          <w:szCs w:val="20"/>
        </w:rPr>
        <w:t>egt1</w:t>
      </w:r>
      <w:r w:rsidRPr="003C0FBD">
        <w:rPr>
          <w:rFonts w:ascii="Arial" w:hAnsi="Arial" w:cs="Arial"/>
          <w:sz w:val="20"/>
          <w:szCs w:val="20"/>
        </w:rPr>
        <w:t> and </w:t>
      </w:r>
      <w:r w:rsidRPr="003C0FBD">
        <w:rPr>
          <w:rFonts w:ascii="Arial" w:hAnsi="Arial" w:cs="Arial"/>
          <w:i/>
          <w:iCs/>
          <w:sz w:val="20"/>
          <w:szCs w:val="20"/>
        </w:rPr>
        <w:t>egt2</w:t>
      </w:r>
      <w:r w:rsidRPr="003C0FBD">
        <w:rPr>
          <w:rFonts w:ascii="Arial" w:hAnsi="Arial" w:cs="Arial"/>
          <w:sz w:val="20"/>
          <w:szCs w:val="20"/>
        </w:rPr>
        <w:t> genotypes, homozygous NILs were intercrossed and selfed to obtain segregating progeny containing wild type, single-mutant and double-mutant combinations used in downstream analyses.</w:t>
      </w:r>
    </w:p>
    <w:p w14:paraId="6793A5D8" w14:textId="77777777" w:rsidR="00001F9C" w:rsidRDefault="00001F9C" w:rsidP="003C0FBD">
      <w:pPr>
        <w:tabs>
          <w:tab w:val="left" w:pos="1552"/>
        </w:tabs>
        <w:rPr>
          <w:rFonts w:ascii="Arial" w:hAnsi="Arial" w:cs="Arial"/>
          <w:sz w:val="20"/>
          <w:szCs w:val="20"/>
        </w:rPr>
      </w:pPr>
    </w:p>
    <w:p w14:paraId="101692D5" w14:textId="4D0BB811" w:rsidR="003C0FBD" w:rsidRDefault="003C0FB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8055D24" w14:textId="77777777" w:rsidR="00F9365F" w:rsidRPr="00F9365F" w:rsidRDefault="00F9365F" w:rsidP="00F9365F">
      <w:pPr>
        <w:jc w:val="both"/>
        <w:rPr>
          <w:rFonts w:ascii="Arial" w:hAnsi="Arial" w:cs="Arial"/>
          <w:sz w:val="20"/>
          <w:szCs w:val="20"/>
        </w:rPr>
      </w:pPr>
      <w:r w:rsidRPr="00F9365F">
        <w:rPr>
          <w:rFonts w:ascii="Arial" w:hAnsi="Arial" w:cs="Arial"/>
          <w:b/>
          <w:bCs/>
          <w:sz w:val="20"/>
          <w:szCs w:val="20"/>
        </w:rPr>
        <w:lastRenderedPageBreak/>
        <w:t>Extended Data Table 1 | Summary of TILLING alleles and genotyping resources used for generation of </w:t>
      </w:r>
      <w:r w:rsidRPr="00F9365F">
        <w:rPr>
          <w:rFonts w:ascii="Arial" w:hAnsi="Arial" w:cs="Arial"/>
          <w:b/>
          <w:bCs/>
          <w:i/>
          <w:iCs/>
          <w:sz w:val="20"/>
          <w:szCs w:val="20"/>
        </w:rPr>
        <w:t>egt1</w:t>
      </w:r>
      <w:r w:rsidRPr="00F9365F">
        <w:rPr>
          <w:rFonts w:ascii="Arial" w:hAnsi="Arial" w:cs="Arial"/>
          <w:b/>
          <w:bCs/>
          <w:sz w:val="20"/>
          <w:szCs w:val="20"/>
        </w:rPr>
        <w:t> and </w:t>
      </w:r>
      <w:r w:rsidRPr="00F9365F">
        <w:rPr>
          <w:rFonts w:ascii="Arial" w:hAnsi="Arial" w:cs="Arial"/>
          <w:b/>
          <w:bCs/>
          <w:i/>
          <w:iCs/>
          <w:sz w:val="20"/>
          <w:szCs w:val="20"/>
        </w:rPr>
        <w:t>egt2</w:t>
      </w:r>
      <w:r w:rsidRPr="00F9365F">
        <w:rPr>
          <w:rFonts w:ascii="Arial" w:hAnsi="Arial" w:cs="Arial"/>
          <w:b/>
          <w:bCs/>
          <w:sz w:val="20"/>
          <w:szCs w:val="20"/>
        </w:rPr>
        <w:t xml:space="preserve"> near-isogenic lines. </w:t>
      </w:r>
    </w:p>
    <w:p w14:paraId="03F32184" w14:textId="20D2FAF5" w:rsidR="005403BB" w:rsidRDefault="00F9365F" w:rsidP="00F9365F">
      <w:pPr>
        <w:jc w:val="both"/>
        <w:rPr>
          <w:rFonts w:ascii="Arial" w:hAnsi="Arial" w:cs="Arial"/>
          <w:sz w:val="20"/>
          <w:szCs w:val="20"/>
        </w:rPr>
      </w:pPr>
      <w:r w:rsidRPr="00F9365F">
        <w:rPr>
          <w:rFonts w:ascii="Arial" w:hAnsi="Arial" w:cs="Arial"/>
          <w:sz w:val="20"/>
          <w:szCs w:val="20"/>
        </w:rPr>
        <w:t>List of homoeologue-specific TILLING mutations in the A, B and D genomes used to generate loss-of-function alleles of </w:t>
      </w:r>
      <w:r w:rsidRPr="00F9365F">
        <w:rPr>
          <w:rFonts w:ascii="Arial" w:hAnsi="Arial" w:cs="Arial"/>
          <w:i/>
          <w:iCs/>
          <w:sz w:val="20"/>
          <w:szCs w:val="20"/>
        </w:rPr>
        <w:t>EGT1</w:t>
      </w:r>
      <w:r w:rsidRPr="00F9365F">
        <w:rPr>
          <w:rFonts w:ascii="Arial" w:hAnsi="Arial" w:cs="Arial"/>
          <w:sz w:val="20"/>
          <w:szCs w:val="20"/>
        </w:rPr>
        <w:t> and </w:t>
      </w:r>
      <w:r w:rsidRPr="00F9365F">
        <w:rPr>
          <w:rFonts w:ascii="Arial" w:hAnsi="Arial" w:cs="Arial"/>
          <w:i/>
          <w:iCs/>
          <w:sz w:val="20"/>
          <w:szCs w:val="20"/>
        </w:rPr>
        <w:t>EGT2</w:t>
      </w:r>
      <w:r w:rsidRPr="00F9365F">
        <w:rPr>
          <w:rFonts w:ascii="Arial" w:hAnsi="Arial" w:cs="Arial"/>
          <w:sz w:val="20"/>
          <w:szCs w:val="20"/>
        </w:rPr>
        <w:t> in wheat cv. Cadenza. The table includes sequences and corresponding Ensembl Plants gene identifiers. KASP primer sequences used for marker-assisted selection and links to publicly available mutation resources are also provided.</w:t>
      </w:r>
    </w:p>
    <w:p w14:paraId="605CBC31" w14:textId="77777777" w:rsidR="00F9365F" w:rsidRDefault="00F9365F" w:rsidP="00F9365F">
      <w:pPr>
        <w:rPr>
          <w:rFonts w:ascii="Arial" w:hAnsi="Arial" w:cs="Arial"/>
          <w:sz w:val="20"/>
          <w:szCs w:val="20"/>
        </w:rPr>
      </w:pPr>
    </w:p>
    <w:p w14:paraId="55A130FA" w14:textId="231D34CD" w:rsidR="003C0FBD" w:rsidRPr="00005F82" w:rsidRDefault="004836DF" w:rsidP="00F9365F">
      <w:pPr>
        <w:tabs>
          <w:tab w:val="left" w:pos="1552"/>
        </w:tabs>
        <w:jc w:val="center"/>
        <w:rPr>
          <w:rFonts w:ascii="Arial" w:hAnsi="Arial" w:cs="Arial"/>
          <w:sz w:val="20"/>
          <w:szCs w:val="20"/>
        </w:rPr>
      </w:pPr>
      <w:r w:rsidRPr="00833EF0">
        <w:rPr>
          <w:rFonts w:ascii="Arial" w:hAnsi="Arial" w:cs="Arial"/>
          <w:noProof/>
          <w:sz w:val="20"/>
          <w:szCs w:val="20"/>
        </w:rPr>
        <w:object w:dxaOrig="9020" w:dyaOrig="4600" w14:anchorId="3BD50D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51.3pt;height:230.1pt;mso-width-percent:0;mso-height-percent:0;mso-width-percent:0;mso-height-percent:0" o:ole="">
            <v:imagedata r:id="rId12" o:title=""/>
          </v:shape>
          <o:OLEObject Type="Embed" ProgID="Word.Document.12" ShapeID="_x0000_i1025" DrawAspect="Content" ObjectID="_1846646603" r:id="rId13">
            <o:FieldCodes>\s</o:FieldCodes>
          </o:OLEObject>
        </w:object>
      </w:r>
    </w:p>
    <w:sectPr w:rsidR="003C0FBD" w:rsidRPr="00005F82" w:rsidSect="00963FA1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0C"/>
    <w:rsid w:val="00001F9C"/>
    <w:rsid w:val="00005F82"/>
    <w:rsid w:val="00037443"/>
    <w:rsid w:val="000E1591"/>
    <w:rsid w:val="001340A8"/>
    <w:rsid w:val="00177FEC"/>
    <w:rsid w:val="00186C73"/>
    <w:rsid w:val="001900C7"/>
    <w:rsid w:val="00195C8B"/>
    <w:rsid w:val="001B06D8"/>
    <w:rsid w:val="00203FFE"/>
    <w:rsid w:val="00223B51"/>
    <w:rsid w:val="002324C2"/>
    <w:rsid w:val="002347A2"/>
    <w:rsid w:val="00240A99"/>
    <w:rsid w:val="00257DC1"/>
    <w:rsid w:val="002B5167"/>
    <w:rsid w:val="00310A12"/>
    <w:rsid w:val="00327205"/>
    <w:rsid w:val="00360C7E"/>
    <w:rsid w:val="003C0FBD"/>
    <w:rsid w:val="003E4A70"/>
    <w:rsid w:val="003F646A"/>
    <w:rsid w:val="0046240E"/>
    <w:rsid w:val="004836DF"/>
    <w:rsid w:val="004A5C76"/>
    <w:rsid w:val="004C437A"/>
    <w:rsid w:val="004C61CF"/>
    <w:rsid w:val="004E0B9F"/>
    <w:rsid w:val="005403BB"/>
    <w:rsid w:val="00544E78"/>
    <w:rsid w:val="00550030"/>
    <w:rsid w:val="00571C54"/>
    <w:rsid w:val="005959A4"/>
    <w:rsid w:val="005B2AEC"/>
    <w:rsid w:val="005E47FE"/>
    <w:rsid w:val="00605BF1"/>
    <w:rsid w:val="00635088"/>
    <w:rsid w:val="00647B95"/>
    <w:rsid w:val="0066545A"/>
    <w:rsid w:val="00666CF1"/>
    <w:rsid w:val="006921B5"/>
    <w:rsid w:val="006A00C9"/>
    <w:rsid w:val="006A250A"/>
    <w:rsid w:val="006A5120"/>
    <w:rsid w:val="006B57A5"/>
    <w:rsid w:val="006C2AD7"/>
    <w:rsid w:val="006E2849"/>
    <w:rsid w:val="007137EB"/>
    <w:rsid w:val="00715E0A"/>
    <w:rsid w:val="0073363D"/>
    <w:rsid w:val="00734017"/>
    <w:rsid w:val="00782F8E"/>
    <w:rsid w:val="007A5CD8"/>
    <w:rsid w:val="007E0A1E"/>
    <w:rsid w:val="007F1A06"/>
    <w:rsid w:val="00833EF0"/>
    <w:rsid w:val="008D2D37"/>
    <w:rsid w:val="008F707F"/>
    <w:rsid w:val="00950EE5"/>
    <w:rsid w:val="00963FA1"/>
    <w:rsid w:val="00965E86"/>
    <w:rsid w:val="00972A19"/>
    <w:rsid w:val="0098323F"/>
    <w:rsid w:val="00992F0C"/>
    <w:rsid w:val="009B2464"/>
    <w:rsid w:val="00A069B3"/>
    <w:rsid w:val="00A41BA7"/>
    <w:rsid w:val="00A5080D"/>
    <w:rsid w:val="00A82EA7"/>
    <w:rsid w:val="00B41060"/>
    <w:rsid w:val="00B5714D"/>
    <w:rsid w:val="00B91A52"/>
    <w:rsid w:val="00B967D5"/>
    <w:rsid w:val="00BE0B59"/>
    <w:rsid w:val="00BE23E0"/>
    <w:rsid w:val="00C16635"/>
    <w:rsid w:val="00C22388"/>
    <w:rsid w:val="00C27E9C"/>
    <w:rsid w:val="00C34EB7"/>
    <w:rsid w:val="00C976CA"/>
    <w:rsid w:val="00CC02F0"/>
    <w:rsid w:val="00CC1F58"/>
    <w:rsid w:val="00CD6B96"/>
    <w:rsid w:val="00D0301C"/>
    <w:rsid w:val="00D414CF"/>
    <w:rsid w:val="00DB0976"/>
    <w:rsid w:val="00E40919"/>
    <w:rsid w:val="00E672C4"/>
    <w:rsid w:val="00E72A42"/>
    <w:rsid w:val="00E72E60"/>
    <w:rsid w:val="00EC2A3F"/>
    <w:rsid w:val="00ED49BF"/>
    <w:rsid w:val="00EE4A2E"/>
    <w:rsid w:val="00F1060A"/>
    <w:rsid w:val="00F15986"/>
    <w:rsid w:val="00F322DA"/>
    <w:rsid w:val="00F624BF"/>
    <w:rsid w:val="00F9365F"/>
    <w:rsid w:val="00FC70B9"/>
    <w:rsid w:val="00FE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2FC5"/>
  <w15:chartTrackingRefBased/>
  <w15:docId w15:val="{ED22A39D-00E9-1C4D-BE66-D31D3B60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F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F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F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F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F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F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F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F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F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F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F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F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F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F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F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F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F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F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3508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Revision">
    <w:name w:val="Revision"/>
    <w:hidden/>
    <w:uiPriority w:val="99"/>
    <w:semiHidden/>
    <w:rsid w:val="00571C54"/>
  </w:style>
  <w:style w:type="character" w:styleId="CommentReference">
    <w:name w:val="annotation reference"/>
    <w:basedOn w:val="DefaultParagraphFont"/>
    <w:uiPriority w:val="99"/>
    <w:semiHidden/>
    <w:unhideWhenUsed/>
    <w:rsid w:val="00C166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6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6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6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6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package" Target="embeddings/Microsoft_Word_Document.docx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9</Pages>
  <Words>1033</Words>
  <Characters>5890</Characters>
  <Application>Microsoft Office Word</Application>
  <DocSecurity>0</DocSecurity>
  <Lines>49</Lines>
  <Paragraphs>13</Paragraphs>
  <ScaleCrop>false</ScaleCrop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Bhosale (staff)</dc:creator>
  <cp:keywords/>
  <dc:description/>
  <cp:lastModifiedBy>Rahul Bhosale (staff)</cp:lastModifiedBy>
  <cp:revision>80</cp:revision>
  <dcterms:created xsi:type="dcterms:W3CDTF">2026-07-16T06:05:00Z</dcterms:created>
  <dcterms:modified xsi:type="dcterms:W3CDTF">2026-07-27T07:37:00Z</dcterms:modified>
</cp:coreProperties>
</file>