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EE70" w14:textId="77777777" w:rsidR="00D7511E" w:rsidRPr="002306C6" w:rsidRDefault="00D7511E" w:rsidP="00D7511E">
      <w:pPr>
        <w:spacing w:after="0" w:line="480" w:lineRule="auto"/>
        <w:rPr>
          <w:rFonts w:asciiTheme="majorHAnsi" w:hAnsiTheme="majorHAnsi" w:cstheme="majorHAnsi"/>
          <w:sz w:val="24"/>
          <w:szCs w:val="24"/>
        </w:rPr>
      </w:pPr>
      <w:r w:rsidRPr="002306C6">
        <w:rPr>
          <w:rFonts w:asciiTheme="majorHAnsi" w:hAnsiTheme="majorHAnsi" w:cstheme="majorHAnsi"/>
          <w:sz w:val="24"/>
          <w:szCs w:val="24"/>
        </w:rPr>
        <w:t>Supplementary Table S1. Illustrative evidence supporting inference of proposed sustainment mechanisms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906"/>
        <w:gridCol w:w="2513"/>
        <w:gridCol w:w="2051"/>
        <w:gridCol w:w="1898"/>
        <w:gridCol w:w="2626"/>
        <w:gridCol w:w="1956"/>
      </w:tblGrid>
      <w:tr w:rsidR="00D7511E" w:rsidRPr="004514FC" w14:paraId="66B33EBB" w14:textId="77777777" w:rsidTr="001550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86EC51" w14:textId="77777777" w:rsidR="00D7511E" w:rsidRPr="004514FC" w:rsidRDefault="00D7511E" w:rsidP="001550E4">
            <w:pPr>
              <w:jc w:val="center"/>
              <w:rPr>
                <w:rFonts w:asciiTheme="majorHAnsi" w:hAnsiTheme="majorHAnsi" w:cstheme="majorHAnsi"/>
              </w:rPr>
            </w:pPr>
            <w:r w:rsidRPr="004514FC">
              <w:rPr>
                <w:rFonts w:asciiTheme="majorHAnsi" w:hAnsiTheme="majorHAnsi" w:cstheme="majorHAnsi"/>
              </w:rPr>
              <w:br w:type="page"/>
            </w:r>
            <w:r w:rsidRPr="004514FC">
              <w:rPr>
                <w:rFonts w:asciiTheme="majorHAnsi" w:hAnsiTheme="majorHAnsi" w:cstheme="majorHAnsi"/>
                <w:b w:val="0"/>
                <w:bCs w:val="0"/>
              </w:rPr>
              <w:t>Mechanism</w:t>
            </w:r>
          </w:p>
        </w:tc>
        <w:tc>
          <w:tcPr>
            <w:tcW w:w="0" w:type="auto"/>
            <w:hideMark/>
          </w:tcPr>
          <w:p w14:paraId="0224D105" w14:textId="77777777" w:rsidR="00D7511E" w:rsidRPr="004514FC" w:rsidRDefault="00D7511E" w:rsidP="00155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4514FC">
              <w:rPr>
                <w:rFonts w:asciiTheme="majorHAnsi" w:hAnsiTheme="majorHAnsi" w:cstheme="majorHAnsi"/>
                <w:b w:val="0"/>
                <w:bCs w:val="0"/>
              </w:rPr>
              <w:t>Illustrative implementation activities/processes</w:t>
            </w:r>
          </w:p>
        </w:tc>
        <w:tc>
          <w:tcPr>
            <w:tcW w:w="0" w:type="auto"/>
            <w:hideMark/>
          </w:tcPr>
          <w:p w14:paraId="59736E61" w14:textId="77777777" w:rsidR="00D7511E" w:rsidRPr="004514FC" w:rsidRDefault="00D7511E" w:rsidP="00155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4514FC">
              <w:rPr>
                <w:rFonts w:asciiTheme="majorHAnsi" w:hAnsiTheme="majorHAnsi" w:cstheme="majorHAnsi"/>
                <w:b w:val="0"/>
                <w:bCs w:val="0"/>
              </w:rPr>
              <w:t>Patient/public evidence</w:t>
            </w:r>
          </w:p>
        </w:tc>
        <w:tc>
          <w:tcPr>
            <w:tcW w:w="0" w:type="auto"/>
            <w:hideMark/>
          </w:tcPr>
          <w:p w14:paraId="3C5E569C" w14:textId="77777777" w:rsidR="00D7511E" w:rsidRPr="004514FC" w:rsidRDefault="00D7511E" w:rsidP="00155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4514FC">
              <w:rPr>
                <w:rFonts w:asciiTheme="majorHAnsi" w:hAnsiTheme="majorHAnsi" w:cstheme="majorHAnsi"/>
                <w:b w:val="0"/>
                <w:bCs w:val="0"/>
              </w:rPr>
              <w:t>Workforce evidence</w:t>
            </w:r>
          </w:p>
        </w:tc>
        <w:tc>
          <w:tcPr>
            <w:tcW w:w="0" w:type="auto"/>
            <w:hideMark/>
          </w:tcPr>
          <w:p w14:paraId="0A2D6136" w14:textId="77777777" w:rsidR="00D7511E" w:rsidRPr="004514FC" w:rsidRDefault="00D7511E" w:rsidP="00155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4514FC">
              <w:rPr>
                <w:rFonts w:asciiTheme="majorHAnsi" w:hAnsiTheme="majorHAnsi" w:cstheme="majorHAnsi"/>
                <w:b w:val="0"/>
                <w:bCs w:val="0"/>
              </w:rPr>
              <w:t>Organisational/system evidence</w:t>
            </w:r>
          </w:p>
        </w:tc>
        <w:tc>
          <w:tcPr>
            <w:tcW w:w="0" w:type="auto"/>
            <w:hideMark/>
          </w:tcPr>
          <w:p w14:paraId="09F7137C" w14:textId="77777777" w:rsidR="00D7511E" w:rsidRPr="004514FC" w:rsidRDefault="00D7511E" w:rsidP="00155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4514FC">
              <w:rPr>
                <w:rFonts w:asciiTheme="majorHAnsi" w:hAnsiTheme="majorHAnsi" w:cstheme="majorHAnsi"/>
                <w:b w:val="0"/>
                <w:bCs w:val="0"/>
              </w:rPr>
              <w:t>Illustrative quote</w:t>
            </w:r>
          </w:p>
        </w:tc>
      </w:tr>
      <w:tr w:rsidR="00D7511E" w:rsidRPr="004514FC" w14:paraId="50BB8CCA" w14:textId="77777777" w:rsidTr="0015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7A7F1A" w14:textId="77777777" w:rsidR="00D7511E" w:rsidRPr="004514FC" w:rsidRDefault="00D7511E" w:rsidP="001550E4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4514FC">
              <w:rPr>
                <w:rFonts w:asciiTheme="majorHAnsi" w:hAnsiTheme="majorHAnsi" w:cstheme="majorHAnsi"/>
              </w:rPr>
              <w:t>Building workforce capability</w:t>
            </w:r>
          </w:p>
        </w:tc>
        <w:tc>
          <w:tcPr>
            <w:tcW w:w="0" w:type="auto"/>
            <w:hideMark/>
          </w:tcPr>
          <w:p w14:paraId="476AC2E4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Competency framework, onboarding, observation, co-delivery, skill-builder sessions</w:t>
            </w:r>
          </w:p>
        </w:tc>
        <w:tc>
          <w:tcPr>
            <w:tcW w:w="0" w:type="auto"/>
            <w:hideMark/>
          </w:tcPr>
          <w:p w14:paraId="65C37260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High confidence in NROL staff and support</w:t>
            </w:r>
          </w:p>
        </w:tc>
        <w:tc>
          <w:tcPr>
            <w:tcW w:w="0" w:type="auto"/>
            <w:hideMark/>
          </w:tcPr>
          <w:p w14:paraId="1607CD01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Observation viewed as confidence-building; increased digital facilitation confidence</w:t>
            </w:r>
          </w:p>
        </w:tc>
        <w:tc>
          <w:tcPr>
            <w:tcW w:w="0" w:type="auto"/>
            <w:hideMark/>
          </w:tcPr>
          <w:p w14:paraId="44506A11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Workforce development pathway embedded within programme delivery</w:t>
            </w:r>
          </w:p>
        </w:tc>
        <w:tc>
          <w:tcPr>
            <w:tcW w:w="0" w:type="auto"/>
            <w:hideMark/>
          </w:tcPr>
          <w:p w14:paraId="5C01EBAF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 xml:space="preserve">"Observing NROL sessions is a highly effective confidence-builder for staff." </w:t>
            </w:r>
            <w:r w:rsidRPr="004514F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(Workforce workshop participant)</w:t>
            </w:r>
          </w:p>
        </w:tc>
      </w:tr>
      <w:tr w:rsidR="00D7511E" w:rsidRPr="004514FC" w14:paraId="362D0B1C" w14:textId="77777777" w:rsidTr="00155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14F0A8" w14:textId="77777777" w:rsidR="00D7511E" w:rsidRPr="004514FC" w:rsidRDefault="00D7511E" w:rsidP="001550E4">
            <w:pPr>
              <w:rPr>
                <w:rFonts w:asciiTheme="majorHAnsi" w:hAnsiTheme="majorHAnsi" w:cstheme="majorHAnsi"/>
              </w:rPr>
            </w:pPr>
            <w:r w:rsidRPr="004514FC">
              <w:rPr>
                <w:rFonts w:asciiTheme="majorHAnsi" w:hAnsiTheme="majorHAnsi" w:cstheme="majorHAnsi"/>
              </w:rPr>
              <w:t>Building and sustaining collaborative relationships</w:t>
            </w:r>
          </w:p>
        </w:tc>
        <w:tc>
          <w:tcPr>
            <w:tcW w:w="0" w:type="auto"/>
            <w:hideMark/>
          </w:tcPr>
          <w:p w14:paraId="2C613D9E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MDT delivery, peer support, cross-region learning, shared problem-solving</w:t>
            </w:r>
          </w:p>
        </w:tc>
        <w:tc>
          <w:tcPr>
            <w:tcW w:w="0" w:type="auto"/>
            <w:hideMark/>
          </w:tcPr>
          <w:p w14:paraId="29858F0C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Peer support, reduced isolation, shared experience</w:t>
            </w:r>
          </w:p>
        </w:tc>
        <w:tc>
          <w:tcPr>
            <w:tcW w:w="0" w:type="auto"/>
            <w:hideMark/>
          </w:tcPr>
          <w:p w14:paraId="03CD7F21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Cross-organisational learning and workforce engagement</w:t>
            </w:r>
          </w:p>
        </w:tc>
        <w:tc>
          <w:tcPr>
            <w:tcW w:w="0" w:type="auto"/>
            <w:hideMark/>
          </w:tcPr>
          <w:p w14:paraId="7D92B833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Collaboration across services and providers</w:t>
            </w:r>
          </w:p>
        </w:tc>
        <w:tc>
          <w:tcPr>
            <w:tcW w:w="0" w:type="auto"/>
            <w:hideMark/>
          </w:tcPr>
          <w:p w14:paraId="00B18AF8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 xml:space="preserve">"The sessions were great, they made me feel I was not alone." </w:t>
            </w:r>
            <w:r w:rsidRPr="004514F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(Patient focus group participant)</w:t>
            </w:r>
          </w:p>
        </w:tc>
      </w:tr>
      <w:tr w:rsidR="00D7511E" w:rsidRPr="004514FC" w14:paraId="4957856E" w14:textId="77777777" w:rsidTr="0015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1001CB" w14:textId="77777777" w:rsidR="00D7511E" w:rsidRPr="004514FC" w:rsidRDefault="00D7511E" w:rsidP="001550E4">
            <w:pPr>
              <w:rPr>
                <w:rFonts w:asciiTheme="majorHAnsi" w:hAnsiTheme="majorHAnsi" w:cstheme="majorHAnsi"/>
              </w:rPr>
            </w:pPr>
            <w:r w:rsidRPr="004514FC">
              <w:rPr>
                <w:rFonts w:asciiTheme="majorHAnsi" w:hAnsiTheme="majorHAnsi" w:cstheme="majorHAnsi"/>
              </w:rPr>
              <w:t>Embedding delivery within organisational systems</w:t>
            </w:r>
          </w:p>
        </w:tc>
        <w:tc>
          <w:tcPr>
            <w:tcW w:w="0" w:type="auto"/>
            <w:hideMark/>
          </w:tcPr>
          <w:p w14:paraId="7621BF21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Referral pathways, governance arrangements, coordination roles, recording processes</w:t>
            </w:r>
          </w:p>
        </w:tc>
        <w:tc>
          <w:tcPr>
            <w:tcW w:w="0" w:type="auto"/>
            <w:hideMark/>
          </w:tcPr>
          <w:p w14:paraId="07AE54E5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Improved access and continuity of care</w:t>
            </w:r>
          </w:p>
        </w:tc>
        <w:tc>
          <w:tcPr>
            <w:tcW w:w="0" w:type="auto"/>
            <w:hideMark/>
          </w:tcPr>
          <w:p w14:paraId="45FB8B11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Routine referral and delivery practices</w:t>
            </w:r>
          </w:p>
        </w:tc>
        <w:tc>
          <w:tcPr>
            <w:tcW w:w="0" w:type="auto"/>
            <w:hideMark/>
          </w:tcPr>
          <w:p w14:paraId="5E12D5A7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Integration into workflows; commissioning support; recurrent delivery</w:t>
            </w:r>
          </w:p>
        </w:tc>
        <w:tc>
          <w:tcPr>
            <w:tcW w:w="0" w:type="auto"/>
            <w:hideMark/>
          </w:tcPr>
          <w:p w14:paraId="139B56A4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 xml:space="preserve">"Why not NROL?" became a routine reflective referral prompt. </w:t>
            </w:r>
            <w:r w:rsidRPr="004514F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(Workforce workshop findings)</w:t>
            </w:r>
          </w:p>
        </w:tc>
      </w:tr>
      <w:tr w:rsidR="00D7511E" w:rsidRPr="004514FC" w14:paraId="1C7BCA52" w14:textId="77777777" w:rsidTr="001550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A69B1D" w14:textId="77777777" w:rsidR="00D7511E" w:rsidRPr="004514FC" w:rsidRDefault="00D7511E" w:rsidP="001550E4">
            <w:pPr>
              <w:rPr>
                <w:rFonts w:asciiTheme="majorHAnsi" w:hAnsiTheme="majorHAnsi" w:cstheme="majorHAnsi"/>
              </w:rPr>
            </w:pPr>
            <w:r w:rsidRPr="004514FC">
              <w:rPr>
                <w:rFonts w:asciiTheme="majorHAnsi" w:hAnsiTheme="majorHAnsi" w:cstheme="majorHAnsi"/>
              </w:rPr>
              <w:t>Maintaining contextual fit</w:t>
            </w:r>
          </w:p>
        </w:tc>
        <w:tc>
          <w:tcPr>
            <w:tcW w:w="0" w:type="auto"/>
            <w:hideMark/>
          </w:tcPr>
          <w:p w14:paraId="3B996C52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Adaptation of groups, scheduling, referral processes and delivery models</w:t>
            </w:r>
          </w:p>
        </w:tc>
        <w:tc>
          <w:tcPr>
            <w:tcW w:w="0" w:type="auto"/>
            <w:hideMark/>
          </w:tcPr>
          <w:p w14:paraId="07DD55E4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Requests for diagnosis-specific groups and different session timings</w:t>
            </w:r>
          </w:p>
        </w:tc>
        <w:tc>
          <w:tcPr>
            <w:tcW w:w="0" w:type="auto"/>
            <w:hideMark/>
          </w:tcPr>
          <w:p w14:paraId="5134C5F9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Adaptation to local service pressures and patient needs</w:t>
            </w:r>
          </w:p>
        </w:tc>
        <w:tc>
          <w:tcPr>
            <w:tcW w:w="0" w:type="auto"/>
            <w:hideMark/>
          </w:tcPr>
          <w:p w14:paraId="709BB97F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Service modifications while retaining core programme functions</w:t>
            </w:r>
          </w:p>
        </w:tc>
        <w:tc>
          <w:tcPr>
            <w:tcW w:w="0" w:type="auto"/>
            <w:hideMark/>
          </w:tcPr>
          <w:p w14:paraId="21282763" w14:textId="77777777" w:rsidR="00D7511E" w:rsidRPr="004514FC" w:rsidRDefault="00D7511E" w:rsidP="00155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 xml:space="preserve">"The course doesn't help people like me who are trying to work..." </w:t>
            </w:r>
            <w:r w:rsidRPr="004514F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(Patient </w:t>
            </w:r>
            <w:r w:rsidRPr="004514F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lastRenderedPageBreak/>
              <w:t>focus group participant)</w:t>
            </w:r>
          </w:p>
        </w:tc>
      </w:tr>
      <w:tr w:rsidR="00D7511E" w:rsidRPr="004514FC" w14:paraId="6C589453" w14:textId="77777777" w:rsidTr="00155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0D7EF5" w14:textId="77777777" w:rsidR="00D7511E" w:rsidRPr="004514FC" w:rsidRDefault="00D7511E" w:rsidP="001550E4">
            <w:pPr>
              <w:rPr>
                <w:rFonts w:asciiTheme="majorHAnsi" w:hAnsiTheme="majorHAnsi" w:cstheme="majorHAnsi"/>
              </w:rPr>
            </w:pPr>
            <w:r w:rsidRPr="004514FC">
              <w:rPr>
                <w:rFonts w:asciiTheme="majorHAnsi" w:hAnsiTheme="majorHAnsi" w:cstheme="majorHAnsi"/>
              </w:rPr>
              <w:lastRenderedPageBreak/>
              <w:t>Constructing and demonstrating value</w:t>
            </w:r>
          </w:p>
        </w:tc>
        <w:tc>
          <w:tcPr>
            <w:tcW w:w="0" w:type="auto"/>
            <w:hideMark/>
          </w:tcPr>
          <w:p w14:paraId="24CC6EAC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Evaluation, outcome reporting, patient stories, service monitoring, economic analyses</w:t>
            </w:r>
          </w:p>
        </w:tc>
        <w:tc>
          <w:tcPr>
            <w:tcW w:w="0" w:type="auto"/>
            <w:hideMark/>
          </w:tcPr>
          <w:p w14:paraId="51BE8504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Improved access, reduced travel, reduced isolation, increased rehabilitation opportunities</w:t>
            </w:r>
          </w:p>
        </w:tc>
        <w:tc>
          <w:tcPr>
            <w:tcW w:w="0" w:type="auto"/>
            <w:hideMark/>
          </w:tcPr>
          <w:p w14:paraId="1501BDB4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Professional development, workforce efficiencies, MDT learning</w:t>
            </w:r>
          </w:p>
        </w:tc>
        <w:tc>
          <w:tcPr>
            <w:tcW w:w="0" w:type="auto"/>
            <w:hideMark/>
          </w:tcPr>
          <w:p w14:paraId="7ED74E4C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Prioritisation, resource allocation, recurrent commissioning and investment</w:t>
            </w:r>
          </w:p>
        </w:tc>
        <w:tc>
          <w:tcPr>
            <w:tcW w:w="0" w:type="auto"/>
            <w:hideMark/>
          </w:tcPr>
          <w:p w14:paraId="24E3A462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sz w:val="20"/>
                <w:szCs w:val="20"/>
              </w:rPr>
              <w:t xml:space="preserve">"This isn't about </w:t>
            </w:r>
            <w:proofErr w:type="gramStart"/>
            <w:r w:rsidRPr="004514FC">
              <w:rPr>
                <w:rFonts w:asciiTheme="majorHAnsi" w:hAnsiTheme="majorHAnsi" w:cstheme="majorHAnsi"/>
                <w:sz w:val="20"/>
                <w:szCs w:val="20"/>
              </w:rPr>
              <w:t>money,</w:t>
            </w:r>
            <w:proofErr w:type="gramEnd"/>
            <w:r w:rsidRPr="004514FC">
              <w:rPr>
                <w:rFonts w:asciiTheme="majorHAnsi" w:hAnsiTheme="majorHAnsi" w:cstheme="majorHAnsi"/>
                <w:sz w:val="20"/>
                <w:szCs w:val="20"/>
              </w:rPr>
              <w:t xml:space="preserve"> it's about people's recovery." </w:t>
            </w:r>
          </w:p>
          <w:p w14:paraId="4C26174C" w14:textId="77777777" w:rsidR="00D7511E" w:rsidRPr="004514FC" w:rsidRDefault="00D7511E" w:rsidP="00155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4514FC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(Patient focus group participant)</w:t>
            </w:r>
          </w:p>
        </w:tc>
      </w:tr>
    </w:tbl>
    <w:p w14:paraId="1D3F2C91" w14:textId="77777777" w:rsidR="00D7511E" w:rsidRPr="002306C6" w:rsidRDefault="00D7511E" w:rsidP="00D7511E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r w:rsidRPr="002306C6">
        <w:rPr>
          <w:rFonts w:asciiTheme="majorHAnsi" w:hAnsiTheme="majorHAnsi" w:cstheme="majorHAnsi"/>
          <w:sz w:val="24"/>
          <w:szCs w:val="24"/>
        </w:rPr>
        <w:t>Illustrative examples only; mechanism inferences were informed by convergence across multiple data sources.</w:t>
      </w:r>
    </w:p>
    <w:p w14:paraId="78CF08A4" w14:textId="77777777" w:rsidR="00676269" w:rsidRDefault="00676269"/>
    <w:sectPr w:rsidR="00676269" w:rsidSect="00D7511E">
      <w:pgSz w:w="15840" w:h="12240" w:orient="landscape"/>
      <w:pgMar w:top="1800" w:right="1440" w:bottom="14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1E"/>
    <w:rsid w:val="00221FEA"/>
    <w:rsid w:val="00566162"/>
    <w:rsid w:val="00676269"/>
    <w:rsid w:val="00BB7B26"/>
    <w:rsid w:val="00D7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4840"/>
  <w15:chartTrackingRefBased/>
  <w15:docId w15:val="{14ED3DB6-E953-4686-8C8B-0DF4AC0D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11E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1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1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1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1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1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11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11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11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11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1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1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1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1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1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1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5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11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5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11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51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11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51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1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11E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99"/>
    <w:rsid w:val="00D7511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CDD265D02254FAAD6FB138C95E205" ma:contentTypeVersion="14" ma:contentTypeDescription="Create a new document." ma:contentTypeScope="" ma:versionID="38af6f624fc67083c62309c54fb075a4">
  <xsd:schema xmlns:xsd="http://www.w3.org/2001/XMLSchema" xmlns:xs="http://www.w3.org/2001/XMLSchema" xmlns:p="http://schemas.microsoft.com/office/2006/metadata/properties" xmlns:ns2="ad3c1fb4-39bf-4215-82f0-2ac148335ebc" xmlns:ns3="007779f0-21cb-4888-bbf2-31f140f2c77c" targetNamespace="http://schemas.microsoft.com/office/2006/metadata/properties" ma:root="true" ma:fieldsID="d6ba4dc3ae9ae33efada5eb57afaa514" ns2:_="" ns3:_="">
    <xsd:import namespace="ad3c1fb4-39bf-4215-82f0-2ac148335ebc"/>
    <xsd:import namespace="007779f0-21cb-4888-bbf2-31f140f2c7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c1fb4-39bf-4215-82f0-2ac148335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779f0-21cb-4888-bbf2-31f140f2c7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a889707-c1a8-4332-abe3-3ba7e3bccfd2}" ma:internalName="TaxCatchAll" ma:showField="CatchAllData" ma:web="007779f0-21cb-4888-bbf2-31f140f2c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7779f0-21cb-4888-bbf2-31f140f2c77c" xsi:nil="true"/>
    <lcf76f155ced4ddcb4097134ff3c332f xmlns="ad3c1fb4-39bf-4215-82f0-2ac148335e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0CFFC1-E588-444E-A722-BFE32BD50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c1fb4-39bf-4215-82f0-2ac148335ebc"/>
    <ds:schemaRef ds:uri="007779f0-21cb-4888-bbf2-31f140f2c7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B84D63-D274-401C-8D5A-92B46E7F4C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D1EA1-A719-48CF-94D8-7F72A4130BBA}">
  <ds:schemaRefs>
    <ds:schemaRef ds:uri="http://schemas.microsoft.com/office/2006/metadata/properties"/>
    <ds:schemaRef ds:uri="http://schemas.microsoft.com/office/infopath/2007/PartnerControls"/>
    <ds:schemaRef ds:uri="007779f0-21cb-4888-bbf2-31f140f2c77c"/>
    <ds:schemaRef ds:uri="ad3c1fb4-39bf-4215-82f0-2ac148335e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>Lancaster University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Connell, Louise</dc:creator>
  <cp:keywords/>
  <dc:description/>
  <cp:lastModifiedBy>Connell, Louise</cp:lastModifiedBy>
  <cp:revision>1</cp:revision>
  <dcterms:created xsi:type="dcterms:W3CDTF">2026-07-29T14:15:00Z</dcterms:created>
  <dcterms:modified xsi:type="dcterms:W3CDTF">2026-07-29T14:17:00Z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0x01010098CCDD265D02254FAAD6FB138C95E205</vt:lpwstr>
  </property>
  <property fmtid="{D5CDD505-2E9C-101B-9397-08002B2CF9AE}" pid="3" name="MediaServiceImageTags">
    <vt:lpwstr/>
  </property>
</Properties>
</file>