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AA4D09" w14:textId="57299DD5" w:rsidR="002D1B09" w:rsidRPr="00F449F9" w:rsidRDefault="002D1B09" w:rsidP="002D1B09">
      <w:pPr>
        <w:spacing w:line="480" w:lineRule="auto"/>
        <w:rPr>
          <w:rFonts w:ascii="Times New Roman" w:eastAsia="等线" w:hAnsi="Times New Roman" w:cs="Times New Roman"/>
          <w:color w:val="000000" w:themeColor="text1"/>
          <w:kern w:val="24"/>
          <w:szCs w:val="21"/>
        </w:rPr>
      </w:pPr>
      <w:r w:rsidRPr="00F449F9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Supplementary</w:t>
      </w:r>
      <w:r w:rsidRPr="00F449F9">
        <w:rPr>
          <w:b/>
          <w:bCs/>
          <w:color w:val="000000" w:themeColor="text1"/>
        </w:rPr>
        <w:t xml:space="preserve"> </w:t>
      </w:r>
      <w:r w:rsidRPr="00F449F9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Fig</w:t>
      </w:r>
      <w:r w:rsidR="00D82B99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.</w:t>
      </w:r>
      <w:r w:rsidRPr="00F449F9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 xml:space="preserve"> 1. 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Intestinal villus crypt depth in 5P and 3A rats (n = 5). </w:t>
      </w:r>
      <w:r w:rsidRPr="0043786D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(A-D)</w:t>
      </w:r>
      <w:r w:rsidR="00D82B99" w:rsidRPr="00D82B9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</w:t>
      </w:r>
      <w:r w:rsidR="00D82B9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I</w:t>
      </w:r>
      <w:r w:rsidR="00D82B99"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ntestinal villus heights of </w:t>
      </w:r>
      <w:bookmarkStart w:id="0" w:name="_Hlk53644746"/>
      <w:r w:rsidR="00D82B99"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duodenum, jejunum, ileum </w:t>
      </w:r>
      <w:bookmarkStart w:id="1" w:name="_Hlk53671183"/>
      <w:r w:rsidR="00D82B99"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and colon</w:t>
      </w:r>
      <w:bookmarkEnd w:id="0"/>
      <w:bookmarkEnd w:id="1"/>
      <w:r w:rsidR="00D82B99"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.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</w:t>
      </w:r>
      <w:bookmarkStart w:id="2" w:name="_Hlk59203221"/>
      <w:r w:rsidR="00D82B99" w:rsidRPr="0043786D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(E-H)</w:t>
      </w:r>
      <w:r w:rsidR="00D82B9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C</w:t>
      </w:r>
      <w:bookmarkEnd w:id="2"/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rypt depth (n = 5).</w:t>
      </w:r>
    </w:p>
    <w:p w14:paraId="065A1C87" w14:textId="019FFA64" w:rsidR="002D1B09" w:rsidRPr="00F449F9" w:rsidRDefault="002D1B09" w:rsidP="002D1B09">
      <w:pPr>
        <w:spacing w:line="480" w:lineRule="auto"/>
        <w:rPr>
          <w:rFonts w:ascii="Times New Roman" w:eastAsia="等线" w:hAnsi="Times New Roman" w:cs="Times New Roman"/>
          <w:color w:val="000000" w:themeColor="text1"/>
          <w:kern w:val="24"/>
          <w:szCs w:val="21"/>
        </w:rPr>
      </w:pPr>
      <w:bookmarkStart w:id="3" w:name="_Hlk47606586"/>
      <w:r w:rsidRPr="00F449F9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Supplementary</w:t>
      </w:r>
      <w:r w:rsidRPr="00F449F9">
        <w:rPr>
          <w:b/>
          <w:bCs/>
          <w:color w:val="000000" w:themeColor="text1"/>
        </w:rPr>
        <w:t xml:space="preserve"> </w:t>
      </w:r>
      <w:r w:rsidRPr="00F449F9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Fig</w:t>
      </w:r>
      <w:r w:rsidR="00D82B99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.</w:t>
      </w:r>
      <w:r w:rsidRPr="00F449F9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 xml:space="preserve"> 2.</w:t>
      </w:r>
      <w:bookmarkEnd w:id="3"/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Intestinal villus crypt depth in early weaned rats. </w:t>
      </w:r>
      <w:r w:rsidRPr="0043786D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(A-D)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</w:t>
      </w:r>
      <w:r w:rsidR="0043786D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I</w:t>
      </w:r>
      <w:r w:rsidR="0043786D"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ntestinal villus heights of duodenum, jejunum, ileum and colon.</w:t>
      </w:r>
      <w:r w:rsidR="0043786D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</w:t>
      </w:r>
      <w:r w:rsidR="0043786D" w:rsidRPr="0043786D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(E-H)</w:t>
      </w:r>
      <w:r w:rsidR="0043786D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C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rypt depth (n = 20).</w:t>
      </w:r>
    </w:p>
    <w:p w14:paraId="4A051ABE" w14:textId="19676816" w:rsidR="002D1B09" w:rsidRPr="00F449F9" w:rsidRDefault="002D1B09" w:rsidP="002D1B09">
      <w:pPr>
        <w:spacing w:line="480" w:lineRule="auto"/>
        <w:rPr>
          <w:rFonts w:ascii="Times New Roman" w:eastAsia="等线" w:hAnsi="Times New Roman" w:cs="Times New Roman"/>
          <w:color w:val="000000" w:themeColor="text1"/>
          <w:kern w:val="24"/>
          <w:szCs w:val="21"/>
        </w:rPr>
      </w:pPr>
      <w:r w:rsidRPr="00F449F9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Supplementary</w:t>
      </w:r>
      <w:r w:rsidRPr="00F449F9">
        <w:rPr>
          <w:b/>
          <w:bCs/>
          <w:color w:val="000000" w:themeColor="text1"/>
        </w:rPr>
        <w:t xml:space="preserve"> </w:t>
      </w:r>
      <w:r w:rsidRPr="00F449F9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Fig</w:t>
      </w:r>
      <w:r w:rsidR="00D82B99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.</w:t>
      </w:r>
      <w:r w:rsidRPr="00F449F9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 xml:space="preserve"> 3.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S</w:t>
      </w:r>
      <w:r w:rsidRPr="00F449F9">
        <w:rPr>
          <w:rFonts w:ascii="Times New Roman" w:eastAsia="等线" w:hAnsi="Times New Roman" w:cs="Times New Roman" w:hint="eastAsia"/>
          <w:color w:val="000000" w:themeColor="text1"/>
          <w:kern w:val="24"/>
          <w:szCs w:val="21"/>
        </w:rPr>
        <w:t>e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quencing analysis</w:t>
      </w:r>
      <w:r w:rsidRPr="00F449F9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 xml:space="preserve"> 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of gut microbiota in rats treated with melatonin, FMT and FC, respectively.</w:t>
      </w:r>
      <w:r w:rsidRPr="0043786D">
        <w:rPr>
          <w:rFonts w:ascii="Times New Roman" w:eastAsia="等线" w:hAnsi="Times New Roman" w:cs="Times New Roman" w:hint="eastAsia"/>
          <w:b/>
          <w:bCs/>
          <w:color w:val="000000" w:themeColor="text1"/>
          <w:kern w:val="24"/>
          <w:szCs w:val="21"/>
        </w:rPr>
        <w:t xml:space="preserve"> (</w:t>
      </w:r>
      <w:r w:rsidRPr="0043786D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A)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Tags number</w:t>
      </w:r>
      <w:r w:rsidR="0043786D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.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</w:t>
      </w:r>
      <w:r w:rsidRPr="0043786D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(B)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</w:t>
      </w:r>
      <w:r w:rsidR="0043786D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S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pecies bank</w:t>
      </w:r>
      <w:r w:rsidR="0043786D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.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</w:t>
      </w:r>
      <w:r w:rsidRPr="0043786D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(C)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OUT number</w:t>
      </w:r>
      <w:r w:rsidR="0043786D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.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</w:t>
      </w:r>
      <w:r w:rsidRPr="0043786D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(D)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PCA plot</w:t>
      </w:r>
      <w:r w:rsidR="0043786D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.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</w:t>
      </w:r>
      <w:r w:rsidRPr="0043786D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(E)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Venn diagram</w:t>
      </w:r>
      <w:r w:rsidR="0043786D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.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</w:t>
      </w:r>
      <w:r w:rsidRPr="0043786D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(F)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</w:t>
      </w:r>
      <w:r w:rsidR="0043786D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A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nalysis of cladogram</w:t>
      </w:r>
      <w:r w:rsidR="0043786D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.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</w:t>
      </w:r>
      <w:r w:rsidRPr="0043786D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(G)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</w:t>
      </w:r>
      <w:r w:rsidR="0043786D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C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orrelation analysis in 10 groups (n = 5).</w:t>
      </w:r>
    </w:p>
    <w:p w14:paraId="797D9EBE" w14:textId="62FADA23" w:rsidR="00407718" w:rsidRPr="002D5010" w:rsidRDefault="002D1B09" w:rsidP="002D5010">
      <w:pPr>
        <w:spacing w:line="480" w:lineRule="auto"/>
        <w:rPr>
          <w:rFonts w:ascii="Times New Roman" w:eastAsia="等线" w:hAnsi="Times New Roman" w:cs="Times New Roman"/>
          <w:color w:val="000000" w:themeColor="text1"/>
          <w:kern w:val="24"/>
          <w:szCs w:val="21"/>
        </w:rPr>
      </w:pPr>
      <w:r w:rsidRPr="00F449F9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Supplementary</w:t>
      </w:r>
      <w:r w:rsidRPr="00F449F9">
        <w:rPr>
          <w:b/>
          <w:bCs/>
          <w:color w:val="000000" w:themeColor="text1"/>
        </w:rPr>
        <w:t xml:space="preserve"> </w:t>
      </w:r>
      <w:r w:rsidRPr="00F449F9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Fig</w:t>
      </w:r>
      <w:r w:rsidR="00D82B99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.</w:t>
      </w:r>
      <w:r w:rsidRPr="00F449F9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 xml:space="preserve"> 4.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H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  <w:vertAlign w:val="subscript"/>
        </w:rPr>
        <w:t>2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O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  <w:vertAlign w:val="subscript"/>
        </w:rPr>
        <w:t>2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attenuates </w:t>
      </w:r>
      <w:r w:rsidRPr="00F449F9">
        <w:rPr>
          <w:rFonts w:ascii="Times New Roman" w:eastAsia="等线" w:hAnsi="Times New Roman" w:cs="Times New Roman"/>
          <w:bCs/>
          <w:color w:val="000000" w:themeColor="text1"/>
          <w:kern w:val="24"/>
          <w:szCs w:val="21"/>
        </w:rPr>
        <w:t>antioxidation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and induces autophagy in IEC6 </w:t>
      </w:r>
      <w:r w:rsidRPr="00F449F9">
        <w:rPr>
          <w:rFonts w:ascii="Times New Roman" w:eastAsia="等线" w:hAnsi="Times New Roman" w:cs="Times New Roman" w:hint="eastAsia"/>
          <w:color w:val="000000" w:themeColor="text1"/>
          <w:kern w:val="24"/>
          <w:szCs w:val="21"/>
        </w:rPr>
        <w:t>cells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.</w:t>
      </w:r>
      <w:r w:rsidRPr="00F449F9">
        <w:rPr>
          <w:rFonts w:ascii="Times New Roman" w:eastAsia="等线" w:hAnsi="Times New Roman" w:cs="Times New Roman" w:hint="eastAsia"/>
          <w:color w:val="000000" w:themeColor="text1"/>
          <w:kern w:val="24"/>
          <w:szCs w:val="21"/>
        </w:rPr>
        <w:t xml:space="preserve"> 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The cells were treated with 200 </w:t>
      </w:r>
      <w:proofErr w:type="spellStart"/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μM</w:t>
      </w:r>
      <w:proofErr w:type="spellEnd"/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H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  <w:vertAlign w:val="subscript"/>
        </w:rPr>
        <w:t>2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O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  <w:vertAlign w:val="subscript"/>
        </w:rPr>
        <w:t>2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stimulation for 2 h before they were used for the next assay. </w:t>
      </w:r>
      <w:r w:rsidRPr="00AE030A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(A)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The effect of different concentration H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  <w:vertAlign w:val="subscript"/>
        </w:rPr>
        <w:t>2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O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  <w:vertAlign w:val="subscript"/>
        </w:rPr>
        <w:t>2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(100, 150, 200 and 250 </w:t>
      </w:r>
      <w:proofErr w:type="spellStart"/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μM</w:t>
      </w:r>
      <w:proofErr w:type="spellEnd"/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) on </w:t>
      </w:r>
      <w:r w:rsidRPr="00F449F9">
        <w:rPr>
          <w:rFonts w:ascii="Times New Roman" w:eastAsia="等线" w:hAnsi="Times New Roman" w:cs="Times New Roman"/>
          <w:bCs/>
          <w:color w:val="000000" w:themeColor="text1"/>
          <w:kern w:val="24"/>
          <w:szCs w:val="21"/>
        </w:rPr>
        <w:t>antioxidation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</w:t>
      </w:r>
      <w:r w:rsidRPr="00F449F9">
        <w:rPr>
          <w:rFonts w:ascii="Times New Roman" w:eastAsia="等线" w:hAnsi="Times New Roman" w:cs="Times New Roman" w:hint="eastAsia"/>
          <w:color w:val="000000" w:themeColor="text1"/>
          <w:kern w:val="24"/>
          <w:szCs w:val="21"/>
        </w:rPr>
        <w:t>of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IEC6, and fluorescent imagines showed the ROS levels after treated with various concentration H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  <w:vertAlign w:val="subscript"/>
        </w:rPr>
        <w:t>2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O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  <w:vertAlign w:val="subscript"/>
        </w:rPr>
        <w:t>2</w:t>
      </w:r>
      <w:r w:rsidR="00AE030A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.</w:t>
      </w:r>
      <w:r w:rsidRPr="00AE030A">
        <w:rPr>
          <w:rFonts w:ascii="Times New Roman" w:eastAsia="等线" w:hAnsi="Times New Roman" w:cs="Times New Roman" w:hint="eastAsia"/>
          <w:b/>
          <w:bCs/>
          <w:color w:val="000000" w:themeColor="text1"/>
          <w:kern w:val="24"/>
          <w:szCs w:val="21"/>
        </w:rPr>
        <w:t xml:space="preserve"> (</w:t>
      </w:r>
      <w:r w:rsidRPr="00AE030A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B)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TEM images of cell ultrastructure of IEC-6. Red arrows indicate autophagic vacuoles. </w:t>
      </w:r>
      <w:r w:rsidRPr="00AE030A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(C)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</w:t>
      </w:r>
      <w:r w:rsidR="00AE030A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C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ell expression of SOD1, SOD2, GPX5, CAT, LC3B-I, LC3B-II, P62, BECN1 and ATG7 proteins (n = 3)</w:t>
      </w:r>
      <w:r w:rsidR="00AE030A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.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</w:t>
      </w:r>
      <w:r w:rsidRPr="00AE030A">
        <w:rPr>
          <w:rFonts w:ascii="Times New Roman" w:eastAsia="等线" w:hAnsi="Times New Roman" w:cs="Times New Roman"/>
          <w:b/>
          <w:bCs/>
          <w:color w:val="000000" w:themeColor="text1"/>
          <w:kern w:val="24"/>
          <w:szCs w:val="21"/>
        </w:rPr>
        <w:t>(D-L)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The protein level analysis of above genes. *</w:t>
      </w:r>
      <w:r w:rsidRPr="00F449F9">
        <w:rPr>
          <w:rFonts w:ascii="Times New Roman" w:eastAsia="等线" w:hAnsi="Times New Roman" w:cs="Times New Roman"/>
          <w:i/>
          <w:iCs/>
          <w:color w:val="000000" w:themeColor="text1"/>
          <w:kern w:val="24"/>
          <w:szCs w:val="21"/>
        </w:rPr>
        <w:t>P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&lt; 0.05</w:t>
      </w:r>
      <w:r w:rsidR="008360E7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>,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**</w:t>
      </w:r>
      <w:r w:rsidRPr="00F449F9">
        <w:rPr>
          <w:rFonts w:ascii="Times New Roman" w:eastAsia="等线" w:hAnsi="Times New Roman" w:cs="Times New Roman"/>
          <w:i/>
          <w:iCs/>
          <w:color w:val="000000" w:themeColor="text1"/>
          <w:kern w:val="24"/>
          <w:szCs w:val="21"/>
        </w:rPr>
        <w:t>P</w:t>
      </w:r>
      <w:r w:rsidRPr="00F449F9">
        <w:rPr>
          <w:rFonts w:ascii="Times New Roman" w:eastAsia="等线" w:hAnsi="Times New Roman" w:cs="Times New Roman"/>
          <w:color w:val="000000" w:themeColor="text1"/>
          <w:kern w:val="24"/>
          <w:szCs w:val="21"/>
        </w:rPr>
        <w:t xml:space="preserve"> &lt; 0.01.</w:t>
      </w:r>
    </w:p>
    <w:sectPr w:rsidR="00407718" w:rsidRPr="002D5010" w:rsidSect="000F4E33">
      <w:pgSz w:w="11906" w:h="16838"/>
      <w:pgMar w:top="1418" w:right="1418" w:bottom="1418" w:left="1418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35AE87" w14:textId="77777777" w:rsidR="00E72BAE" w:rsidRDefault="00E72BAE" w:rsidP="002D1B09">
      <w:r>
        <w:separator/>
      </w:r>
    </w:p>
  </w:endnote>
  <w:endnote w:type="continuationSeparator" w:id="0">
    <w:p w14:paraId="518A08FA" w14:textId="77777777" w:rsidR="00E72BAE" w:rsidRDefault="00E72BAE" w:rsidP="002D1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710D89" w14:textId="77777777" w:rsidR="00E72BAE" w:rsidRDefault="00E72BAE" w:rsidP="002D1B09">
      <w:r>
        <w:separator/>
      </w:r>
    </w:p>
  </w:footnote>
  <w:footnote w:type="continuationSeparator" w:id="0">
    <w:p w14:paraId="09398878" w14:textId="77777777" w:rsidR="00E72BAE" w:rsidRDefault="00E72BAE" w:rsidP="002D1B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18C"/>
    <w:rsid w:val="002A60CC"/>
    <w:rsid w:val="002D1B09"/>
    <w:rsid w:val="002D5010"/>
    <w:rsid w:val="00333E33"/>
    <w:rsid w:val="003F218C"/>
    <w:rsid w:val="00407718"/>
    <w:rsid w:val="0043786D"/>
    <w:rsid w:val="008360E7"/>
    <w:rsid w:val="00AE030A"/>
    <w:rsid w:val="00C36C8F"/>
    <w:rsid w:val="00D75B44"/>
    <w:rsid w:val="00D82B99"/>
    <w:rsid w:val="00E72BAE"/>
    <w:rsid w:val="00F61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7AFC4B"/>
  <w15:chartTrackingRefBased/>
  <w15:docId w15:val="{02354C84-D11B-4BCC-9DBE-FEF6D6E86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1B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1B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1B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1B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1B09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2D1B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189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pang weijun</dc:creator>
  <cp:keywords/>
  <dc:description/>
  <cp:lastModifiedBy>pang weijun</cp:lastModifiedBy>
  <cp:revision>53</cp:revision>
  <dcterms:created xsi:type="dcterms:W3CDTF">2020-11-29T08:09:00Z</dcterms:created>
  <dcterms:modified xsi:type="dcterms:W3CDTF">2021-01-06T02:44:00Z</dcterms:modified>
</cp:coreProperties>
</file>