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A57712" w14:textId="385CCB22" w:rsidR="008D1922" w:rsidRPr="006A740D" w:rsidRDefault="006A740D" w:rsidP="006A740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  <w:r w:rsidRPr="006A740D">
        <w:rPr>
          <w:rFonts w:ascii="Arial" w:hAnsi="Arial" w:cs="Arial"/>
          <w:b/>
          <w:bCs/>
          <w:sz w:val="22"/>
          <w:szCs w:val="22"/>
          <w:lang w:val="en-GB"/>
        </w:rPr>
        <w:t>SUPPLEMENTARY FIGURES FOR</w:t>
      </w:r>
    </w:p>
    <w:p w14:paraId="22D1F638" w14:textId="6D702B05" w:rsidR="006A740D" w:rsidRPr="006A740D" w:rsidRDefault="006A740D" w:rsidP="006A740D">
      <w:pPr>
        <w:spacing w:after="240" w:line="360" w:lineRule="auto"/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6A740D">
        <w:rPr>
          <w:rFonts w:ascii="Arial" w:hAnsi="Arial" w:cs="Arial"/>
          <w:b/>
          <w:sz w:val="22"/>
          <w:szCs w:val="22"/>
          <w:lang w:val="en-GB"/>
        </w:rPr>
        <w:t xml:space="preserve">BCG vaccination attenuates </w:t>
      </w:r>
      <w:r w:rsidRPr="006A740D">
        <w:rPr>
          <w:rFonts w:ascii="Arial" w:hAnsi="Arial" w:cs="Arial"/>
          <w:b/>
          <w:i/>
          <w:sz w:val="22"/>
          <w:szCs w:val="22"/>
          <w:lang w:val="en-GB"/>
        </w:rPr>
        <w:t>Schistosoma mansoni</w:t>
      </w:r>
      <w:r w:rsidRPr="006A740D">
        <w:rPr>
          <w:rFonts w:ascii="Arial" w:hAnsi="Arial" w:cs="Arial"/>
          <w:b/>
          <w:sz w:val="22"/>
          <w:szCs w:val="22"/>
          <w:lang w:val="en-GB"/>
        </w:rPr>
        <w:t>-associated rural–urban immune variation</w:t>
      </w:r>
    </w:p>
    <w:p w14:paraId="203026B8" w14:textId="77777777" w:rsidR="006A740D" w:rsidRPr="006A740D" w:rsidRDefault="006A740D" w:rsidP="006A740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E4A11B1" w14:textId="77777777" w:rsidR="008D1922" w:rsidRPr="008D1922" w:rsidRDefault="008D1922">
      <w:pPr>
        <w:rPr>
          <w:lang w:val="en-GB"/>
        </w:rPr>
      </w:pPr>
    </w:p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11199"/>
      </w:tblGrid>
      <w:tr w:rsidR="00F96C21" w:rsidRPr="008D1922" w14:paraId="29BD874B" w14:textId="77777777" w:rsidTr="00A55696">
        <w:tc>
          <w:tcPr>
            <w:tcW w:w="11199" w:type="dxa"/>
          </w:tcPr>
          <w:p w14:paraId="257F8FD4" w14:textId="31A280D6" w:rsidR="00F96C21" w:rsidRPr="008D1922" w:rsidRDefault="005318C8" w:rsidP="00F96C21">
            <w:pPr>
              <w:spacing w:before="240" w:after="240"/>
              <w:rPr>
                <w:noProof/>
                <w:lang w:val="en-GB"/>
              </w:rPr>
            </w:pPr>
            <w:r w:rsidRPr="008D1922">
              <w:rPr>
                <w:noProof/>
                <w:lang w:val="en-GB"/>
                <w14:ligatures w14:val="standardContextual"/>
              </w:rPr>
              <w:drawing>
                <wp:inline distT="0" distB="0" distL="0" distR="0" wp14:anchorId="42356BA8" wp14:editId="31C65867">
                  <wp:extent cx="6926526" cy="4167963"/>
                  <wp:effectExtent l="0" t="0" r="0" b="0"/>
                  <wp:docPr id="1326727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72764" name="Picture 13267276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9168" cy="4211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C21" w:rsidRPr="008D1922" w14:paraId="799D20DB" w14:textId="77777777" w:rsidTr="00A55696">
        <w:tc>
          <w:tcPr>
            <w:tcW w:w="11199" w:type="dxa"/>
          </w:tcPr>
          <w:p w14:paraId="4E78568C" w14:textId="6FFE0A26" w:rsidR="00F96C21" w:rsidRPr="008D1922" w:rsidRDefault="00F96C21" w:rsidP="00B50F88">
            <w:pPr>
              <w:rPr>
                <w:noProof/>
                <w:lang w:val="en-GB"/>
              </w:rPr>
            </w:pPr>
            <w:r w:rsidRPr="008D1922">
              <w:rPr>
                <w:rFonts w:ascii="Arial" w:hAnsi="Arial" w:cs="Arial"/>
                <w:b/>
                <w:sz w:val="20"/>
                <w:szCs w:val="20"/>
                <w:lang w:val="en-GB"/>
              </w:rPr>
              <w:t>Supplementary</w:t>
            </w:r>
            <w:r w:rsidRPr="008D19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 xml:space="preserve">Figure 1. </w:t>
            </w:r>
            <w:r w:rsidRPr="008D1922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Study settings.</w:t>
            </w:r>
            <w:r w:rsidR="0029241C" w:rsidRPr="008D1922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 Adapted from Nassuuna, </w:t>
            </w:r>
            <w:r w:rsidR="0029241C" w:rsidRPr="008D1922">
              <w:rPr>
                <w:rFonts w:ascii="Arial" w:hAnsi="Arial" w:cs="Arial"/>
                <w:i/>
                <w:iCs/>
                <w:noProof/>
                <w:sz w:val="20"/>
                <w:szCs w:val="20"/>
                <w:lang w:val="en-GB"/>
              </w:rPr>
              <w:t>et al</w:t>
            </w:r>
            <w:r w:rsidR="0029241C" w:rsidRPr="008D1922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., 2025.</w:t>
            </w:r>
            <w:r w:rsidR="0029241C" w:rsidRPr="008D1922">
              <w:rPr>
                <w:rFonts w:ascii="Arial" w:hAnsi="Arial" w:cs="Arial"/>
                <w:noProof/>
                <w:sz w:val="20"/>
                <w:szCs w:val="20"/>
                <w:lang w:val="en-GB"/>
              </w:rPr>
              <w:fldChar w:fldCharType="begin"/>
            </w:r>
            <w:r w:rsidR="0029241C" w:rsidRPr="008D1922">
              <w:rPr>
                <w:rFonts w:ascii="Arial" w:hAnsi="Arial" w:cs="Arial"/>
                <w:noProof/>
                <w:sz w:val="20"/>
                <w:szCs w:val="20"/>
                <w:lang w:val="en-GB"/>
              </w:rPr>
              <w:instrText xml:space="preserve"> ADDIN EN.CITE &lt;EndNote&gt;&lt;Cite&gt;&lt;Author&gt;Nassuuna&lt;/Author&gt;&lt;Year&gt;2025&lt;/Year&gt;&lt;RecNum&gt;72&lt;/RecNum&gt;&lt;DisplayText&gt;&lt;style face="superscript"&gt;1&lt;/style&gt;&lt;/DisplayText&gt;&lt;record&gt;&lt;rec-number&gt;72&lt;/rec-number&gt;&lt;foreign-keys&gt;&lt;key app="EN" db-id="fvzewds9cf55zeed20o5artu5dafwt5fxwwr" timestamp="1772204401"&gt;72&lt;/key&gt;&lt;/foreign-keys&gt;&lt;ref-type name="Journal Article"&gt;17&lt;/ref-type&gt;&lt;contributors&gt;&lt;authors&gt;&lt;author&gt;Nassuuna, Jacent&lt;/author&gt;&lt;author&gt;Sterk, Joas&lt;/author&gt;&lt;author&gt;Walusimbi, Bridgious&lt;/author&gt;&lt;author&gt;Natukunda, Agnes&lt;/author&gt;&lt;author&gt;Nkangi, Ronald&lt;/author&gt;&lt;author&gt;Amongin, Rebecca&lt;/author&gt;&lt;author&gt;Zirimenya, Ludoviko&lt;/author&gt;&lt;author&gt;Webb, Emily L.&lt;/author&gt;&lt;author&gt;Elliott, Alison M.&lt;/author&gt;&lt;author&gt;Nkurunungi, Gyaviira&lt;/author&gt;&lt;/authors&gt;&lt;/contributors&gt;&lt;titles&gt;&lt;title&gt;Helminth driven gut inflammation and microbial translocation associate with altered vaccine responses in rural Uganda&lt;/title&gt;&lt;secondary-title&gt;npj Vaccines&lt;/secondary-title&gt;&lt;/titles&gt;&lt;periodical&gt;&lt;full-title&gt;npj Vaccines&lt;/full-title&gt;&lt;/periodical&gt;&lt;pages&gt;56&lt;/pages&gt;&lt;volume&gt;10&lt;/volume&gt;&lt;number&gt;1&lt;/number&gt;&lt;dates&gt;&lt;year&gt;2025&lt;/year&gt;&lt;pub-dates&gt;&lt;date&gt;2025/03/26&lt;/date&gt;&lt;/pub-dates&gt;&lt;/dates&gt;&lt;isbn&gt;2059-0105&lt;/isbn&gt;&lt;urls&gt;&lt;related-urls&gt;&lt;url&gt;https://doi.org/10.1038/s41541-025-01116-x&lt;/url&gt;&lt;/related-urls&gt;&lt;/urls&gt;&lt;electronic-resource-num&gt;10.1038/s41541-025-01116-x&lt;/electronic-resource-num&gt;&lt;/record&gt;&lt;/Cite&gt;&lt;/EndNote&gt;</w:instrText>
            </w:r>
            <w:r w:rsidR="0029241C" w:rsidRPr="008D1922">
              <w:rPr>
                <w:rFonts w:ascii="Arial" w:hAnsi="Arial" w:cs="Arial"/>
                <w:noProof/>
                <w:sz w:val="20"/>
                <w:szCs w:val="20"/>
                <w:lang w:val="en-GB"/>
              </w:rPr>
              <w:fldChar w:fldCharType="separate"/>
            </w:r>
            <w:r w:rsidR="0029241C" w:rsidRPr="008D1922">
              <w:rPr>
                <w:rFonts w:ascii="Arial" w:hAnsi="Arial" w:cs="Arial"/>
                <w:noProof/>
                <w:sz w:val="20"/>
                <w:szCs w:val="20"/>
                <w:vertAlign w:val="superscript"/>
                <w:lang w:val="en-GB"/>
              </w:rPr>
              <w:t>1</w:t>
            </w:r>
            <w:r w:rsidR="0029241C" w:rsidRPr="008D1922">
              <w:rPr>
                <w:rFonts w:ascii="Arial" w:hAnsi="Arial" w:cs="Arial"/>
                <w:noProof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66FC0277" w14:textId="77777777" w:rsidR="00F96C21" w:rsidRPr="008D1922" w:rsidRDefault="00F96C21">
      <w:pPr>
        <w:rPr>
          <w:lang w:val="en-GB"/>
        </w:rPr>
      </w:pPr>
    </w:p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11199"/>
      </w:tblGrid>
      <w:tr w:rsidR="00E92F7F" w:rsidRPr="008D1922" w14:paraId="7D652EFD" w14:textId="77777777" w:rsidTr="00A55696">
        <w:tc>
          <w:tcPr>
            <w:tcW w:w="11199" w:type="dxa"/>
          </w:tcPr>
          <w:p w14:paraId="14A447DA" w14:textId="7E761309" w:rsidR="00E92F7F" w:rsidRPr="008D1922" w:rsidRDefault="00E92F7F" w:rsidP="00B50F88">
            <w:pPr>
              <w:rPr>
                <w:noProof/>
                <w:lang w:val="en-GB"/>
              </w:rPr>
            </w:pPr>
            <w:r w:rsidRPr="008D1922">
              <w:rPr>
                <w:noProof/>
                <w:lang w:val="en-GB"/>
              </w:rPr>
              <w:lastRenderedPageBreak/>
              <w:t xml:space="preserve">    </w:t>
            </w:r>
            <w:r w:rsidR="00F862B1" w:rsidRPr="008D1922">
              <w:rPr>
                <w:noProof/>
                <w:lang w:val="en-GB"/>
                <w14:ligatures w14:val="standardContextual"/>
              </w:rPr>
              <w:drawing>
                <wp:inline distT="0" distB="0" distL="0" distR="0" wp14:anchorId="12C530BD" wp14:editId="1C979DB3">
                  <wp:extent cx="6759296" cy="6556744"/>
                  <wp:effectExtent l="0" t="0" r="0" b="0"/>
                  <wp:docPr id="202214439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2144393" name="Picture 202214439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4712" cy="6610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1922">
              <w:rPr>
                <w:noProof/>
                <w:lang w:val="en-GB"/>
              </w:rPr>
              <w:t xml:space="preserve">  </w:t>
            </w:r>
          </w:p>
        </w:tc>
      </w:tr>
      <w:tr w:rsidR="00E92F7F" w:rsidRPr="008D1922" w14:paraId="02E19F3D" w14:textId="77777777" w:rsidTr="00A55696">
        <w:tc>
          <w:tcPr>
            <w:tcW w:w="11199" w:type="dxa"/>
          </w:tcPr>
          <w:p w14:paraId="2AA9B7A4" w14:textId="77777777" w:rsidR="001C30C4" w:rsidRPr="008D1922" w:rsidRDefault="001C30C4" w:rsidP="00B50F88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</w:p>
          <w:p w14:paraId="2DC893FA" w14:textId="2DEEBCA3" w:rsidR="00E92F7F" w:rsidRPr="008D1922" w:rsidRDefault="00D6687D" w:rsidP="00B50F88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b/>
                <w:sz w:val="20"/>
                <w:szCs w:val="20"/>
                <w:lang w:val="en-GB"/>
              </w:rPr>
              <w:t>Supplementary</w:t>
            </w:r>
            <w:r w:rsidRPr="008D19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E92F7F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 xml:space="preserve">Figure </w:t>
            </w:r>
            <w:r w:rsidR="00F96C21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2</w:t>
            </w:r>
            <w:r w:rsidR="00E92F7F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 xml:space="preserve">. </w:t>
            </w:r>
            <w:r w:rsidR="00E92F7F" w:rsidRPr="008D1922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Analysis pipeline</w:t>
            </w:r>
            <w:r w:rsidR="00D30070" w:rsidRPr="008D1922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 xml:space="preserve">. </w:t>
            </w:r>
          </w:p>
        </w:tc>
      </w:tr>
    </w:tbl>
    <w:p w14:paraId="03F60CAB" w14:textId="77777777" w:rsidR="00E92F7F" w:rsidRPr="008D1922" w:rsidRDefault="00E92F7F">
      <w:pPr>
        <w:rPr>
          <w:lang w:val="en-GB"/>
        </w:rPr>
        <w:sectPr w:rsidR="00E92F7F" w:rsidRPr="008D1922" w:rsidSect="00A55696">
          <w:pgSz w:w="11906" w:h="16838"/>
          <w:pgMar w:top="712" w:right="922" w:bottom="1440" w:left="1440" w:header="708" w:footer="708" w:gutter="0"/>
          <w:cols w:space="708"/>
          <w:docGrid w:linePitch="360"/>
        </w:sectPr>
      </w:pPr>
    </w:p>
    <w:p w14:paraId="15A8ED69" w14:textId="77777777" w:rsidR="00FE6667" w:rsidRPr="008D1922" w:rsidRDefault="00FE6667">
      <w:pPr>
        <w:rPr>
          <w:lang w:val="en-GB"/>
        </w:rPr>
      </w:pPr>
    </w:p>
    <w:tbl>
      <w:tblPr>
        <w:tblStyle w:val="TableGrid"/>
        <w:tblW w:w="15735" w:type="dxa"/>
        <w:tblInd w:w="-289" w:type="dxa"/>
        <w:tblLook w:val="04A0" w:firstRow="1" w:lastRow="0" w:firstColumn="1" w:lastColumn="0" w:noHBand="0" w:noVBand="1"/>
      </w:tblPr>
      <w:tblGrid>
        <w:gridCol w:w="15735"/>
      </w:tblGrid>
      <w:tr w:rsidR="005E45EA" w:rsidRPr="008D1922" w14:paraId="695F5804" w14:textId="77777777" w:rsidTr="007E5BF8">
        <w:tc>
          <w:tcPr>
            <w:tcW w:w="15735" w:type="dxa"/>
          </w:tcPr>
          <w:p w14:paraId="48831F94" w14:textId="19CAFF4D" w:rsidR="005E45EA" w:rsidRPr="008D1922" w:rsidRDefault="004633AC">
            <w:pPr>
              <w:rPr>
                <w:noProof/>
                <w:lang w:val="en-GB"/>
              </w:rPr>
            </w:pPr>
            <w:r w:rsidRPr="008D1922">
              <w:rPr>
                <w:noProof/>
                <w:lang w:val="en-GB"/>
              </w:rPr>
              <w:t xml:space="preserve">   </w:t>
            </w:r>
            <w:r w:rsidR="007E5BF8" w:rsidRPr="008D1922">
              <w:rPr>
                <w:noProof/>
                <w:lang w:val="en-GB"/>
                <w14:ligatures w14:val="standardContextual"/>
              </w:rPr>
              <w:drawing>
                <wp:inline distT="0" distB="0" distL="0" distR="0" wp14:anchorId="1BB0E46C" wp14:editId="72F91D6C">
                  <wp:extent cx="9679393" cy="3643533"/>
                  <wp:effectExtent l="0" t="0" r="0" b="1905"/>
                  <wp:docPr id="11787703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77039" name="Picture 11787703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5620" cy="365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1922">
              <w:rPr>
                <w:noProof/>
                <w:lang w:val="en-GB"/>
              </w:rPr>
              <w:t xml:space="preserve">                           </w:t>
            </w:r>
          </w:p>
        </w:tc>
      </w:tr>
      <w:tr w:rsidR="005E45EA" w:rsidRPr="008D1922" w14:paraId="43DAD883" w14:textId="77777777" w:rsidTr="007E5BF8">
        <w:tc>
          <w:tcPr>
            <w:tcW w:w="15735" w:type="dxa"/>
          </w:tcPr>
          <w:p w14:paraId="71080198" w14:textId="77777777" w:rsidR="001C30C4" w:rsidRPr="008D1922" w:rsidRDefault="001C30C4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</w:p>
          <w:p w14:paraId="00AE901A" w14:textId="2715EA4F" w:rsidR="005E45EA" w:rsidRPr="008D1922" w:rsidRDefault="00D6687D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b/>
                <w:sz w:val="20"/>
                <w:szCs w:val="20"/>
                <w:lang w:val="en-GB"/>
              </w:rPr>
              <w:t>Supplementary</w:t>
            </w:r>
            <w:r w:rsidRPr="008D19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5E45EA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 xml:space="preserve">Figure </w:t>
            </w:r>
            <w:r w:rsidR="00F96C21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3</w:t>
            </w:r>
            <w:r w:rsidR="00FD4B57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 xml:space="preserve">. </w:t>
            </w:r>
            <w:r w:rsidR="004D3202" w:rsidRPr="008D1922"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A</w:t>
            </w:r>
            <w:proofErr w:type="spellStart"/>
            <w:r w:rsidR="00FD4B5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rcsin</w:t>
            </w:r>
            <w:r w:rsidR="004D3202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h</w:t>
            </w:r>
            <w:proofErr w:type="spellEnd"/>
            <w:r w:rsidR="00FD4B5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-transformed expression of major immune lineage markers and cytokines</w:t>
            </w:r>
          </w:p>
        </w:tc>
      </w:tr>
    </w:tbl>
    <w:p w14:paraId="3A39575A" w14:textId="77777777" w:rsidR="007140F0" w:rsidRPr="008D1922" w:rsidRDefault="007140F0">
      <w:pPr>
        <w:rPr>
          <w:lang w:val="en-GB"/>
        </w:rPr>
        <w:sectPr w:rsidR="007140F0" w:rsidRPr="008D1922" w:rsidSect="007140F0">
          <w:pgSz w:w="16838" w:h="11906" w:orient="landscape"/>
          <w:pgMar w:top="922" w:right="1440" w:bottom="1440" w:left="978" w:header="708" w:footer="708" w:gutter="0"/>
          <w:cols w:space="708"/>
          <w:docGrid w:linePitch="360"/>
        </w:sectPr>
      </w:pPr>
    </w:p>
    <w:p w14:paraId="447A0281" w14:textId="77777777" w:rsidR="00EA39E3" w:rsidRPr="008D1922" w:rsidRDefault="00EA39E3">
      <w:pPr>
        <w:rPr>
          <w:lang w:val="en-GB"/>
        </w:rPr>
      </w:pP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15593"/>
      </w:tblGrid>
      <w:tr w:rsidR="007A47C1" w:rsidRPr="008D1922" w14:paraId="28D8B5B5" w14:textId="77777777" w:rsidTr="00B74850">
        <w:tc>
          <w:tcPr>
            <w:tcW w:w="15593" w:type="dxa"/>
          </w:tcPr>
          <w:p w14:paraId="14566137" w14:textId="1D1BABFE" w:rsidR="00B74850" w:rsidRPr="008D1922" w:rsidRDefault="00146EEB">
            <w:pPr>
              <w:rPr>
                <w:lang w:val="en-GB"/>
              </w:rPr>
            </w:pPr>
            <w:r w:rsidRPr="008D1922">
              <w:rPr>
                <w:noProof/>
                <w:lang w:val="en-GB"/>
                <w14:ligatures w14:val="standardContextual"/>
              </w:rPr>
              <w:drawing>
                <wp:inline distT="0" distB="0" distL="0" distR="0" wp14:anchorId="49A1FD20" wp14:editId="024128C3">
                  <wp:extent cx="9752824" cy="3798277"/>
                  <wp:effectExtent l="0" t="0" r="1270" b="0"/>
                  <wp:docPr id="124019838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98381" name="Picture 124019838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1604" cy="381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B5CEC" w14:textId="7E56CB0A" w:rsidR="00B74850" w:rsidRPr="008D1922" w:rsidRDefault="00B74850">
            <w:pPr>
              <w:rPr>
                <w:lang w:val="en-GB"/>
              </w:rPr>
            </w:pPr>
          </w:p>
        </w:tc>
      </w:tr>
      <w:tr w:rsidR="007A47C1" w:rsidRPr="008D1922" w14:paraId="00ED9BD6" w14:textId="77777777" w:rsidTr="00B74850">
        <w:tc>
          <w:tcPr>
            <w:tcW w:w="15593" w:type="dxa"/>
          </w:tcPr>
          <w:p w14:paraId="1CBFB0C8" w14:textId="350BEED6" w:rsidR="00B74850" w:rsidRPr="008D1922" w:rsidRDefault="00D6687D" w:rsidP="00671BD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b/>
                <w:sz w:val="20"/>
                <w:szCs w:val="20"/>
                <w:lang w:val="en-GB"/>
              </w:rPr>
              <w:t>Supplementary</w:t>
            </w:r>
            <w:r w:rsidRPr="008D19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7A47C1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Figure </w:t>
            </w:r>
            <w:r w:rsidR="00F96C21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  <w:r w:rsidR="007A47C1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r w:rsidR="007A47C1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Comparison of lineage proportions relative to total </w:t>
            </w:r>
            <w:r w:rsidR="00FD4B57" w:rsidRPr="008D1922">
              <w:rPr>
                <w:rFonts w:ascii="Arial" w:hAnsi="Arial" w:cs="Arial"/>
                <w:sz w:val="20"/>
                <w:szCs w:val="20"/>
                <w:lang w:val="en-GB"/>
              </w:rPr>
              <w:t>acquired CD45</w:t>
            </w:r>
            <w:r w:rsidR="00FD4B57" w:rsidRPr="008D192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="00FD4B57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PBMCs</w:t>
            </w:r>
            <w:r w:rsidR="007A47C1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between rural and urban participants.</w:t>
            </w:r>
          </w:p>
        </w:tc>
      </w:tr>
    </w:tbl>
    <w:p w14:paraId="01452ECF" w14:textId="77777777" w:rsidR="00387830" w:rsidRPr="008D1922" w:rsidRDefault="00387830">
      <w:pPr>
        <w:rPr>
          <w:lang w:val="en-GB"/>
        </w:rPr>
      </w:pPr>
    </w:p>
    <w:p w14:paraId="08FC7387" w14:textId="77777777" w:rsidR="00B16FD1" w:rsidRPr="008D1922" w:rsidRDefault="00B16FD1">
      <w:pPr>
        <w:rPr>
          <w:lang w:val="en-GB"/>
        </w:rPr>
        <w:sectPr w:rsidR="00B16FD1" w:rsidRPr="008D1922" w:rsidSect="00094E94">
          <w:pgSz w:w="16838" w:h="11906" w:orient="landscape"/>
          <w:pgMar w:top="922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11348" w:type="dxa"/>
        <w:tblInd w:w="-572" w:type="dxa"/>
        <w:tblLook w:val="04A0" w:firstRow="1" w:lastRow="0" w:firstColumn="1" w:lastColumn="0" w:noHBand="0" w:noVBand="1"/>
      </w:tblPr>
      <w:tblGrid>
        <w:gridCol w:w="11348"/>
      </w:tblGrid>
      <w:tr w:rsidR="00B16FD1" w:rsidRPr="008D1922" w14:paraId="53742BC4" w14:textId="77777777" w:rsidTr="00B16FD1">
        <w:tc>
          <w:tcPr>
            <w:tcW w:w="11348" w:type="dxa"/>
          </w:tcPr>
          <w:p w14:paraId="004ADFB1" w14:textId="3716C915" w:rsidR="00AE22A2" w:rsidRPr="008D1922" w:rsidRDefault="00EF475E" w:rsidP="00820374">
            <w:pPr>
              <w:rPr>
                <w:noProof/>
                <w:lang w:val="en-GB"/>
              </w:rPr>
            </w:pPr>
            <w:r w:rsidRPr="008D1922">
              <w:rPr>
                <w:noProof/>
                <w:lang w:val="en-GB"/>
                <w14:ligatures w14:val="standardContextual"/>
              </w:rPr>
              <w:lastRenderedPageBreak/>
              <w:drawing>
                <wp:inline distT="0" distB="0" distL="0" distR="0" wp14:anchorId="002CF530" wp14:editId="0C04150C">
                  <wp:extent cx="7035118" cy="5635256"/>
                  <wp:effectExtent l="0" t="0" r="1270" b="3810"/>
                  <wp:docPr id="10633579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357992" name="Picture 1063357992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4892" cy="5659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D1" w:rsidRPr="008D1922" w14:paraId="63651B0E" w14:textId="77777777" w:rsidTr="00B16FD1">
        <w:tc>
          <w:tcPr>
            <w:tcW w:w="11348" w:type="dxa"/>
          </w:tcPr>
          <w:p w14:paraId="04F743E2" w14:textId="77777777" w:rsidR="008573CF" w:rsidRPr="008D1922" w:rsidRDefault="008573CF" w:rsidP="008652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2DE4713" w14:textId="7A6D6023" w:rsidR="00012D54" w:rsidRPr="008D1922" w:rsidRDefault="00D6687D" w:rsidP="0086524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b/>
                <w:sz w:val="20"/>
                <w:szCs w:val="20"/>
                <w:lang w:val="en-GB"/>
              </w:rPr>
              <w:t>Supplementary</w:t>
            </w:r>
            <w:r w:rsidRPr="008D19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AE22A2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Figure </w:t>
            </w:r>
            <w:r w:rsidR="00F96C21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  <w:r w:rsidR="00AE22A2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="00667DAF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Global </w:t>
            </w:r>
            <w:r w:rsidR="005A39E6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characterisation</w:t>
            </w:r>
            <w:r w:rsidR="00667DAF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i</w:t>
            </w:r>
            <w:r w:rsidR="00865242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mmune variation along the baseline rural-urban gradient. </w:t>
            </w:r>
          </w:p>
          <w:p w14:paraId="63A26F33" w14:textId="00FCF20B" w:rsidR="00AE22A2" w:rsidRPr="008D1922" w:rsidRDefault="00865242" w:rsidP="0086524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Figure shows Uniform Manifold Approximation and Projection (UMAP) </w:t>
            </w:r>
            <w:r w:rsidR="00181261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contour 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density plots per lineage and </w:t>
            </w:r>
            <w:r w:rsidR="006C7D5C" w:rsidRPr="008D1922">
              <w:rPr>
                <w:rFonts w:ascii="Arial" w:hAnsi="Arial" w:cs="Arial"/>
                <w:sz w:val="20"/>
                <w:szCs w:val="20"/>
                <w:lang w:val="en-GB"/>
              </w:rPr>
              <w:t>principal component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analysis (</w:t>
            </w:r>
            <w:r w:rsidR="006C7D5C" w:rsidRPr="008D1922">
              <w:rPr>
                <w:rFonts w:ascii="Arial" w:hAnsi="Arial" w:cs="Arial"/>
                <w:sz w:val="20"/>
                <w:szCs w:val="20"/>
                <w:lang w:val="en-GB"/>
              </w:rPr>
              <w:t>PC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>A) plots for evaluation of separation of immune profiles by study setting.</w:t>
            </w:r>
          </w:p>
          <w:p w14:paraId="2CB16959" w14:textId="77777777" w:rsidR="00EF475E" w:rsidRPr="008D1922" w:rsidRDefault="00EF475E" w:rsidP="00EF475E">
            <w:pPr>
              <w:pStyle w:val="p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(a)-(b)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Unstimulated panel, rural vs urban. PCA PERMANOVA: </w:t>
            </w:r>
            <w:r w:rsidRPr="008D1922">
              <w:rPr>
                <w:rStyle w:val="s1"/>
                <w:rFonts w:ascii="Arial" w:eastAsiaTheme="majorEastAsia" w:hAnsi="Arial" w:cs="Arial"/>
                <w:sz w:val="20"/>
                <w:szCs w:val="20"/>
                <w:lang w:val="en-GB"/>
              </w:rPr>
              <w:t>R² = 0.26, p&lt;0.001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0DDB3E06" w14:textId="24351756" w:rsidR="0040326F" w:rsidRPr="008D1922" w:rsidRDefault="0040326F" w:rsidP="00865242">
            <w:pPr>
              <w:pStyle w:val="p1"/>
              <w:spacing w:before="0" w:beforeAutospacing="0" w:after="0" w:afterAutospacing="0"/>
              <w:rPr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 w:rsidR="00FE2E87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</w:t>
            </w:r>
            <w:r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  <w:r w:rsidR="00CE6EAE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-(</w:t>
            </w:r>
            <w:r w:rsidR="00FE2E87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</w:t>
            </w:r>
            <w:r w:rsidR="00CE6EAE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5710A7" w:rsidRPr="008D1922">
              <w:rPr>
                <w:rFonts w:ascii="Arial" w:hAnsi="Arial" w:cs="Arial"/>
                <w:sz w:val="20"/>
                <w:szCs w:val="20"/>
                <w:lang w:val="en-GB"/>
              </w:rPr>
              <w:t>PMA/ionomycin-stimulated panel</w:t>
            </w:r>
            <w:r w:rsidR="00865242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, rural </w:t>
            </w:r>
            <w:proofErr w:type="spellStart"/>
            <w:r w:rsidR="00865242" w:rsidRPr="008D192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="00865242" w:rsidRPr="008D192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+</w:t>
            </w:r>
            <w:r w:rsidR="00865242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, rural </w:t>
            </w:r>
            <w:proofErr w:type="spellStart"/>
            <w:r w:rsidR="00865242" w:rsidRPr="008D192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="00865242" w:rsidRPr="008D192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-</w:t>
            </w:r>
            <w:r w:rsidR="00865242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and urban individuals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6C7D5C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Statistical significance of </w:t>
            </w:r>
            <w:r w:rsidR="00CE6EAE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PCA 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>group separation was assessed using permutational multivariate analysis of variance (PERMANOVA) [</w:t>
            </w:r>
            <w:r w:rsidRPr="008D1922">
              <w:rPr>
                <w:rStyle w:val="s1"/>
                <w:rFonts w:ascii="Arial" w:eastAsiaTheme="majorEastAsia" w:hAnsi="Arial" w:cs="Arial"/>
                <w:sz w:val="20"/>
                <w:szCs w:val="20"/>
                <w:lang w:val="en-GB"/>
              </w:rPr>
              <w:t>R² = 0.</w:t>
            </w:r>
            <w:r w:rsidR="0077747C" w:rsidRPr="008D1922">
              <w:rPr>
                <w:rStyle w:val="s1"/>
                <w:rFonts w:ascii="Arial" w:eastAsiaTheme="majorEastAsia" w:hAnsi="Arial" w:cs="Arial"/>
                <w:sz w:val="20"/>
                <w:szCs w:val="20"/>
                <w:lang w:val="en-GB"/>
              </w:rPr>
              <w:t>33</w:t>
            </w:r>
            <w:r w:rsidRPr="008D1922">
              <w:rPr>
                <w:rStyle w:val="s1"/>
                <w:rFonts w:ascii="Arial" w:eastAsiaTheme="majorEastAsia" w:hAnsi="Arial" w:cs="Arial"/>
                <w:sz w:val="20"/>
                <w:szCs w:val="20"/>
                <w:lang w:val="en-GB"/>
              </w:rPr>
              <w:t>, p</w:t>
            </w:r>
            <w:r w:rsidR="0077747C" w:rsidRPr="008D1922">
              <w:rPr>
                <w:rStyle w:val="s1"/>
                <w:rFonts w:ascii="Arial" w:eastAsiaTheme="majorEastAsia" w:hAnsi="Arial" w:cs="Arial"/>
                <w:sz w:val="20"/>
                <w:szCs w:val="20"/>
                <w:lang w:val="en-GB"/>
              </w:rPr>
              <w:t>=</w:t>
            </w:r>
            <w:r w:rsidR="002E6BBB" w:rsidRPr="008D1922">
              <w:rPr>
                <w:rStyle w:val="s1"/>
                <w:rFonts w:ascii="Arial" w:eastAsiaTheme="majorEastAsia" w:hAnsi="Arial" w:cs="Arial"/>
                <w:sz w:val="20"/>
                <w:szCs w:val="20"/>
                <w:lang w:val="en-GB"/>
              </w:rPr>
              <w:t>0.00</w:t>
            </w:r>
            <w:r w:rsidR="0077747C" w:rsidRPr="008D1922">
              <w:rPr>
                <w:rStyle w:val="s1"/>
                <w:rFonts w:ascii="Arial" w:eastAsiaTheme="majorEastAsia" w:hAnsi="Arial" w:cs="Arial"/>
                <w:sz w:val="20"/>
                <w:szCs w:val="20"/>
                <w:lang w:val="en-GB"/>
              </w:rPr>
              <w:t>2</w:t>
            </w:r>
            <w:r w:rsidRPr="008D1922">
              <w:rPr>
                <w:rStyle w:val="s1"/>
                <w:rFonts w:ascii="Arial" w:hAnsi="Arial" w:cs="Arial"/>
                <w:sz w:val="20"/>
                <w:szCs w:val="20"/>
                <w:lang w:val="en-GB"/>
              </w:rPr>
              <w:t>]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803E9E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6121FAF5" w14:textId="7B3C0DFB" w:rsidR="00803E9E" w:rsidRPr="008D1922" w:rsidRDefault="005710A7" w:rsidP="005710A7">
            <w:pPr>
              <w:pStyle w:val="p1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 w:rsidR="00CE6EAE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</w:t>
            </w:r>
            <w:r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  <w:r w:rsidR="00CE6EAE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-(f)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PMA/ionomycin-stimulated panel</w:t>
            </w:r>
            <w:r w:rsidR="00865242" w:rsidRPr="008D1922">
              <w:rPr>
                <w:rFonts w:ascii="Arial" w:hAnsi="Arial" w:cs="Arial"/>
                <w:sz w:val="20"/>
                <w:szCs w:val="20"/>
                <w:lang w:val="en-GB"/>
              </w:rPr>
              <w:t>, rural vs urban</w:t>
            </w:r>
            <w:r w:rsidR="006C7D5C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="00CE6EAE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PCA 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PERMANOVA: </w:t>
            </w:r>
            <w:r w:rsidRPr="008D1922">
              <w:rPr>
                <w:rStyle w:val="s1"/>
                <w:rFonts w:ascii="Arial" w:eastAsiaTheme="majorEastAsia" w:hAnsi="Arial" w:cs="Arial"/>
                <w:sz w:val="20"/>
                <w:szCs w:val="20"/>
                <w:lang w:val="en-GB"/>
              </w:rPr>
              <w:t>R² = 0.</w:t>
            </w:r>
            <w:r w:rsidR="006C7D5C" w:rsidRPr="008D1922">
              <w:rPr>
                <w:rStyle w:val="s1"/>
                <w:rFonts w:ascii="Arial" w:eastAsiaTheme="majorEastAsia" w:hAnsi="Arial" w:cs="Arial"/>
                <w:sz w:val="20"/>
                <w:szCs w:val="20"/>
                <w:lang w:val="en-GB"/>
              </w:rPr>
              <w:t>29</w:t>
            </w:r>
            <w:r w:rsidRPr="008D1922">
              <w:rPr>
                <w:rStyle w:val="s1"/>
                <w:rFonts w:ascii="Arial" w:eastAsiaTheme="majorEastAsia" w:hAnsi="Arial" w:cs="Arial"/>
                <w:sz w:val="20"/>
                <w:szCs w:val="20"/>
                <w:lang w:val="en-GB"/>
              </w:rPr>
              <w:t>, p&lt;0.001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4DAC3B20" w14:textId="4E71DA65" w:rsidR="00AE22A2" w:rsidRPr="008D1922" w:rsidRDefault="00AE22A2" w:rsidP="005710A7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</w:tr>
    </w:tbl>
    <w:p w14:paraId="7F1C0A2E" w14:textId="77777777" w:rsidR="00AE22A2" w:rsidRPr="008D1922" w:rsidRDefault="00AE22A2">
      <w:pPr>
        <w:rPr>
          <w:lang w:val="en-GB"/>
        </w:rPr>
      </w:pPr>
    </w:p>
    <w:p w14:paraId="57E8B91D" w14:textId="77777777" w:rsidR="00B16FD1" w:rsidRPr="008D1922" w:rsidRDefault="00B16FD1">
      <w:pPr>
        <w:rPr>
          <w:lang w:val="en-GB"/>
        </w:rPr>
        <w:sectPr w:rsidR="00B16FD1" w:rsidRPr="008D1922" w:rsidSect="009A4B83">
          <w:pgSz w:w="11906" w:h="16838"/>
          <w:pgMar w:top="1314" w:right="348" w:bottom="1440" w:left="949" w:header="708" w:footer="708" w:gutter="0"/>
          <w:cols w:space="708"/>
          <w:docGrid w:linePitch="360"/>
        </w:sectPr>
      </w:pP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15593"/>
      </w:tblGrid>
      <w:tr w:rsidR="00882422" w:rsidRPr="008D1922" w14:paraId="0D02B9A5" w14:textId="77777777" w:rsidTr="001B2BBB">
        <w:tc>
          <w:tcPr>
            <w:tcW w:w="15593" w:type="dxa"/>
          </w:tcPr>
          <w:p w14:paraId="26E72853" w14:textId="054FCEC2" w:rsidR="00C433E1" w:rsidRPr="008D1922" w:rsidRDefault="00882422" w:rsidP="00820374">
            <w:pPr>
              <w:rPr>
                <w:noProof/>
                <w:lang w:val="en-GB"/>
                <w14:ligatures w14:val="standardContextual"/>
              </w:rPr>
            </w:pPr>
            <w:r w:rsidRPr="008D1922">
              <w:rPr>
                <w:noProof/>
                <w:lang w:val="en-GB"/>
                <w14:ligatures w14:val="standardContextual"/>
              </w:rPr>
              <w:lastRenderedPageBreak/>
              <w:t xml:space="preserve">           </w:t>
            </w:r>
            <w:r w:rsidR="00851667" w:rsidRPr="008D1922">
              <w:rPr>
                <w:noProof/>
                <w:lang w:val="en-GB"/>
                <w14:ligatures w14:val="standardContextual"/>
              </w:rPr>
              <w:t xml:space="preserve">      </w:t>
            </w:r>
            <w:r w:rsidR="00C433E1" w:rsidRPr="008D1922">
              <w:rPr>
                <w:noProof/>
                <w:lang w:val="en-GB"/>
                <w14:ligatures w14:val="standardContextual"/>
              </w:rPr>
              <w:drawing>
                <wp:inline distT="0" distB="0" distL="0" distR="0" wp14:anchorId="3860F9FB" wp14:editId="61BB8A6B">
                  <wp:extent cx="8137451" cy="5426521"/>
                  <wp:effectExtent l="0" t="0" r="3810" b="0"/>
                  <wp:docPr id="19497493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749316" name="Picture 1949749316"/>
                          <pic:cNvPicPr/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7395" cy="5439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2422" w:rsidRPr="008D1922" w14:paraId="75AB8CD6" w14:textId="77777777" w:rsidTr="001B2BBB">
        <w:tc>
          <w:tcPr>
            <w:tcW w:w="15593" w:type="dxa"/>
          </w:tcPr>
          <w:p w14:paraId="39CB1CBA" w14:textId="23A5A77D" w:rsidR="003815EC" w:rsidRPr="008D1922" w:rsidRDefault="00D6687D" w:rsidP="003815E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</w:pPr>
            <w:r w:rsidRPr="008D1922">
              <w:rPr>
                <w:rFonts w:ascii="Arial" w:hAnsi="Arial" w:cs="Arial"/>
                <w:b/>
                <w:sz w:val="20"/>
                <w:szCs w:val="20"/>
                <w:lang w:val="en-GB"/>
              </w:rPr>
              <w:t>Supplementary</w:t>
            </w:r>
            <w:r w:rsidRPr="008D19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882422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 xml:space="preserve">Figure </w:t>
            </w:r>
            <w:r w:rsidR="00F96C21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>6</w:t>
            </w:r>
            <w:r w:rsidR="00882422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 xml:space="preserve">. </w:t>
            </w:r>
            <w:r w:rsidR="006007B4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>Principal component</w:t>
            </w:r>
            <w:r w:rsidR="002174D7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 xml:space="preserve"> analysis</w:t>
            </w:r>
            <w:r w:rsidR="00882422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 xml:space="preserve"> reveals a rural-to-urban </w:t>
            </w:r>
            <w:r w:rsidR="003815EC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 xml:space="preserve">immune trajectory. </w:t>
            </w:r>
          </w:p>
          <w:p w14:paraId="30A99AFC" w14:textId="69725CE2" w:rsidR="00882422" w:rsidRPr="008D1922" w:rsidRDefault="00394092" w:rsidP="002174D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</w:pPr>
            <w:r w:rsidRPr="008D1922">
              <w:rPr>
                <w:rFonts w:ascii="Arial" w:eastAsiaTheme="minorHAnsi" w:hAnsi="Arial" w:cs="Arial"/>
                <w:bCs/>
                <w:sz w:val="20"/>
                <w:szCs w:val="20"/>
                <w:lang w:val="en-GB"/>
                <w14:ligatures w14:val="standardContextual"/>
              </w:rPr>
              <w:t>Figures</w:t>
            </w:r>
            <w:r w:rsidRPr="008D1922">
              <w:rPr>
                <w:rFonts w:ascii="Arial" w:eastAsiaTheme="minorHAnsi" w:hAnsi="Arial" w:cs="Arial"/>
                <w:b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3815EC" w:rsidRPr="008D1922">
              <w:rPr>
                <w:rFonts w:ascii="Arial" w:eastAsiaTheme="minorHAnsi" w:hAnsi="Arial" w:cs="Arial"/>
                <w:b/>
                <w:sz w:val="20"/>
                <w:szCs w:val="20"/>
                <w:lang w:val="en-GB"/>
                <w14:ligatures w14:val="standardContextual"/>
              </w:rPr>
              <w:t>(a)-(c)</w:t>
            </w:r>
            <w:r w:rsidR="003815EC" w:rsidRPr="008D1922">
              <w:rPr>
                <w:rFonts w:ascii="Arial" w:eastAsiaTheme="minorHAnsi" w:hAnsi="Arial" w:cs="Arial"/>
                <w:sz w:val="20"/>
                <w:szCs w:val="20"/>
                <w:lang w:val="en-GB"/>
                <w14:ligatures w14:val="standardContextual"/>
              </w:rPr>
              <w:t xml:space="preserve"> show results from the unstimulated </w:t>
            </w:r>
            <w:proofErr w:type="spellStart"/>
            <w:r w:rsidRPr="008D1922">
              <w:rPr>
                <w:rFonts w:ascii="Arial" w:eastAsiaTheme="minorHAnsi" w:hAnsi="Arial" w:cs="Arial"/>
                <w:sz w:val="20"/>
                <w:szCs w:val="20"/>
                <w:lang w:val="en-GB"/>
                <w14:ligatures w14:val="standardContextual"/>
              </w:rPr>
              <w:t>CyTOF</w:t>
            </w:r>
            <w:proofErr w:type="spellEnd"/>
            <w:r w:rsidRPr="008D1922">
              <w:rPr>
                <w:rFonts w:ascii="Arial" w:eastAsiaTheme="minorHAnsi" w:hAnsi="Arial" w:cs="Arial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3815EC" w:rsidRPr="008D1922">
              <w:rPr>
                <w:rFonts w:ascii="Arial" w:eastAsiaTheme="minorHAnsi" w:hAnsi="Arial" w:cs="Arial"/>
                <w:sz w:val="20"/>
                <w:szCs w:val="20"/>
                <w:lang w:val="en-GB"/>
                <w14:ligatures w14:val="standardContextual"/>
              </w:rPr>
              <w:t>panel and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/>
                <w14:ligatures w14:val="standardContextual"/>
              </w:rPr>
              <w:t xml:space="preserve"> figures</w:t>
            </w:r>
            <w:r w:rsidR="003815EC" w:rsidRPr="008D1922">
              <w:rPr>
                <w:rFonts w:ascii="Arial" w:eastAsiaTheme="minorHAnsi" w:hAnsi="Arial" w:cs="Arial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3815EC" w:rsidRPr="008D1922">
              <w:rPr>
                <w:rFonts w:ascii="Arial" w:eastAsiaTheme="minorHAnsi" w:hAnsi="Arial" w:cs="Arial"/>
                <w:b/>
                <w:sz w:val="20"/>
                <w:szCs w:val="20"/>
                <w:lang w:val="en-GB"/>
                <w14:ligatures w14:val="standardContextual"/>
              </w:rPr>
              <w:t>(d)-(</w:t>
            </w:r>
            <w:r w:rsidR="00F9270A" w:rsidRPr="008D1922">
              <w:rPr>
                <w:rFonts w:ascii="Arial" w:eastAsiaTheme="minorHAnsi" w:hAnsi="Arial" w:cs="Arial"/>
                <w:b/>
                <w:sz w:val="20"/>
                <w:szCs w:val="20"/>
                <w:lang w:val="en-GB"/>
                <w14:ligatures w14:val="standardContextual"/>
              </w:rPr>
              <w:t>f</w:t>
            </w:r>
            <w:r w:rsidR="003815EC" w:rsidRPr="008D1922">
              <w:rPr>
                <w:rFonts w:ascii="Arial" w:eastAsiaTheme="minorHAnsi" w:hAnsi="Arial" w:cs="Arial"/>
                <w:b/>
                <w:sz w:val="20"/>
                <w:szCs w:val="20"/>
                <w:lang w:val="en-GB"/>
                <w14:ligatures w14:val="standardContextual"/>
              </w:rPr>
              <w:t>)</w:t>
            </w:r>
            <w:r w:rsidR="003815EC" w:rsidRPr="008D1922">
              <w:rPr>
                <w:rFonts w:ascii="Arial" w:eastAsiaTheme="minorHAnsi" w:hAnsi="Arial" w:cs="Arial"/>
                <w:sz w:val="20"/>
                <w:szCs w:val="20"/>
                <w:lang w:val="en-GB"/>
                <w14:ligatures w14:val="standardContextual"/>
              </w:rPr>
              <w:t xml:space="preserve"> show results from the PMA/ionomycin-stimulated panel. </w:t>
            </w:r>
            <w:r w:rsidR="003815EC" w:rsidRPr="008D192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(a) </w:t>
            </w:r>
            <w:r w:rsidR="003815EC" w:rsidRPr="008D1922">
              <w:rPr>
                <w:rFonts w:ascii="Arial" w:eastAsiaTheme="minorHAnsi" w:hAnsi="Arial" w:cs="Arial"/>
                <w:sz w:val="20"/>
                <w:szCs w:val="20"/>
                <w:lang w:val="en-GB"/>
                <w14:ligatures w14:val="standardContextual"/>
              </w:rPr>
              <w:t>and</w:t>
            </w:r>
            <w:r w:rsidR="003815EC" w:rsidRPr="008D192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 (d)</w:t>
            </w:r>
            <w:r w:rsidR="003815EC" w:rsidRPr="008D1922">
              <w:rPr>
                <w:rFonts w:ascii="Arial" w:eastAsiaTheme="minorHAnsi" w:hAnsi="Arial" w:cs="Arial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6007B4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Principal component analysis (PCA) </w:t>
            </w:r>
            <w:r w:rsidR="003815EC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plots 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constructed </w:t>
            </w:r>
            <w:r w:rsidR="003815EC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using </w:t>
            </w:r>
            <w:r w:rsidR="003815EC" w:rsidRPr="008D1922">
              <w:rPr>
                <w:rFonts w:ascii="Arial" w:hAnsi="Arial" w:cs="Arial"/>
                <w:sz w:val="20"/>
                <w:szCs w:val="20"/>
                <w:lang w:val="en-GB"/>
              </w:rPr>
              <w:t>immune cluster proportions relative to total acquired CD45</w:t>
            </w:r>
            <w:r w:rsidR="003815EC" w:rsidRPr="008D192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="003815EC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PBMCs</w:t>
            </w:r>
            <w:r w:rsidR="003815EC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. 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Each p</w:t>
            </w:r>
            <w:r w:rsidR="003815EC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oint represent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s an</w:t>
            </w:r>
            <w:r w:rsidR="003815EC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individual sample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,</w:t>
            </w:r>
            <w:r w:rsidR="003815EC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coloured by 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group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(rural </w:t>
            </w:r>
            <w:proofErr w:type="spellStart"/>
            <w:r w:rsidRPr="008D1922">
              <w:rPr>
                <w:rFonts w:ascii="Arial" w:eastAsiaTheme="minorHAnsi" w:hAnsi="Arial" w:cs="Arial"/>
                <w:i/>
                <w:iCs/>
                <w:sz w:val="20"/>
                <w:szCs w:val="20"/>
                <w:lang w:val="en-GB" w:eastAsia="en-US"/>
                <w14:ligatures w14:val="standardContextual"/>
              </w:rPr>
              <w:t>Sm</w:t>
            </w:r>
            <w:proofErr w:type="spellEnd"/>
            <w:r w:rsidRPr="008D1922">
              <w:rPr>
                <w:rFonts w:ascii="Arial" w:eastAsiaTheme="minorHAnsi" w:hAnsi="Arial" w:cs="Arial"/>
                <w:sz w:val="20"/>
                <w:szCs w:val="20"/>
                <w:vertAlign w:val="superscript"/>
                <w:lang w:val="en-GB" w:eastAsia="en-US"/>
                <w14:ligatures w14:val="standardContextual"/>
              </w:rPr>
              <w:t>+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, rural </w:t>
            </w:r>
            <w:proofErr w:type="spellStart"/>
            <w:r w:rsidRPr="008D1922">
              <w:rPr>
                <w:rFonts w:ascii="Arial" w:eastAsiaTheme="minorHAnsi" w:hAnsi="Arial" w:cs="Arial"/>
                <w:i/>
                <w:iCs/>
                <w:sz w:val="20"/>
                <w:szCs w:val="20"/>
                <w:lang w:val="en-GB" w:eastAsia="en-US"/>
                <w14:ligatures w14:val="standardContextual"/>
              </w:rPr>
              <w:t>Sm</w:t>
            </w:r>
            <w:proofErr w:type="spellEnd"/>
            <w:r w:rsidRPr="008D1922">
              <w:rPr>
                <w:rFonts w:ascii="Arial" w:eastAsiaTheme="minorHAnsi" w:hAnsi="Arial" w:cs="Arial"/>
                <w:sz w:val="20"/>
                <w:szCs w:val="20"/>
                <w:vertAlign w:val="superscript"/>
                <w:lang w:val="en-GB" w:eastAsia="en-US"/>
                <w14:ligatures w14:val="standardContextual"/>
              </w:rPr>
              <w:t>–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and urban)</w:t>
            </w:r>
            <w:r w:rsidR="003815EC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. 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Ellipses indicate group centroids</w:t>
            </w:r>
            <w:r w:rsidR="00B6209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. Group separation was 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assessed</w:t>
            </w:r>
            <w:r w:rsidR="003815EC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using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permutational multivariate analysis of variance (</w:t>
            </w:r>
            <w:r w:rsidR="003815EC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PERMANOVA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)</w:t>
            </w:r>
            <w:r w:rsidR="00B6209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, with R</w:t>
            </w:r>
            <w:r w:rsidR="00B62097" w:rsidRPr="008D1922">
              <w:rPr>
                <w:rFonts w:ascii="Arial" w:eastAsiaTheme="minorHAnsi" w:hAnsi="Arial" w:cs="Arial"/>
                <w:sz w:val="20"/>
                <w:szCs w:val="20"/>
                <w:vertAlign w:val="superscript"/>
                <w:lang w:val="en-GB" w:eastAsia="en-US"/>
                <w14:ligatures w14:val="standardContextual"/>
              </w:rPr>
              <w:t>2</w:t>
            </w:r>
            <w:r w:rsidR="00B6209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= 0.</w:t>
            </w:r>
            <w:r w:rsidR="006007B4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29</w:t>
            </w:r>
            <w:r w:rsidR="00B6209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and p</w:t>
            </w:r>
            <w:r w:rsidR="006007B4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&lt;</w:t>
            </w:r>
            <w:r w:rsidR="00B6209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0.0</w:t>
            </w:r>
            <w:r w:rsidR="006007B4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01</w:t>
            </w:r>
            <w:r w:rsidR="00B6209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for the unstimulated panel, and R</w:t>
            </w:r>
            <w:r w:rsidR="00B62097" w:rsidRPr="008D1922">
              <w:rPr>
                <w:rFonts w:ascii="Arial" w:eastAsiaTheme="minorHAnsi" w:hAnsi="Arial" w:cs="Arial"/>
                <w:sz w:val="20"/>
                <w:szCs w:val="20"/>
                <w:vertAlign w:val="superscript"/>
                <w:lang w:val="en-GB" w:eastAsia="en-US"/>
                <w14:ligatures w14:val="standardContextual"/>
              </w:rPr>
              <w:t xml:space="preserve">2 </w:t>
            </w:r>
            <w:r w:rsidR="00B6209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= 0.3</w:t>
            </w:r>
            <w:r w:rsidR="006007B4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3</w:t>
            </w:r>
            <w:r w:rsidR="00B6209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and p</w:t>
            </w:r>
            <w:r w:rsidR="006007B4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= </w:t>
            </w:r>
            <w:r w:rsidR="00B6209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0.00</w:t>
            </w:r>
            <w:r w:rsidR="006007B4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2</w:t>
            </w:r>
            <w:r w:rsidR="00B6209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for the PMA/ionomycin-stimulated panel</w:t>
            </w:r>
            <w:r w:rsidR="003815EC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.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</w:t>
            </w:r>
            <w:r w:rsidR="002174D7" w:rsidRPr="008D192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  <w14:ligatures w14:val="standardContextual"/>
              </w:rPr>
              <w:t>(b)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and </w:t>
            </w:r>
            <w:r w:rsidR="002174D7" w:rsidRPr="008D192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  <w14:ligatures w14:val="standardContextual"/>
              </w:rPr>
              <w:t>(e)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Principal curve trajectory analysis showing 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the projection of 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sample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s along a rural-to-urban immune trajectory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across the three groups.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Colour intensity reflects the lambda value (trajectory position).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</w:t>
            </w:r>
            <w:r w:rsidR="002174D7" w:rsidRPr="008D192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  <w14:ligatures w14:val="standardContextual"/>
              </w:rPr>
              <w:t>(c)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and </w:t>
            </w:r>
            <w:r w:rsidR="002174D7" w:rsidRPr="008D192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  <w14:ligatures w14:val="standardContextual"/>
              </w:rPr>
              <w:t>(f)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Distribution of principal curve 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lambda 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values by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group.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Points represent individual samples;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e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rror bars 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indicate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adjusted marginal means with 95% 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confidence interval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s. 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P-values for the l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inear trend 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across groups and 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Conover post hoc pairwise comparisons are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shown</w:t>
            </w:r>
            <w:r w:rsidR="002174D7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.</w:t>
            </w:r>
          </w:p>
        </w:tc>
      </w:tr>
    </w:tbl>
    <w:p w14:paraId="3C9898FA" w14:textId="77777777" w:rsidR="00882422" w:rsidRPr="008D1922" w:rsidRDefault="00882422">
      <w:pPr>
        <w:rPr>
          <w:lang w:val="en-GB"/>
        </w:rPr>
      </w:pP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15593"/>
      </w:tblGrid>
      <w:tr w:rsidR="006C2470" w:rsidRPr="008D1922" w14:paraId="7EF8606C" w14:textId="77777777" w:rsidTr="001B2BBB">
        <w:tc>
          <w:tcPr>
            <w:tcW w:w="15593" w:type="dxa"/>
          </w:tcPr>
          <w:p w14:paraId="178FB3FB" w14:textId="5CA4F195" w:rsidR="000C02BA" w:rsidRPr="008D1922" w:rsidRDefault="00442A35" w:rsidP="00820374">
            <w:pPr>
              <w:rPr>
                <w:noProof/>
                <w:lang w:val="en-GB"/>
              </w:rPr>
            </w:pPr>
            <w:r w:rsidRPr="008D1922">
              <w:rPr>
                <w:noProof/>
                <w:lang w:val="en-GB"/>
                <w14:ligatures w14:val="standardContextual"/>
              </w:rPr>
              <w:drawing>
                <wp:inline distT="0" distB="0" distL="0" distR="0" wp14:anchorId="3ED4B6EC" wp14:editId="4CD32164">
                  <wp:extent cx="9736111" cy="4729945"/>
                  <wp:effectExtent l="0" t="0" r="5080" b="0"/>
                  <wp:docPr id="111895630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956304" name="Picture 111895630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138" cy="4765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2470" w:rsidRPr="008D1922" w14:paraId="729CB0D8" w14:textId="2009161F" w:rsidTr="001B2BBB">
        <w:tc>
          <w:tcPr>
            <w:tcW w:w="15593" w:type="dxa"/>
          </w:tcPr>
          <w:p w14:paraId="6FEDF866" w14:textId="77777777" w:rsidR="00A55696" w:rsidRPr="008D1922" w:rsidRDefault="00A55696" w:rsidP="00C708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7A269D9" w14:textId="03F537DF" w:rsidR="000C02BA" w:rsidRPr="008D1922" w:rsidRDefault="00D6687D" w:rsidP="00C708F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b/>
                <w:sz w:val="20"/>
                <w:szCs w:val="20"/>
                <w:lang w:val="en-GB"/>
              </w:rPr>
              <w:t>Supplementary</w:t>
            </w:r>
            <w:r w:rsidRPr="008D19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1915EE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Figure </w:t>
            </w:r>
            <w:r w:rsidR="00F96C21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</w:t>
            </w:r>
            <w:r w:rsidR="001915EE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r w:rsidR="00C708F4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B2643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Rural-urban comparison of immune profiles.</w:t>
            </w:r>
            <w:r w:rsidR="001B2643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</w:t>
            </w:r>
            <w:r w:rsidR="00C708F4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Volcano plots showing </w:t>
            </w:r>
            <w:r w:rsidR="00442A35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log odds</w:t>
            </w:r>
            <w:r w:rsidR="000554DE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ratios</w:t>
            </w:r>
            <w:r w:rsidR="00C708F4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and corresponding age- and sex-adjusted p values [−log10(FDR)] </w:t>
            </w:r>
            <w:r w:rsidR="00F05BB2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for the association between frequency of immune phenotypes (as a percentage of the total acquired CD45</w:t>
            </w:r>
            <w:r w:rsidR="00F05BB2" w:rsidRPr="008D1922">
              <w:rPr>
                <w:rFonts w:ascii="Arial" w:eastAsiaTheme="minorHAnsi" w:hAnsi="Arial" w:cs="Arial"/>
                <w:sz w:val="20"/>
                <w:szCs w:val="20"/>
                <w:vertAlign w:val="superscript"/>
                <w:lang w:val="en-GB" w:eastAsia="en-US"/>
                <w14:ligatures w14:val="standardContextual"/>
              </w:rPr>
              <w:t>+</w:t>
            </w:r>
            <w:r w:rsidR="00F05BB2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PBMCs per participant) and geographical setting, at the pre-vaccination (week 0) timepoint. </w:t>
            </w:r>
            <w:r w:rsidR="00AC7BE0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Nega</w:t>
            </w:r>
            <w:r w:rsidR="00F950EF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tive and </w:t>
            </w:r>
            <w:r w:rsidR="00AC7BE0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posi</w:t>
            </w:r>
            <w:r w:rsidR="00F950EF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tive </w:t>
            </w:r>
            <w:r w:rsidR="000554DE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log </w:t>
            </w:r>
            <w:r w:rsidR="00442A35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odds</w:t>
            </w:r>
            <w:r w:rsidR="000554DE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ratios</w:t>
            </w:r>
            <w:r w:rsidR="00F950EF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indicate higher frequencies of immune clusters in the </w:t>
            </w:r>
            <w:r w:rsidR="00AC7BE0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rural</w:t>
            </w:r>
            <w:r w:rsidR="00F950EF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and </w:t>
            </w:r>
            <w:r w:rsidR="00AC7BE0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urban</w:t>
            </w:r>
            <w:r w:rsidR="00F950EF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settings, respectively. </w:t>
            </w:r>
            <w:r w:rsidR="00F05BB2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The left panel shows results from the unstimulated panel and the panel on the right shows results from the PMA/ionomycin-stimulated panel. </w:t>
            </w:r>
            <w:r w:rsidR="00C708F4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Estimates </w:t>
            </w:r>
            <w:r w:rsidR="00F05BB2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we</w:t>
            </w:r>
            <w:r w:rsidR="00C708F4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re derived from a generalised binomial linear mixed model. Each point represents an immune cluster, and clusters with FDR-corrected p values of &lt;0.05 are coloured by immune lineage and labelled with the cluster ID</w:t>
            </w:r>
            <w:r w:rsidR="0069500D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.</w:t>
            </w:r>
          </w:p>
        </w:tc>
      </w:tr>
    </w:tbl>
    <w:p w14:paraId="433793A5" w14:textId="727E4565" w:rsidR="00AE34FA" w:rsidRPr="008D1922" w:rsidRDefault="00AE34FA">
      <w:pPr>
        <w:rPr>
          <w:lang w:val="en-GB"/>
        </w:rPr>
        <w:sectPr w:rsidR="00AE34FA" w:rsidRPr="008D1922" w:rsidSect="00B16FD1">
          <w:pgSz w:w="16838" w:h="11906" w:orient="landscape"/>
          <w:pgMar w:top="348" w:right="1440" w:bottom="949" w:left="1440" w:header="708" w:footer="708" w:gutter="0"/>
          <w:cols w:space="708"/>
          <w:docGrid w:linePitch="360"/>
        </w:sectPr>
      </w:pPr>
    </w:p>
    <w:tbl>
      <w:tblPr>
        <w:tblStyle w:val="TableGrid"/>
        <w:tblW w:w="14885" w:type="dxa"/>
        <w:tblInd w:w="-856" w:type="dxa"/>
        <w:tblLook w:val="04A0" w:firstRow="1" w:lastRow="0" w:firstColumn="1" w:lastColumn="0" w:noHBand="0" w:noVBand="1"/>
      </w:tblPr>
      <w:tblGrid>
        <w:gridCol w:w="14885"/>
      </w:tblGrid>
      <w:tr w:rsidR="003D6362" w:rsidRPr="008D1922" w14:paraId="74D4154C" w14:textId="77777777" w:rsidTr="001B632F">
        <w:tc>
          <w:tcPr>
            <w:tcW w:w="14885" w:type="dxa"/>
          </w:tcPr>
          <w:p w14:paraId="03DDF386" w14:textId="42D452D0" w:rsidR="003D6362" w:rsidRPr="008D1922" w:rsidRDefault="001B632F" w:rsidP="00CB0B12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GB"/>
                <w14:ligatures w14:val="standardContextual"/>
              </w:rPr>
            </w:pPr>
            <w:r w:rsidRPr="008D1922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GB"/>
                <w14:ligatures w14:val="standardContextual"/>
              </w:rPr>
              <w:lastRenderedPageBreak/>
              <w:t xml:space="preserve">        </w:t>
            </w:r>
            <w:r w:rsidRPr="008D1922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GB"/>
                <w14:ligatures w14:val="standardContextual"/>
              </w:rPr>
              <w:drawing>
                <wp:inline distT="0" distB="0" distL="0" distR="0" wp14:anchorId="6679DC5D" wp14:editId="7F7DAF0B">
                  <wp:extent cx="8863330" cy="4761865"/>
                  <wp:effectExtent l="0" t="0" r="1270" b="635"/>
                  <wp:docPr id="181283717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837178" name="Picture 181283717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3330" cy="476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362" w:rsidRPr="008D1922" w14:paraId="30FD9673" w14:textId="77777777" w:rsidTr="001B632F">
        <w:tc>
          <w:tcPr>
            <w:tcW w:w="14885" w:type="dxa"/>
          </w:tcPr>
          <w:p w14:paraId="07B8BE31" w14:textId="77777777" w:rsidR="00567F66" w:rsidRPr="008D1922" w:rsidRDefault="00567F66" w:rsidP="00CB0B12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</w:pPr>
          </w:p>
          <w:p w14:paraId="5B24E1F7" w14:textId="015DC340" w:rsidR="003D6362" w:rsidRPr="008D1922" w:rsidRDefault="00D6687D" w:rsidP="00CB0B12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</w:pPr>
            <w:r w:rsidRPr="008D1922">
              <w:rPr>
                <w:rFonts w:ascii="Arial" w:hAnsi="Arial" w:cs="Arial"/>
                <w:b/>
                <w:sz w:val="20"/>
                <w:szCs w:val="20"/>
                <w:lang w:val="en-GB"/>
              </w:rPr>
              <w:t>Supplementary</w:t>
            </w:r>
            <w:r w:rsidRPr="008D19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3D6362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 xml:space="preserve">Figure </w:t>
            </w:r>
            <w:r w:rsidR="00F96C21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>8</w:t>
            </w:r>
            <w:r w:rsidR="00310D04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>.</w:t>
            </w:r>
            <w:r w:rsidR="00567F66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4D28FF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 xml:space="preserve">Rural versus Urban </w:t>
            </w:r>
            <w:r w:rsidR="00567F66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NK cell and monocyte alterations four weeks post-BCG vaccination. </w:t>
            </w:r>
            <w:r w:rsidR="00230A2C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(a)</w:t>
            </w:r>
            <w:r w:rsidR="00230A2C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and</w:t>
            </w:r>
            <w:r w:rsidR="00230A2C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(f) </w:t>
            </w:r>
            <w:r w:rsidR="00230A2C" w:rsidRPr="008D1922">
              <w:rPr>
                <w:rFonts w:ascii="Arial" w:hAnsi="Arial" w:cs="Arial"/>
                <w:sz w:val="20"/>
                <w:szCs w:val="20"/>
                <w:lang w:val="en-GB"/>
              </w:rPr>
              <w:t>UMAP contour density plots for NK cells and monocytes, respectively, stratified by sample origin and timepoint.</w:t>
            </w:r>
            <w:r w:rsidR="00230A2C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(b)–(e)</w:t>
            </w:r>
            <w:r w:rsidR="00230A2C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and </w:t>
            </w:r>
            <w:r w:rsidR="00230A2C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(g)–(j)</w:t>
            </w:r>
            <w:r w:rsidR="00230A2C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Boxplots summarising subset frequencies expressed as a percentage of total acquired live CD45</w:t>
            </w:r>
            <w:r w:rsidR="00230A2C" w:rsidRPr="008D192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="00230A2C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PBMCs. Paired comparisons before (week 0) and after BCG vaccination (week 4) were done using the Wilcoxon signed-rank test, with false discovery rate (FDR) correction. </w:t>
            </w:r>
          </w:p>
        </w:tc>
      </w:tr>
    </w:tbl>
    <w:p w14:paraId="108238C3" w14:textId="77777777" w:rsidR="009A0793" w:rsidRPr="008D1922" w:rsidRDefault="009A0793">
      <w:pPr>
        <w:rPr>
          <w:lang w:val="en-GB"/>
        </w:rPr>
        <w:sectPr w:rsidR="009A0793" w:rsidRPr="008D1922" w:rsidSect="001B632F">
          <w:pgSz w:w="16838" w:h="11906" w:orient="landscape"/>
          <w:pgMar w:top="530" w:right="1440" w:bottom="1020" w:left="1440" w:header="708" w:footer="708" w:gutter="0"/>
          <w:cols w:space="708"/>
          <w:docGrid w:linePitch="360"/>
        </w:sectPr>
      </w:pP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10916"/>
      </w:tblGrid>
      <w:tr w:rsidR="009A0793" w:rsidRPr="008D1922" w14:paraId="4A91A55D" w14:textId="77777777" w:rsidTr="008037AA">
        <w:tc>
          <w:tcPr>
            <w:tcW w:w="10916" w:type="dxa"/>
          </w:tcPr>
          <w:p w14:paraId="201B18C3" w14:textId="1DF166BD" w:rsidR="009A0793" w:rsidRPr="008D1922" w:rsidRDefault="001B632F" w:rsidP="00CB0B12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GB"/>
                <w14:ligatures w14:val="standardContextual"/>
              </w:rPr>
            </w:pPr>
            <w:r w:rsidRPr="008D1922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GB"/>
                <w14:ligatures w14:val="standardContextual"/>
              </w:rPr>
              <w:lastRenderedPageBreak/>
              <w:drawing>
                <wp:inline distT="0" distB="0" distL="0" distR="0" wp14:anchorId="50FF28AA" wp14:editId="1096AD29">
                  <wp:extent cx="6717323" cy="6789113"/>
                  <wp:effectExtent l="0" t="0" r="1270" b="5715"/>
                  <wp:docPr id="277777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7771" name="Picture 277777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942" cy="6823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0793" w:rsidRPr="008D1922" w14:paraId="7C541C04" w14:textId="77777777" w:rsidTr="008037AA">
        <w:tc>
          <w:tcPr>
            <w:tcW w:w="10916" w:type="dxa"/>
          </w:tcPr>
          <w:p w14:paraId="2CC4C384" w14:textId="77777777" w:rsidR="00567F66" w:rsidRPr="008D1922" w:rsidRDefault="00567F66" w:rsidP="00CB0B12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</w:pPr>
          </w:p>
          <w:p w14:paraId="4389B97D" w14:textId="09937118" w:rsidR="004D28FF" w:rsidRPr="008D1922" w:rsidRDefault="00D6687D" w:rsidP="00CB0B1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b/>
                <w:sz w:val="20"/>
                <w:szCs w:val="20"/>
                <w:lang w:val="en-GB"/>
              </w:rPr>
              <w:t>Supplementary</w:t>
            </w:r>
            <w:r w:rsidRPr="008D19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9A0793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 xml:space="preserve">Figure </w:t>
            </w:r>
            <w:r w:rsidR="00F96C21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>9</w:t>
            </w:r>
            <w:r w:rsidR="009A0793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>.</w:t>
            </w:r>
            <w:r w:rsidR="00567F66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4D28FF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 xml:space="preserve">Rural versus Urban </w:t>
            </w:r>
            <w:r w:rsidR="004D28FF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</w:rPr>
              <w:t>l</w:t>
            </w:r>
            <w:proofErr w:type="spellStart"/>
            <w:r w:rsidR="00567F66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ymphocyte</w:t>
            </w:r>
            <w:proofErr w:type="spellEnd"/>
            <w:r w:rsidR="00567F66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alterations four weeks post-BCG vaccination. </w:t>
            </w:r>
          </w:p>
          <w:p w14:paraId="1DC727F1" w14:textId="5FEDDED0" w:rsidR="009A0793" w:rsidRPr="008D1922" w:rsidRDefault="004D28FF" w:rsidP="00CB0B12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</w:pPr>
            <w:r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(a)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and</w:t>
            </w:r>
            <w:r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(e) 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>UMAP contour density plots for CD4</w:t>
            </w:r>
            <w:r w:rsidRPr="008D192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T cells and B cells, respectively, stratified by sample origin and timepoint.</w:t>
            </w:r>
            <w:r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(b)–(d)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and </w:t>
            </w:r>
            <w:r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(f)–(k)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Boxplots summarising subset frequencies expressed as a percentage of total acquired live CD45</w:t>
            </w:r>
            <w:r w:rsidRPr="008D192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PBMCs. Paired comparisons before (week 0) and after BCG vaccination (week 4) were done using the Wilcoxon signed-rank test, with false discovery rate (FDR) correction.</w:t>
            </w:r>
          </w:p>
        </w:tc>
      </w:tr>
    </w:tbl>
    <w:p w14:paraId="053E684C" w14:textId="77777777" w:rsidR="00530788" w:rsidRPr="008D1922" w:rsidRDefault="00530788">
      <w:pPr>
        <w:rPr>
          <w:lang w:val="en-GB"/>
        </w:rPr>
      </w:pP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10916"/>
      </w:tblGrid>
      <w:tr w:rsidR="00530788" w:rsidRPr="008D1922" w14:paraId="35CE619C" w14:textId="77777777" w:rsidTr="008037AA">
        <w:tc>
          <w:tcPr>
            <w:tcW w:w="10916" w:type="dxa"/>
          </w:tcPr>
          <w:p w14:paraId="3EF0C550" w14:textId="5BE5440D" w:rsidR="00530788" w:rsidRPr="008D1922" w:rsidRDefault="00360214" w:rsidP="00CB0B12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</w:pPr>
            <w:r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lastRenderedPageBreak/>
              <w:drawing>
                <wp:inline distT="0" distB="0" distL="0" distR="0" wp14:anchorId="057083DD" wp14:editId="7E0C0BAB">
                  <wp:extent cx="6769395" cy="6745989"/>
                  <wp:effectExtent l="0" t="0" r="0" b="0"/>
                  <wp:docPr id="5277138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713865" name="Picture 527713865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9870" cy="679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0788" w:rsidRPr="008D1922" w14:paraId="06BC6A15" w14:textId="77777777" w:rsidTr="008037AA">
        <w:tc>
          <w:tcPr>
            <w:tcW w:w="10916" w:type="dxa"/>
          </w:tcPr>
          <w:p w14:paraId="2050B0BA" w14:textId="103FA9B0" w:rsidR="00530788" w:rsidRPr="008D1922" w:rsidRDefault="00530788" w:rsidP="00530788">
            <w:pPr>
              <w:rPr>
                <w:rFonts w:ascii="Arial" w:hAnsi="Arial" w:cs="Arial"/>
                <w:b/>
                <w:bCs/>
                <w:kern w:val="2"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b/>
                <w:sz w:val="20"/>
                <w:szCs w:val="20"/>
                <w:lang w:val="en-GB"/>
              </w:rPr>
              <w:t>Supplementary</w:t>
            </w:r>
            <w:r w:rsidRPr="008D19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 xml:space="preserve">Figure </w:t>
            </w:r>
            <w:r w:rsidR="00F96C21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>10</w:t>
            </w:r>
            <w:r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 xml:space="preserve">. </w:t>
            </w:r>
            <w:r w:rsidRPr="008D1922">
              <w:rPr>
                <w:rFonts w:ascii="Arial" w:hAnsi="Arial" w:cs="Arial"/>
                <w:b/>
                <w:bCs/>
                <w:color w:val="1B1B1B"/>
                <w:sz w:val="20"/>
                <w:szCs w:val="20"/>
                <w:lang w:val="en-GB"/>
              </w:rPr>
              <w:t>Coordinated multi-compartment immune reprogramming following BCG vaccination</w:t>
            </w:r>
            <w:r w:rsidR="00067183" w:rsidRPr="008D1922">
              <w:rPr>
                <w:rFonts w:ascii="Arial" w:hAnsi="Arial" w:cs="Arial"/>
                <w:b/>
                <w:bCs/>
                <w:color w:val="1B1B1B"/>
                <w:sz w:val="20"/>
                <w:szCs w:val="20"/>
                <w:lang w:val="en-GB"/>
              </w:rPr>
              <w:t xml:space="preserve"> in all rural participants</w:t>
            </w:r>
            <w:r w:rsidRPr="008D1922">
              <w:rPr>
                <w:rFonts w:ascii="Arial" w:hAnsi="Arial" w:cs="Arial"/>
                <w:b/>
                <w:bCs/>
                <w:color w:val="1B1B1B"/>
                <w:sz w:val="20"/>
                <w:szCs w:val="20"/>
                <w:lang w:val="en-GB"/>
              </w:rPr>
              <w:t>.</w:t>
            </w:r>
          </w:p>
          <w:p w14:paraId="50D7ED6E" w14:textId="5750687B" w:rsidR="00530788" w:rsidRPr="008D1922" w:rsidRDefault="00530788" w:rsidP="00530788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</w:pPr>
            <w:r w:rsidRPr="008D1922">
              <w:rPr>
                <w:rFonts w:ascii="Arial" w:hAnsi="Arial" w:cs="Arial"/>
                <w:b/>
                <w:bCs/>
                <w:color w:val="1B1B1B"/>
                <w:sz w:val="20"/>
                <w:szCs w:val="20"/>
                <w:lang w:val="en-GB"/>
              </w:rPr>
              <w:t>(a)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 xml:space="preserve"> Paired changes in frequencies of selected innate and adaptive immune cell subsets in all rural participants from week 0 (pre</w:t>
            </w:r>
            <w:r w:rsidRPr="008D1922">
              <w:rPr>
                <w:rFonts w:ascii="Cambria Math" w:hAnsi="Cambria Math" w:cs="Cambria Math"/>
                <w:color w:val="1B1B1B"/>
                <w:sz w:val="20"/>
                <w:szCs w:val="20"/>
                <w:lang w:val="en-GB"/>
              </w:rPr>
              <w:t>‑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>BCG) to week 4 post</w:t>
            </w:r>
            <w:r w:rsidRPr="008D1922">
              <w:rPr>
                <w:rFonts w:ascii="Cambria Math" w:hAnsi="Cambria Math" w:cs="Cambria Math"/>
                <w:color w:val="1B1B1B"/>
                <w:sz w:val="20"/>
                <w:szCs w:val="20"/>
                <w:lang w:val="en-GB"/>
              </w:rPr>
              <w:t>‑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>BCG vaccination. Each line represents an individual. Participants exhibiting ≥2</w:t>
            </w:r>
            <w:r w:rsidRPr="008D1922">
              <w:rPr>
                <w:rFonts w:ascii="Cambria Math" w:hAnsi="Cambria Math" w:cs="Cambria Math"/>
                <w:color w:val="1B1B1B"/>
                <w:sz w:val="20"/>
                <w:szCs w:val="20"/>
                <w:lang w:val="en-GB"/>
              </w:rPr>
              <w:t>‑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>fold increases in CD56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vertAlign w:val="superscript"/>
                <w:lang w:val="en-GB"/>
              </w:rPr>
              <w:t>+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>CD16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vertAlign w:val="superscript"/>
                <w:lang w:val="en-GB"/>
              </w:rPr>
              <w:t>+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 xml:space="preserve"> NK cells (blue) are highlighted against all other individuals (grey). Expansion of CD56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vertAlign w:val="superscript"/>
                <w:lang w:val="en-GB"/>
              </w:rPr>
              <w:t>+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>CD16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vertAlign w:val="superscript"/>
                <w:lang w:val="en-GB"/>
              </w:rPr>
              <w:t>+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 xml:space="preserve"> NK cells is presented against concurrent increases in other cytotoxic NK subsets (CD56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vertAlign w:val="superscript"/>
                <w:lang w:val="en-GB"/>
              </w:rPr>
              <w:t>+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>NKp46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vertAlign w:val="superscript"/>
                <w:lang w:val="en-GB"/>
              </w:rPr>
              <w:t>+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>, CD56</w:t>
            </w:r>
            <w:r w:rsidRPr="008D1922">
              <w:rPr>
                <w:rFonts w:ascii="Cambria Math" w:hAnsi="Cambria Math" w:cs="Cambria Math"/>
                <w:color w:val="1B1B1B"/>
                <w:sz w:val="20"/>
                <w:szCs w:val="20"/>
                <w:lang w:val="en-GB"/>
              </w:rPr>
              <w:t>⁺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>KLRG1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vertAlign w:val="superscript"/>
                <w:lang w:val="en-GB"/>
              </w:rPr>
              <w:t>hi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>) and intermediate monocytes (CD14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vertAlign w:val="superscript"/>
                <w:lang w:val="en-GB"/>
              </w:rPr>
              <w:t>+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>CD16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vertAlign w:val="superscript"/>
                <w:lang w:val="en-GB"/>
              </w:rPr>
              <w:t>+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>) and non-classical monocytes (CD14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vertAlign w:val="superscript"/>
                <w:lang w:val="en-GB"/>
              </w:rPr>
              <w:t>lo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>CD16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vertAlign w:val="superscript"/>
                <w:lang w:val="en-GB"/>
              </w:rPr>
              <w:t>+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>), alongside reductions in adaptive phenotypes associated with helminth exposure, including CRTH2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vertAlign w:val="superscript"/>
                <w:lang w:val="en-GB"/>
              </w:rPr>
              <w:t>hi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 xml:space="preserve"> CD4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vertAlign w:val="superscript"/>
                <w:lang w:val="en-GB"/>
              </w:rPr>
              <w:t>+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 xml:space="preserve"> T cells and CD11c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vertAlign w:val="superscript"/>
                <w:lang w:val="en-GB"/>
              </w:rPr>
              <w:t>+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 xml:space="preserve"> B-cell subsets. </w:t>
            </w:r>
            <w:r w:rsidRPr="008D1922">
              <w:rPr>
                <w:rFonts w:ascii="Arial" w:hAnsi="Arial" w:cs="Arial"/>
                <w:b/>
                <w:bCs/>
                <w:color w:val="1B1B1B"/>
                <w:sz w:val="20"/>
                <w:szCs w:val="20"/>
                <w:lang w:val="en-GB"/>
              </w:rPr>
              <w:t>(b)</w:t>
            </w:r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 xml:space="preserve"> Spearman correlation matrices of week 0–week </w:t>
            </w:r>
            <w:proofErr w:type="gramStart"/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>4 fold</w:t>
            </w:r>
            <w:proofErr w:type="gramEnd"/>
            <w:r w:rsidRPr="008D1922">
              <w:rPr>
                <w:rFonts w:ascii="Arial" w:hAnsi="Arial" w:cs="Arial"/>
                <w:color w:val="1B1B1B"/>
                <w:sz w:val="20"/>
                <w:szCs w:val="20"/>
                <w:lang w:val="en-GB"/>
              </w:rPr>
              <w:t xml:space="preserve"> changes in immune cell subset frequencies in all rural participants. Positive (blue) and negative correlation coefficients (red) are shown.</w:t>
            </w:r>
          </w:p>
        </w:tc>
      </w:tr>
    </w:tbl>
    <w:p w14:paraId="16D59A9C" w14:textId="77777777" w:rsidR="00C903FE" w:rsidRPr="008D1922" w:rsidRDefault="00C903FE">
      <w:pPr>
        <w:rPr>
          <w:lang w:val="en-GB"/>
        </w:rPr>
        <w:sectPr w:rsidR="00C903FE" w:rsidRPr="008D1922" w:rsidSect="00B0570D">
          <w:pgSz w:w="11906" w:h="16838"/>
          <w:pgMar w:top="684" w:right="922" w:bottom="850" w:left="1440" w:header="708" w:footer="708" w:gutter="0"/>
          <w:cols w:space="708"/>
          <w:docGrid w:linePitch="360"/>
        </w:sectPr>
      </w:pPr>
    </w:p>
    <w:tbl>
      <w:tblPr>
        <w:tblStyle w:val="TableGrid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340"/>
      </w:tblGrid>
      <w:tr w:rsidR="00C903FE" w:rsidRPr="008D1922" w14:paraId="4F55F139" w14:textId="77777777" w:rsidTr="00B81A8F">
        <w:tc>
          <w:tcPr>
            <w:tcW w:w="11340" w:type="dxa"/>
          </w:tcPr>
          <w:p w14:paraId="6232BBA7" w14:textId="069AEEA3" w:rsidR="00C903FE" w:rsidRPr="008D1922" w:rsidRDefault="00B81A8F">
            <w:pPr>
              <w:rPr>
                <w:lang w:val="en-GB"/>
              </w:rPr>
            </w:pPr>
            <w:r w:rsidRPr="008D1922">
              <w:rPr>
                <w:noProof/>
                <w:lang w:val="en-GB"/>
                <w14:ligatures w14:val="standardContextual"/>
              </w:rPr>
              <w:lastRenderedPageBreak/>
              <w:drawing>
                <wp:inline distT="0" distB="0" distL="0" distR="0" wp14:anchorId="00C18C6E" wp14:editId="6879887B">
                  <wp:extent cx="7075612" cy="5408428"/>
                  <wp:effectExtent l="0" t="0" r="0" b="1905"/>
                  <wp:docPr id="202120089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200899" name="Picture 202120089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6995" cy="5531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03FE" w:rsidRPr="008D1922" w14:paraId="15F213C6" w14:textId="77777777" w:rsidTr="00B81A8F">
        <w:tc>
          <w:tcPr>
            <w:tcW w:w="11340" w:type="dxa"/>
          </w:tcPr>
          <w:p w14:paraId="2D437A81" w14:textId="2103481A" w:rsidR="00C903FE" w:rsidRPr="008D1922" w:rsidRDefault="00545F66" w:rsidP="00C903F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</w:pPr>
            <w:r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>Supplementary Figure 1</w:t>
            </w:r>
            <w:r w:rsidR="00F96C21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>1</w:t>
            </w:r>
            <w:r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 xml:space="preserve">. </w:t>
            </w:r>
            <w:r w:rsidR="00C903FE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 xml:space="preserve">Principal component analysis </w:t>
            </w:r>
            <w:r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pre- and post-BCG samples</w:t>
            </w:r>
            <w:r w:rsidR="00C903FE" w:rsidRPr="008D1922">
              <w:rPr>
                <w:rFonts w:ascii="Arial" w:hAnsi="Arial" w:cs="Arial"/>
                <w:b/>
                <w:bCs/>
                <w:noProof/>
                <w:sz w:val="20"/>
                <w:szCs w:val="20"/>
                <w:lang w:val="en-GB"/>
                <w14:ligatures w14:val="standardContextual"/>
              </w:rPr>
              <w:t xml:space="preserve">. </w:t>
            </w:r>
          </w:p>
          <w:p w14:paraId="595B12EE" w14:textId="51AC43A6" w:rsidR="00F9270A" w:rsidRPr="008D1922" w:rsidRDefault="0051758B" w:rsidP="00C903FE">
            <w:pPr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</w:pPr>
            <w:r w:rsidRPr="008D1922">
              <w:rPr>
                <w:rFonts w:ascii="Arial" w:eastAsiaTheme="minorHAnsi" w:hAnsi="Arial" w:cs="Arial"/>
                <w:bCs/>
                <w:sz w:val="20"/>
                <w:szCs w:val="20"/>
                <w:lang w:val="en-GB"/>
                <w14:ligatures w14:val="standardContextual"/>
              </w:rPr>
              <w:t>Figures</w:t>
            </w:r>
            <w:r w:rsidRPr="008D1922">
              <w:rPr>
                <w:rFonts w:ascii="Arial" w:eastAsiaTheme="minorHAnsi" w:hAnsi="Arial" w:cs="Arial"/>
                <w:b/>
                <w:sz w:val="20"/>
                <w:szCs w:val="20"/>
                <w:lang w:val="en-GB"/>
                <w14:ligatures w14:val="standardContextual"/>
              </w:rPr>
              <w:t xml:space="preserve"> (a)-(c)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/>
                <w14:ligatures w14:val="standardContextual"/>
              </w:rPr>
              <w:t xml:space="preserve"> show results from the unstimulated </w:t>
            </w:r>
            <w:proofErr w:type="spellStart"/>
            <w:r w:rsidRPr="008D1922">
              <w:rPr>
                <w:rFonts w:ascii="Arial" w:eastAsiaTheme="minorHAnsi" w:hAnsi="Arial" w:cs="Arial"/>
                <w:sz w:val="20"/>
                <w:szCs w:val="20"/>
                <w:lang w:val="en-GB"/>
                <w14:ligatures w14:val="standardContextual"/>
              </w:rPr>
              <w:t>CyTOF</w:t>
            </w:r>
            <w:proofErr w:type="spellEnd"/>
            <w:r w:rsidRPr="008D1922">
              <w:rPr>
                <w:rFonts w:ascii="Arial" w:eastAsiaTheme="minorHAnsi" w:hAnsi="Arial" w:cs="Arial"/>
                <w:sz w:val="20"/>
                <w:szCs w:val="20"/>
                <w:lang w:val="en-GB"/>
                <w14:ligatures w14:val="standardContextual"/>
              </w:rPr>
              <w:t xml:space="preserve"> panel and figures </w:t>
            </w:r>
            <w:r w:rsidRPr="008D1922">
              <w:rPr>
                <w:rFonts w:ascii="Arial" w:eastAsiaTheme="minorHAnsi" w:hAnsi="Arial" w:cs="Arial"/>
                <w:b/>
                <w:sz w:val="20"/>
                <w:szCs w:val="20"/>
                <w:lang w:val="en-GB"/>
                <w14:ligatures w14:val="standardContextual"/>
              </w:rPr>
              <w:t>(d)-(e)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/>
                <w14:ligatures w14:val="standardContextual"/>
              </w:rPr>
              <w:t xml:space="preserve"> show results from the PMA/ionomycin-stimulated panel. </w:t>
            </w:r>
            <w:r w:rsidRPr="008D192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(a) 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/>
                <w14:ligatures w14:val="standardContextual"/>
              </w:rPr>
              <w:t>and</w:t>
            </w:r>
            <w:r w:rsidRPr="008D192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 (d)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Principal component analysis (PCA) 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plots constructed using 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>immune cluster proportions relative to total acquired CD45</w:t>
            </w:r>
            <w:r w:rsidRPr="008D1922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+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PBMCs, for all week 0 and week 4 samples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. </w:t>
            </w:r>
            <w:r w:rsidR="00C903FE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Each point represents an individual sample, coloured by group (rural </w:t>
            </w:r>
            <w:proofErr w:type="spellStart"/>
            <w:r w:rsidR="00C903FE" w:rsidRPr="008D1922">
              <w:rPr>
                <w:rFonts w:ascii="Arial" w:eastAsiaTheme="minorHAnsi" w:hAnsi="Arial" w:cs="Arial"/>
                <w:i/>
                <w:iCs/>
                <w:sz w:val="20"/>
                <w:szCs w:val="20"/>
                <w:lang w:val="en-GB" w:eastAsia="en-US"/>
                <w14:ligatures w14:val="standardContextual"/>
              </w:rPr>
              <w:t>Sm</w:t>
            </w:r>
            <w:proofErr w:type="spellEnd"/>
            <w:r w:rsidR="00C903FE" w:rsidRPr="008D1922">
              <w:rPr>
                <w:rFonts w:ascii="Arial" w:eastAsiaTheme="minorHAnsi" w:hAnsi="Arial" w:cs="Arial"/>
                <w:sz w:val="20"/>
                <w:szCs w:val="20"/>
                <w:vertAlign w:val="superscript"/>
                <w:lang w:val="en-GB" w:eastAsia="en-US"/>
                <w14:ligatures w14:val="standardContextual"/>
              </w:rPr>
              <w:t>+</w:t>
            </w:r>
            <w:r w:rsidR="00C903FE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, rural </w:t>
            </w:r>
            <w:proofErr w:type="spellStart"/>
            <w:r w:rsidR="00C903FE" w:rsidRPr="008D1922">
              <w:rPr>
                <w:rFonts w:ascii="Arial" w:eastAsiaTheme="minorHAnsi" w:hAnsi="Arial" w:cs="Arial"/>
                <w:i/>
                <w:iCs/>
                <w:sz w:val="20"/>
                <w:szCs w:val="20"/>
                <w:lang w:val="en-GB" w:eastAsia="en-US"/>
                <w14:ligatures w14:val="standardContextual"/>
              </w:rPr>
              <w:t>Sm</w:t>
            </w:r>
            <w:proofErr w:type="spellEnd"/>
            <w:r w:rsidR="00C903FE" w:rsidRPr="008D1922">
              <w:rPr>
                <w:rFonts w:ascii="Arial" w:eastAsiaTheme="minorHAnsi" w:hAnsi="Arial" w:cs="Arial"/>
                <w:sz w:val="20"/>
                <w:szCs w:val="20"/>
                <w:vertAlign w:val="superscript"/>
                <w:lang w:val="en-GB" w:eastAsia="en-US"/>
                <w14:ligatures w14:val="standardContextual"/>
              </w:rPr>
              <w:t>–</w:t>
            </w:r>
            <w:r w:rsidR="00C903FE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and urban)</w:t>
            </w:r>
            <w:r w:rsidR="00545F66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and timepoint (week 0 and week 4)</w:t>
            </w:r>
            <w:r w:rsidR="00C903FE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. </w:t>
            </w:r>
            <w:r w:rsidRPr="008D192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  <w14:ligatures w14:val="standardContextual"/>
              </w:rPr>
              <w:t>b)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and </w:t>
            </w:r>
            <w:r w:rsidRPr="008D192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  <w14:ligatures w14:val="standardContextual"/>
              </w:rPr>
              <w:t>(e)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</w:t>
            </w:r>
            <w:r w:rsidR="00C903FE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Principal curve trajectory analysis showing the projection of samples along a rural-to-urban immune trajectory across the </w:t>
            </w:r>
            <w:r w:rsidR="00545F66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six</w:t>
            </w:r>
            <w:r w:rsidR="00C903FE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groups. Colour intensity reflects the lambda value (trajectory position). </w:t>
            </w:r>
            <w:r w:rsidRPr="008D192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  <w14:ligatures w14:val="standardContextual"/>
              </w:rPr>
              <w:t>(c)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and </w:t>
            </w:r>
            <w:r w:rsidRPr="008D192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  <w14:ligatures w14:val="standardContextual"/>
              </w:rPr>
              <w:t>(f)</w:t>
            </w:r>
            <w:r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</w:t>
            </w:r>
            <w:r w:rsidR="00C903FE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Distribution of principal curve lambda values by group. Points represent individual samples; error bars indicate adjusted marginal means with 95% confidence intervals. P-values </w:t>
            </w:r>
            <w:r w:rsidR="00545F66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for</w:t>
            </w:r>
            <w:r w:rsidR="00C903FE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Conover post hoc pairwise comparisons are shown.</w:t>
            </w:r>
          </w:p>
        </w:tc>
      </w:tr>
    </w:tbl>
    <w:p w14:paraId="7D2EB378" w14:textId="77777777" w:rsidR="0027027A" w:rsidRPr="008D1922" w:rsidRDefault="0027027A">
      <w:pPr>
        <w:rPr>
          <w:lang w:val="en-GB"/>
        </w:rPr>
        <w:sectPr w:rsidR="0027027A" w:rsidRPr="008D1922" w:rsidSect="00B81A8F">
          <w:pgSz w:w="11906" w:h="16838"/>
          <w:pgMar w:top="684" w:right="922" w:bottom="850" w:left="1440" w:header="708" w:footer="708" w:gutter="0"/>
          <w:cols w:space="708"/>
          <w:docGrid w:linePitch="360"/>
        </w:sectPr>
      </w:pPr>
    </w:p>
    <w:tbl>
      <w:tblPr>
        <w:tblStyle w:val="TableGrid"/>
        <w:tblW w:w="15856" w:type="dxa"/>
        <w:tblInd w:w="-5" w:type="dxa"/>
        <w:tblLook w:val="04A0" w:firstRow="1" w:lastRow="0" w:firstColumn="1" w:lastColumn="0" w:noHBand="0" w:noVBand="1"/>
      </w:tblPr>
      <w:tblGrid>
        <w:gridCol w:w="15897"/>
      </w:tblGrid>
      <w:tr w:rsidR="00387233" w:rsidRPr="008D1922" w14:paraId="1745061E" w14:textId="77777777" w:rsidTr="00541DF2">
        <w:tc>
          <w:tcPr>
            <w:tcW w:w="15856" w:type="dxa"/>
            <w:tcBorders>
              <w:bottom w:val="nil"/>
            </w:tcBorders>
          </w:tcPr>
          <w:p w14:paraId="096C354A" w14:textId="5AD036B6" w:rsidR="00A739AD" w:rsidRPr="008D1922" w:rsidRDefault="00A23C9B" w:rsidP="00CB0B12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D1922">
              <w:rPr>
                <w:rFonts w:ascii="Arial" w:hAnsi="Arial" w:cs="Arial"/>
                <w:b/>
                <w:bCs/>
                <w:noProof/>
                <w:lang w:val="en-GB"/>
                <w14:ligatures w14:val="standardContextual"/>
              </w:rPr>
              <w:lastRenderedPageBreak/>
              <w:drawing>
                <wp:inline distT="0" distB="0" distL="0" distR="0" wp14:anchorId="00CFCBAC" wp14:editId="5B6F4233">
                  <wp:extent cx="9957477" cy="3101926"/>
                  <wp:effectExtent l="0" t="0" r="0" b="0"/>
                  <wp:docPr id="1732100293" name="Picture 1" descr="A comparison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100293" name="Picture 1" descr="A comparison of a graph&#10;&#10;AI-generated content may be incorrect."/>
                          <pic:cNvPicPr/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8812" cy="3114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233" w:rsidRPr="008D1922" w14:paraId="04A75DE4" w14:textId="77777777" w:rsidTr="00541DF2">
        <w:tc>
          <w:tcPr>
            <w:tcW w:w="15856" w:type="dxa"/>
            <w:tcBorders>
              <w:top w:val="nil"/>
              <w:bottom w:val="nil"/>
            </w:tcBorders>
          </w:tcPr>
          <w:p w14:paraId="72A0248E" w14:textId="353824D3" w:rsidR="00A739AD" w:rsidRPr="008D1922" w:rsidRDefault="0049142C" w:rsidP="00CB0B12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D1922">
              <w:rPr>
                <w:rFonts w:ascii="Arial" w:hAnsi="Arial" w:cs="Arial"/>
                <w:b/>
                <w:bCs/>
                <w:noProof/>
                <w:lang w:val="en-GB"/>
                <w14:ligatures w14:val="standardContextual"/>
              </w:rPr>
              <w:drawing>
                <wp:inline distT="0" distB="0" distL="0" distR="0" wp14:anchorId="45E97929" wp14:editId="3A096003">
                  <wp:extent cx="9957435" cy="3042364"/>
                  <wp:effectExtent l="0" t="0" r="0" b="5715"/>
                  <wp:docPr id="4272030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203011" name="Picture 42720301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0772" cy="305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7233" w:rsidRPr="008D1922" w14:paraId="2C00253C" w14:textId="77777777" w:rsidTr="00541DF2">
        <w:tc>
          <w:tcPr>
            <w:tcW w:w="15856" w:type="dxa"/>
            <w:tcBorders>
              <w:top w:val="nil"/>
            </w:tcBorders>
          </w:tcPr>
          <w:p w14:paraId="3580DF38" w14:textId="11FA93EE" w:rsidR="00A739AD" w:rsidRPr="008D1922" w:rsidRDefault="00AB6CBB" w:rsidP="00CB0B12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D1922">
              <w:rPr>
                <w:rFonts w:ascii="Arial" w:hAnsi="Arial" w:cs="Arial"/>
                <w:b/>
                <w:bCs/>
                <w:noProof/>
                <w:lang w:val="en-GB"/>
                <w14:ligatures w14:val="standardContextual"/>
              </w:rPr>
              <w:lastRenderedPageBreak/>
              <w:drawing>
                <wp:inline distT="0" distB="0" distL="0" distR="0" wp14:anchorId="5509CFCD" wp14:editId="14E7D27A">
                  <wp:extent cx="9937316" cy="3017520"/>
                  <wp:effectExtent l="0" t="0" r="0" b="5080"/>
                  <wp:docPr id="43410543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105434" name="Picture 434105434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8287" cy="3036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72F" w:rsidRPr="008D1922" w14:paraId="715BA3F9" w14:textId="77777777" w:rsidTr="00A3550F">
        <w:trPr>
          <w:trHeight w:val="1134"/>
        </w:trPr>
        <w:tc>
          <w:tcPr>
            <w:tcW w:w="15856" w:type="dxa"/>
          </w:tcPr>
          <w:p w14:paraId="3FD163AA" w14:textId="77777777" w:rsidR="00E7072F" w:rsidRPr="008D1922" w:rsidRDefault="00E7072F" w:rsidP="00CB0B1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5B9BB84" w14:textId="769FAE1C" w:rsidR="00E7072F" w:rsidRPr="008D1922" w:rsidRDefault="00D6687D" w:rsidP="00CB0B12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8D1922">
              <w:rPr>
                <w:rFonts w:ascii="Arial" w:hAnsi="Arial" w:cs="Arial"/>
                <w:b/>
                <w:sz w:val="20"/>
                <w:szCs w:val="20"/>
                <w:lang w:val="en-GB"/>
              </w:rPr>
              <w:t>Supplementary</w:t>
            </w:r>
            <w:r w:rsidRPr="008D19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="00E7072F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Figure 1</w:t>
            </w:r>
            <w:r w:rsidR="00F96C21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  <w:r w:rsidR="00E7072F"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="00E7072F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Volcano plots before and after BCG vaccination, showing </w:t>
            </w:r>
            <w:r w:rsidR="00442A35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>log odds</w:t>
            </w:r>
            <w:r w:rsidR="00E7072F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ratios and corresponding age- and sex-adjusted and FDR-corrected p values [−log10(FDR)] for the association between frequency of immune phenotypes (as a percentage of total acquired CD45</w:t>
            </w:r>
            <w:r w:rsidR="00E7072F" w:rsidRPr="008D1922">
              <w:rPr>
                <w:rFonts w:ascii="Arial" w:eastAsiaTheme="minorHAnsi" w:hAnsi="Arial" w:cs="Arial"/>
                <w:sz w:val="20"/>
                <w:szCs w:val="20"/>
                <w:vertAlign w:val="superscript"/>
                <w:lang w:val="en-GB" w:eastAsia="en-US"/>
                <w14:ligatures w14:val="standardContextual"/>
              </w:rPr>
              <w:t>+</w:t>
            </w:r>
            <w:r w:rsidR="00E7072F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PBMCs per participant), </w:t>
            </w:r>
            <w:proofErr w:type="spellStart"/>
            <w:r w:rsidR="00E7072F" w:rsidRPr="008D1922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Sm</w:t>
            </w:r>
            <w:proofErr w:type="spellEnd"/>
            <w:r w:rsidR="00E7072F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infection status</w:t>
            </w:r>
            <w:r w:rsidR="00E7072F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and geographical setting. </w:t>
            </w:r>
            <w:r w:rsidR="00E7072F" w:rsidRPr="008D192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  <w14:ligatures w14:val="standardContextual"/>
              </w:rPr>
              <w:t>(a)</w:t>
            </w:r>
            <w:r w:rsidR="00557324" w:rsidRPr="008D192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  <w14:ligatures w14:val="standardContextual"/>
              </w:rPr>
              <w:t>, (c) and (e)</w:t>
            </w:r>
            <w:r w:rsidR="00E7072F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show results from the unstimulated panel and </w:t>
            </w:r>
            <w:r w:rsidR="00E7072F" w:rsidRPr="008D192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  <w14:ligatures w14:val="standardContextual"/>
              </w:rPr>
              <w:t>(b)</w:t>
            </w:r>
            <w:r w:rsidR="00557324" w:rsidRPr="008D1922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 w:eastAsia="en-US"/>
                <w14:ligatures w14:val="standardContextual"/>
              </w:rPr>
              <w:t>, (d) and (f)</w:t>
            </w:r>
            <w:r w:rsidR="00E7072F" w:rsidRPr="008D1922">
              <w:rPr>
                <w:rFonts w:ascii="Arial" w:eastAsiaTheme="minorHAnsi" w:hAnsi="Arial" w:cs="Arial"/>
                <w:sz w:val="20"/>
                <w:szCs w:val="20"/>
                <w:lang w:val="en-GB" w:eastAsia="en-US"/>
                <w14:ligatures w14:val="standardContextual"/>
              </w:rPr>
              <w:t xml:space="preserve"> show results from the PMA/ionomycin-stimulated panel. Estimates were derived from a generalised binomial linear mixed model. Each point represents an immune cluster, and clusters with FDR-p&lt;0.05 are coloured by immune lineage and labelled with the cluster ID.</w:t>
            </w:r>
          </w:p>
        </w:tc>
      </w:tr>
    </w:tbl>
    <w:p w14:paraId="1521C68A" w14:textId="77777777" w:rsidR="00230B2E" w:rsidRPr="008D1922" w:rsidRDefault="00230B2E">
      <w:pPr>
        <w:rPr>
          <w:lang w:val="en-GB"/>
        </w:rPr>
        <w:sectPr w:rsidR="00230B2E" w:rsidRPr="008D1922" w:rsidSect="00387233">
          <w:pgSz w:w="16838" w:h="11906" w:orient="landscape"/>
          <w:pgMar w:top="488" w:right="1440" w:bottom="964" w:left="516" w:header="708" w:footer="708" w:gutter="0"/>
          <w:cols w:space="708"/>
          <w:docGrid w:linePitch="360"/>
        </w:sectPr>
      </w:pPr>
    </w:p>
    <w:tbl>
      <w:tblPr>
        <w:tblStyle w:val="TableGrid"/>
        <w:tblW w:w="15318" w:type="dxa"/>
        <w:tblInd w:w="137" w:type="dxa"/>
        <w:tblLook w:val="04A0" w:firstRow="1" w:lastRow="0" w:firstColumn="1" w:lastColumn="0" w:noHBand="0" w:noVBand="1"/>
      </w:tblPr>
      <w:tblGrid>
        <w:gridCol w:w="15318"/>
      </w:tblGrid>
      <w:tr w:rsidR="00D94993" w:rsidRPr="008D1922" w14:paraId="7234DADA" w14:textId="77777777" w:rsidTr="00296837">
        <w:tc>
          <w:tcPr>
            <w:tcW w:w="15318" w:type="dxa"/>
          </w:tcPr>
          <w:p w14:paraId="5877423C" w14:textId="77777777" w:rsidR="00D94993" w:rsidRPr="008D1922" w:rsidRDefault="00D94993" w:rsidP="00904609">
            <w:pPr>
              <w:rPr>
                <w:noProof/>
                <w:lang w:val="en-GB"/>
                <w14:ligatures w14:val="standardContextual"/>
              </w:rPr>
            </w:pPr>
            <w:r w:rsidRPr="008D1922">
              <w:rPr>
                <w:noProof/>
                <w:lang w:val="en-GB"/>
                <w14:ligatures w14:val="standardContextual"/>
              </w:rPr>
              <w:lastRenderedPageBreak/>
              <w:drawing>
                <wp:inline distT="0" distB="0" distL="0" distR="0" wp14:anchorId="1485994D" wp14:editId="6456E8C6">
                  <wp:extent cx="9589770" cy="5296320"/>
                  <wp:effectExtent l="0" t="0" r="0" b="0"/>
                  <wp:docPr id="1579868178" name="Picture 7" descr="A diagram of several different colo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458314" name="Picture 7" descr="A diagram of several different colors&#10;&#10;AI-generated content may be incorrect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7585" cy="5317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993" w:rsidRPr="008D1922" w14:paraId="773056FA" w14:textId="77777777" w:rsidTr="00296837">
        <w:tc>
          <w:tcPr>
            <w:tcW w:w="15318" w:type="dxa"/>
          </w:tcPr>
          <w:p w14:paraId="70BCC771" w14:textId="4160C7AC" w:rsidR="00D94993" w:rsidRPr="008D1922" w:rsidRDefault="00D94993" w:rsidP="00904609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b/>
                <w:sz w:val="20"/>
                <w:szCs w:val="20"/>
                <w:lang w:val="en-GB"/>
              </w:rPr>
              <w:t>Supplementary</w:t>
            </w:r>
            <w:r w:rsidRPr="008D19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Figure 1</w:t>
            </w:r>
            <w:r w:rsidR="000F5F5D" w:rsidRPr="008D19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3</w:t>
            </w:r>
            <w:r w:rsidRPr="008D19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. POPVAC trial schedules.</w:t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</w:p>
          <w:p w14:paraId="153C299F" w14:textId="223AA5FE" w:rsidR="00D94993" w:rsidRPr="008D1922" w:rsidRDefault="00D94993" w:rsidP="00904609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Adapted from Natukunda,</w:t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PEVuZE5vdGU+PENpdGU+PEF1dGhvcj5OYXR1a3VuZGE8L0F1dGhvcj48WWVhcj4yMDI0PC9ZZWFy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</w:fldData>
              </w:fldChar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instrText xml:space="preserve"> ADDIN EN.CITE </w:instrText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PEVuZE5vdGU+PENpdGU+PEF1dGhvcj5OYXR1a3VuZGE8L0F1dGhvcj48WWVhcj4yMDI0PC9ZZWFy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</w:fldData>
              </w:fldChar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instrText xml:space="preserve"> ADDIN EN.CITE.DATA </w:instrText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end"/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separate"/>
            </w:r>
            <w:r w:rsidR="0029241C" w:rsidRPr="008D1922">
              <w:rPr>
                <w:rFonts w:ascii="Arial" w:hAnsi="Arial" w:cs="Arial"/>
                <w:noProof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end"/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Nkurunungi,</w:t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PEVuZE5vdGU+PENpdGU+PEF1dGhvcj5Oa3VydW51bmdpPC9BdXRob3I+PFllYXI+MjAyNDwvWWVh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</w:fldData>
              </w:fldChar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instrText xml:space="preserve"> ADDIN EN.CITE </w:instrText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PEVuZE5vdGU+PENpdGU+PEF1dGhvcj5Oa3VydW51bmdpPC9BdXRob3I+PFllYXI+MjAyNDwvWWVh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</w:fldData>
              </w:fldChar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instrText xml:space="preserve"> ADDIN EN.CITE.DATA </w:instrText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end"/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separate"/>
            </w:r>
            <w:r w:rsidR="0029241C" w:rsidRPr="008D1922">
              <w:rPr>
                <w:rFonts w:ascii="Arial" w:hAnsi="Arial" w:cs="Arial"/>
                <w:noProof/>
                <w:color w:val="000000"/>
                <w:sz w:val="20"/>
                <w:szCs w:val="20"/>
                <w:vertAlign w:val="superscript"/>
                <w:lang w:val="en-GB"/>
              </w:rPr>
              <w:t>3</w:t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end"/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Zirimenya,</w:t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PEVuZE5vdGU+PENpdGU+PEF1dGhvcj5aaXJpbWVueWE8L0F1dGhvcj48WWVhcj4yMDI0PC9ZZWFy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</w:fldData>
              </w:fldChar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instrText xml:space="preserve"> ADDIN EN.CITE </w:instrText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PEVuZE5vdGU+PENpdGU+PEF1dGhvcj5aaXJpbWVueWE8L0F1dGhvcj48WWVhcj4yMDI0PC9ZZWFy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</w:fldData>
              </w:fldChar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instrText xml:space="preserve"> ADDIN EN.CITE.DATA </w:instrText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end"/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separate"/>
            </w:r>
            <w:r w:rsidR="0029241C" w:rsidRPr="008D1922">
              <w:rPr>
                <w:rFonts w:ascii="Arial" w:hAnsi="Arial" w:cs="Arial"/>
                <w:noProof/>
                <w:color w:val="000000"/>
                <w:sz w:val="20"/>
                <w:szCs w:val="20"/>
                <w:vertAlign w:val="superscript"/>
                <w:lang w:val="en-GB"/>
              </w:rPr>
              <w:t>4</w:t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end"/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and Nassuuna </w:t>
            </w:r>
            <w:r w:rsidRPr="008D1922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GB"/>
              </w:rPr>
              <w:t>et al</w:t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.</w:t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PEVuZE5vdGU+PENpdGU+PEF1dGhvcj5OYXNzdXVuYTwvQXV0aG9yPjxZZWFyPjIwMjQ8L1llYXI+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==
</w:fldData>
              </w:fldChar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instrText xml:space="preserve"> ADDIN EN.CITE </w:instrText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begin">
                <w:fldData xml:space="preserve">PEVuZE5vdGU+PENpdGU+PEF1dGhvcj5OYXNzdXVuYTwvQXV0aG9yPjxZZWFyPjIwMjQ8L1llYXI+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==
</w:fldData>
              </w:fldChar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instrText xml:space="preserve"> ADDIN EN.CITE.DATA </w:instrText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r>
            <w:r w:rsidR="0029241C"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end"/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separate"/>
            </w:r>
            <w:r w:rsidR="0029241C" w:rsidRPr="008D1922">
              <w:rPr>
                <w:rFonts w:ascii="Arial" w:hAnsi="Arial" w:cs="Arial"/>
                <w:noProof/>
                <w:color w:val="000000"/>
                <w:sz w:val="20"/>
                <w:szCs w:val="20"/>
                <w:vertAlign w:val="superscript"/>
                <w:lang w:val="en-GB"/>
              </w:rPr>
              <w:t>5</w:t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fldChar w:fldCharType="end"/>
            </w:r>
          </w:p>
          <w:p w14:paraId="40157E12" w14:textId="77777777" w:rsidR="00D94993" w:rsidRPr="008D1922" w:rsidRDefault="00D94993" w:rsidP="00904609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Cytometry by time-of-flight (</w:t>
            </w:r>
            <w:proofErr w:type="spellStart"/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CyTOF</w:t>
            </w:r>
            <w:proofErr w:type="spellEnd"/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) experiments were conducted at week 0 and week 4.</w:t>
            </w:r>
          </w:p>
          <w:p w14:paraId="1392530E" w14:textId="77777777" w:rsidR="00D94993" w:rsidRPr="008D1922" w:rsidRDefault="00D94993" w:rsidP="00904609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*Primary timepoint following BCG, YF-17D, Ty21a, and HPV vaccination; additionally, an HPV dose given to previously unvaccinated girls aged 14 years or older. </w:t>
            </w:r>
          </w:p>
          <w:p w14:paraId="6F8903BE" w14:textId="77777777" w:rsidR="00D94993" w:rsidRPr="008D1922" w:rsidRDefault="00D94993" w:rsidP="009046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lastRenderedPageBreak/>
              <w:t xml:space="preserve">†Secondary timepoint following BCG, YF-17D, Ty21a, and HPV vaccination. Primary timepoint following Td vaccination. </w:t>
            </w:r>
            <w:proofErr w:type="spellStart"/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>Td</w:t>
            </w:r>
            <w:proofErr w:type="spellEnd"/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 boost was given to comply with the Uganda National Expanded Program on Immunization guidelines.</w:t>
            </w:r>
          </w:p>
          <w:p w14:paraId="7661910C" w14:textId="77777777" w:rsidR="00D94993" w:rsidRPr="008D1922" w:rsidRDefault="00D94993" w:rsidP="00904609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‡Intensive arm received three doses of praziquantel (40 mg/kg), each dose 2 weeks apart before week 0, followed by praziquantel at week 8 and then quarterly praziquantel until week 52. </w:t>
            </w:r>
          </w:p>
          <w:p w14:paraId="18067153" w14:textId="77777777" w:rsidR="00D94993" w:rsidRPr="008D1922" w:rsidRDefault="00D94993" w:rsidP="00904609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§Standard arm received one dose of praziquantel at week 8, and a second dose at the last trial timepoint at week 52. </w:t>
            </w:r>
          </w:p>
          <w:p w14:paraId="4A362949" w14:textId="77777777" w:rsidR="00D94993" w:rsidRPr="008D1922" w:rsidRDefault="00D94993" w:rsidP="00904609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¶Participants received 3-day courses of either monthly </w:t>
            </w:r>
            <w:proofErr w:type="spellStart"/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dihydroartemisinin</w:t>
            </w:r>
            <w:proofErr w:type="spellEnd"/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–piperaquine or placebo twice prior to week 0 and monthly during the entire follow-up period. </w:t>
            </w:r>
          </w:p>
          <w:p w14:paraId="1ADAAED6" w14:textId="77777777" w:rsidR="00D94993" w:rsidRPr="008D1922" w:rsidRDefault="00D94993" w:rsidP="00904609">
            <w:pPr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||Participants were randomly assigned to either receive BCG or no BCG 4 weeks before the first of the other vaccinations. </w:t>
            </w:r>
          </w:p>
          <w:p w14:paraId="52720F00" w14:textId="77777777" w:rsidR="00D94993" w:rsidRPr="008D1922" w:rsidRDefault="00D94993" w:rsidP="009046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19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>HPV</w:t>
            </w: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=human papillomavirus. </w:t>
            </w:r>
            <w:r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YF-17D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=yellow fever vaccine. </w:t>
            </w:r>
            <w:r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Ty21a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=live oral typhoid vaccine. </w:t>
            </w:r>
            <w:r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Td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=tetanus–diphtheria vaccine. </w:t>
            </w:r>
            <w:r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D–P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>=</w:t>
            </w:r>
            <w:proofErr w:type="spellStart"/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>dihydroartemisinin</w:t>
            </w:r>
            <w:proofErr w:type="spellEnd"/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–piperaquine. </w:t>
            </w:r>
            <w:r w:rsidRPr="008D19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BCG</w:t>
            </w:r>
            <w:r w:rsidRPr="008D1922">
              <w:rPr>
                <w:rFonts w:ascii="Arial" w:hAnsi="Arial" w:cs="Arial"/>
                <w:sz w:val="20"/>
                <w:szCs w:val="20"/>
                <w:lang w:val="en-GB"/>
              </w:rPr>
              <w:t>=Bacille Calmette-Guérin</w:t>
            </w:r>
          </w:p>
          <w:p w14:paraId="7CB642DF" w14:textId="77777777" w:rsidR="00D94993" w:rsidRPr="008D1922" w:rsidRDefault="00D94993" w:rsidP="00904609">
            <w:pPr>
              <w:rPr>
                <w:rFonts w:ascii="Arial" w:hAnsi="Arial" w:cs="Arial"/>
                <w:noProof/>
                <w:sz w:val="20"/>
                <w:szCs w:val="20"/>
                <w:lang w:val="en-GB"/>
                <w14:ligatures w14:val="standardContextual"/>
              </w:rPr>
            </w:pPr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Created in </w:t>
            </w:r>
            <w:proofErr w:type="spellStart"/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BioRender</w:t>
            </w:r>
            <w:proofErr w:type="spellEnd"/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; </w:t>
            </w:r>
            <w:hyperlink r:id="rId23" w:history="1">
              <w:r w:rsidRPr="008D1922">
                <w:rPr>
                  <w:rStyle w:val="Hyperlink"/>
                  <w:rFonts w:ascii="Arial" w:hAnsi="Arial" w:cs="Arial"/>
                  <w:sz w:val="20"/>
                  <w:szCs w:val="20"/>
                  <w:lang w:val="en-GB"/>
                </w:rPr>
                <w:t>https://BioRender.com/iwld9fj</w:t>
              </w:r>
            </w:hyperlink>
            <w:r w:rsidRPr="008D1922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7FE087A4" w14:textId="77777777" w:rsidR="00230B2E" w:rsidRPr="008D1922" w:rsidRDefault="00230B2E">
      <w:pPr>
        <w:rPr>
          <w:lang w:val="en-GB"/>
        </w:rPr>
        <w:sectPr w:rsidR="00230B2E" w:rsidRPr="008D1922" w:rsidSect="00D94993">
          <w:pgSz w:w="16838" w:h="11906" w:orient="landscape"/>
          <w:pgMar w:top="922" w:right="723" w:bottom="1440" w:left="362" w:header="708" w:footer="708" w:gutter="0"/>
          <w:cols w:space="708"/>
          <w:docGrid w:linePitch="360"/>
        </w:sectPr>
      </w:pPr>
    </w:p>
    <w:tbl>
      <w:tblPr>
        <w:tblStyle w:val="TableGrid"/>
        <w:tblW w:w="15451" w:type="dxa"/>
        <w:tblInd w:w="-572" w:type="dxa"/>
        <w:tblLook w:val="04A0" w:firstRow="1" w:lastRow="0" w:firstColumn="1" w:lastColumn="0" w:noHBand="0" w:noVBand="1"/>
      </w:tblPr>
      <w:tblGrid>
        <w:gridCol w:w="15451"/>
      </w:tblGrid>
      <w:tr w:rsidR="00E26355" w:rsidRPr="008D1922" w14:paraId="5A4A35FE" w14:textId="77777777" w:rsidTr="00E26355">
        <w:tc>
          <w:tcPr>
            <w:tcW w:w="15451" w:type="dxa"/>
          </w:tcPr>
          <w:p w14:paraId="3C09AD4D" w14:textId="39A543C1" w:rsidR="00E26355" w:rsidRPr="008D1922" w:rsidRDefault="00E26355">
            <w:pP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8D1922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GB"/>
                <w14:ligatures w14:val="standardContextual"/>
              </w:rPr>
              <w:lastRenderedPageBreak/>
              <w:drawing>
                <wp:inline distT="0" distB="0" distL="0" distR="0" wp14:anchorId="142526B2" wp14:editId="504F6812">
                  <wp:extent cx="9575118" cy="4890977"/>
                  <wp:effectExtent l="0" t="0" r="1270" b="0"/>
                  <wp:docPr id="2889669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966924" name="Picture 28896692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1667" cy="4899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355" w:rsidRPr="008D1922" w14:paraId="452C3823" w14:textId="77777777" w:rsidTr="00E26355">
        <w:tc>
          <w:tcPr>
            <w:tcW w:w="15451" w:type="dxa"/>
          </w:tcPr>
          <w:p w14:paraId="29B39A9F" w14:textId="77777777" w:rsidR="00E26355" w:rsidRPr="008D1922" w:rsidRDefault="00E26355">
            <w:pPr>
              <w:rPr>
                <w:rFonts w:ascii="Arial" w:eastAsiaTheme="minorHAnsi" w:hAnsi="Arial" w:cs="Arial"/>
                <w:color w:val="1B1B1B"/>
                <w:sz w:val="20"/>
                <w:szCs w:val="20"/>
                <w:lang w:val="en-GB" w:eastAsia="en-US"/>
                <w14:ligatures w14:val="standardContextual"/>
              </w:rPr>
            </w:pPr>
            <w:r w:rsidRPr="008D1922">
              <w:rPr>
                <w:rFonts w:ascii="Arial" w:hAnsi="Arial" w:cs="Arial"/>
                <w:b/>
                <w:sz w:val="20"/>
                <w:szCs w:val="20"/>
                <w:lang w:val="en-GB"/>
              </w:rPr>
              <w:t>Supplementary</w:t>
            </w:r>
            <w:r w:rsidRPr="008D192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Figure 14.</w:t>
            </w:r>
            <w:r w:rsidRPr="008D1922">
              <w:rPr>
                <w:rFonts w:ascii="Arial" w:eastAsiaTheme="minorHAnsi" w:hAnsi="Arial" w:cs="Arial"/>
                <w:b/>
                <w:bCs/>
                <w:color w:val="1B1B1B"/>
                <w:sz w:val="20"/>
                <w:szCs w:val="20"/>
                <w:lang w:val="en-GB" w:eastAsia="en-US"/>
                <w14:ligatures w14:val="standardContextual"/>
              </w:rPr>
              <w:t xml:space="preserve"> </w:t>
            </w:r>
            <w:proofErr w:type="spellStart"/>
            <w:r w:rsidRPr="008D1922">
              <w:rPr>
                <w:rFonts w:ascii="Arial" w:eastAsiaTheme="minorHAnsi" w:hAnsi="Arial" w:cs="Arial"/>
                <w:b/>
                <w:bCs/>
                <w:color w:val="1B1B1B"/>
                <w:sz w:val="20"/>
                <w:szCs w:val="20"/>
                <w:lang w:val="en-GB" w:eastAsia="en-US"/>
                <w14:ligatures w14:val="standardContextual"/>
              </w:rPr>
              <w:t>CyTOF</w:t>
            </w:r>
            <w:proofErr w:type="spellEnd"/>
            <w:r w:rsidRPr="008D1922">
              <w:rPr>
                <w:rFonts w:ascii="Arial" w:eastAsiaTheme="minorHAnsi" w:hAnsi="Arial" w:cs="Arial"/>
                <w:b/>
                <w:bCs/>
                <w:color w:val="1B1B1B"/>
                <w:sz w:val="20"/>
                <w:szCs w:val="20"/>
                <w:lang w:val="en-GB" w:eastAsia="en-US"/>
                <w14:ligatures w14:val="standardContextual"/>
              </w:rPr>
              <w:t xml:space="preserve"> preprocessing and quality-control gating strategy.</w:t>
            </w:r>
            <w:r w:rsidRPr="008D1922">
              <w:rPr>
                <w:rFonts w:ascii="Arial" w:eastAsiaTheme="minorHAnsi" w:hAnsi="Arial" w:cs="Arial"/>
                <w:color w:val="1B1B1B"/>
                <w:sz w:val="20"/>
                <w:szCs w:val="20"/>
                <w:lang w:val="en-GB" w:eastAsia="en-US"/>
                <w14:ligatures w14:val="standardContextual"/>
              </w:rPr>
              <w:t xml:space="preserve"> </w:t>
            </w:r>
          </w:p>
          <w:p w14:paraId="6C063500" w14:textId="77E99A26" w:rsidR="00E26355" w:rsidRPr="008D1922" w:rsidRDefault="00E263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1922">
              <w:rPr>
                <w:rFonts w:ascii="Arial" w:eastAsiaTheme="minorHAnsi" w:hAnsi="Arial" w:cs="Arial"/>
                <w:color w:val="1B1B1B"/>
                <w:sz w:val="20"/>
                <w:szCs w:val="20"/>
                <w:lang w:val="en-GB" w:eastAsia="en-US"/>
                <w14:ligatures w14:val="standardContextual"/>
              </w:rPr>
              <w:t xml:space="preserve">Representative gating workflow used for preprocessing </w:t>
            </w:r>
            <w:proofErr w:type="spellStart"/>
            <w:r w:rsidRPr="008D1922">
              <w:rPr>
                <w:rFonts w:ascii="Arial" w:eastAsiaTheme="minorHAnsi" w:hAnsi="Arial" w:cs="Arial"/>
                <w:color w:val="1B1B1B"/>
                <w:sz w:val="20"/>
                <w:szCs w:val="20"/>
                <w:lang w:val="en-GB" w:eastAsia="en-US"/>
                <w14:ligatures w14:val="standardContextual"/>
              </w:rPr>
              <w:t>CyTOF</w:t>
            </w:r>
            <w:proofErr w:type="spellEnd"/>
            <w:r w:rsidRPr="008D1922">
              <w:rPr>
                <w:rFonts w:ascii="Arial" w:eastAsiaTheme="minorHAnsi" w:hAnsi="Arial" w:cs="Arial"/>
                <w:color w:val="1B1B1B"/>
                <w:sz w:val="20"/>
                <w:szCs w:val="20"/>
                <w:lang w:val="en-GB" w:eastAsia="en-US"/>
                <w14:ligatures w14:val="standardContextual"/>
              </w:rPr>
              <w:t xml:space="preserve"> data prior to </w:t>
            </w:r>
            <w:proofErr w:type="spellStart"/>
            <w:r w:rsidRPr="008D1922">
              <w:rPr>
                <w:rFonts w:ascii="Arial" w:eastAsiaTheme="minorHAnsi" w:hAnsi="Arial" w:cs="Arial"/>
                <w:color w:val="1B1B1B"/>
                <w:sz w:val="20"/>
                <w:szCs w:val="20"/>
                <w:lang w:val="en-GB" w:eastAsia="en-US"/>
                <w14:ligatures w14:val="standardContextual"/>
              </w:rPr>
              <w:t>debarcoding</w:t>
            </w:r>
            <w:proofErr w:type="spellEnd"/>
            <w:r w:rsidRPr="008D1922">
              <w:rPr>
                <w:rFonts w:ascii="Arial" w:eastAsiaTheme="minorHAnsi" w:hAnsi="Arial" w:cs="Arial"/>
                <w:color w:val="1B1B1B"/>
                <w:sz w:val="20"/>
                <w:szCs w:val="20"/>
                <w:lang w:val="en-GB" w:eastAsia="en-US"/>
                <w14:ligatures w14:val="standardContextual"/>
              </w:rPr>
              <w:t xml:space="preserve">, compensation and downstream analyses. </w:t>
            </w:r>
            <w:r w:rsidR="00563030" w:rsidRPr="008D1922">
              <w:rPr>
                <w:rFonts w:ascii="Arial" w:eastAsiaTheme="minorHAnsi" w:hAnsi="Arial" w:cs="Arial"/>
                <w:color w:val="1B1B1B"/>
                <w:sz w:val="20"/>
                <w:szCs w:val="20"/>
                <w:lang w:val="en-GB" w:eastAsia="en-US"/>
                <w14:ligatures w14:val="standardContextual"/>
              </w:rPr>
              <w:t xml:space="preserve">Gating was done using </w:t>
            </w:r>
            <w:proofErr w:type="spellStart"/>
            <w:r w:rsidR="00563030" w:rsidRPr="008D1922">
              <w:rPr>
                <w:rFonts w:ascii="Arial" w:hAnsi="Arial" w:cs="Arial"/>
                <w:sz w:val="20"/>
                <w:szCs w:val="20"/>
                <w:lang w:val="en-GB"/>
              </w:rPr>
              <w:t>FlowJo</w:t>
            </w:r>
            <w:proofErr w:type="spellEnd"/>
            <w:r w:rsidR="00563030" w:rsidRPr="008D1922">
              <w:rPr>
                <w:rFonts w:ascii="Arial" w:hAnsi="Arial" w:cs="Arial"/>
                <w:sz w:val="20"/>
                <w:szCs w:val="20"/>
                <w:lang w:val="en-GB"/>
              </w:rPr>
              <w:t>™ software (v10)</w:t>
            </w:r>
            <w:r w:rsidR="00563030" w:rsidRPr="008D1922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Pr="008D1922">
              <w:rPr>
                <w:rFonts w:ascii="Arial" w:eastAsiaTheme="minorHAnsi" w:hAnsi="Arial" w:cs="Arial"/>
                <w:color w:val="1B1B1B"/>
                <w:sz w:val="20"/>
                <w:szCs w:val="20"/>
                <w:lang w:val="en-GB" w:eastAsia="en-US"/>
                <w14:ligatures w14:val="standardContextual"/>
              </w:rPr>
              <w:t>EQ calibration beads were excluded using the 140Ce channel. Events were subsequently filtered using Gaussian-derived parameters (residual, offset, centre and width) to remove acquisition artefacts and retain high-quality events. Live cells were identified by exclusion of 195Pt-positive dead cells, singlets were selected using the 191Ir DNA intercalator channel, and CD4</w:t>
            </w:r>
            <w:r w:rsidRPr="008D1922">
              <w:rPr>
                <w:rFonts w:ascii="Arial" w:eastAsiaTheme="minorHAnsi" w:hAnsi="Arial" w:cs="Arial"/>
                <w:color w:val="1B1B1B"/>
                <w:sz w:val="20"/>
                <w:szCs w:val="20"/>
                <w:lang w:val="en-GB" w:eastAsia="en-US"/>
                <w14:ligatures w14:val="standardContextual"/>
              </w:rPr>
              <w:t>5</w:t>
            </w:r>
            <w:r w:rsidRPr="008D1922">
              <w:rPr>
                <w:rFonts w:ascii="Arial" w:eastAsiaTheme="minorHAnsi" w:hAnsi="Arial" w:cs="Arial"/>
                <w:color w:val="1B1B1B"/>
                <w:sz w:val="20"/>
                <w:szCs w:val="20"/>
                <w:vertAlign w:val="superscript"/>
                <w:lang w:val="en-GB" w:eastAsia="en-US"/>
                <w14:ligatures w14:val="standardContextual"/>
              </w:rPr>
              <w:t>+</w:t>
            </w:r>
            <w:r w:rsidRPr="008D1922">
              <w:rPr>
                <w:rFonts w:ascii="Arial" w:eastAsiaTheme="minorHAnsi" w:hAnsi="Arial" w:cs="Arial"/>
                <w:color w:val="1B1B1B"/>
                <w:sz w:val="20"/>
                <w:szCs w:val="20"/>
                <w:lang w:val="en-GB" w:eastAsia="en-US"/>
                <w14:ligatures w14:val="standardContextual"/>
              </w:rPr>
              <w:t xml:space="preserve"> </w:t>
            </w:r>
            <w:r w:rsidRPr="008D1922">
              <w:rPr>
                <w:rFonts w:ascii="Arial" w:eastAsiaTheme="minorHAnsi" w:hAnsi="Arial" w:cs="Arial"/>
                <w:color w:val="1B1B1B"/>
                <w:sz w:val="20"/>
                <w:szCs w:val="20"/>
                <w:lang w:val="en-GB" w:eastAsia="en-US"/>
                <w14:ligatures w14:val="standardContextual"/>
              </w:rPr>
              <w:t>cells</w:t>
            </w:r>
            <w:r w:rsidRPr="008D1922">
              <w:rPr>
                <w:rFonts w:ascii="Arial" w:eastAsiaTheme="minorHAnsi" w:hAnsi="Arial" w:cs="Arial"/>
                <w:color w:val="1B1B1B"/>
                <w:sz w:val="20"/>
                <w:szCs w:val="20"/>
                <w:lang w:val="en-GB" w:eastAsia="en-US"/>
                <w14:ligatures w14:val="standardContextual"/>
              </w:rPr>
              <w:t xml:space="preserve"> were gated for further analysis. Percentages indicate the proportion of events retained at each gating step in the representative sample shown. </w:t>
            </w:r>
          </w:p>
        </w:tc>
      </w:tr>
    </w:tbl>
    <w:p w14:paraId="4652CF79" w14:textId="77777777" w:rsidR="00E26355" w:rsidRPr="008D1922" w:rsidRDefault="00E26355">
      <w:pPr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985068D" w14:textId="77777777" w:rsidR="00E26355" w:rsidRPr="008D1922" w:rsidRDefault="00E26355">
      <w:pPr>
        <w:rPr>
          <w:rFonts w:ascii="Arial" w:hAnsi="Arial" w:cs="Arial"/>
          <w:b/>
          <w:bCs/>
          <w:sz w:val="22"/>
          <w:szCs w:val="22"/>
          <w:lang w:val="en-GB"/>
        </w:rPr>
        <w:sectPr w:rsidR="00E26355" w:rsidRPr="008D1922" w:rsidSect="00E26355">
          <w:pgSz w:w="16838" w:h="11906" w:orient="landscape"/>
          <w:pgMar w:top="922" w:right="723" w:bottom="1440" w:left="1440" w:header="708" w:footer="708" w:gutter="0"/>
          <w:cols w:space="708"/>
          <w:docGrid w:linePitch="360"/>
        </w:sectPr>
      </w:pPr>
    </w:p>
    <w:p w14:paraId="7A831A1E" w14:textId="3FDF2AF4" w:rsidR="00540A99" w:rsidRPr="008D1922" w:rsidRDefault="00135C67">
      <w:pPr>
        <w:rPr>
          <w:rFonts w:ascii="Arial" w:hAnsi="Arial" w:cs="Arial"/>
          <w:b/>
          <w:bCs/>
          <w:sz w:val="22"/>
          <w:szCs w:val="22"/>
          <w:lang w:val="en-GB"/>
        </w:rPr>
      </w:pPr>
      <w:r w:rsidRPr="008D1922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>References</w:t>
      </w:r>
    </w:p>
    <w:p w14:paraId="6B7E1792" w14:textId="77777777" w:rsidR="00540A99" w:rsidRPr="008D1922" w:rsidRDefault="00540A99">
      <w:pPr>
        <w:rPr>
          <w:lang w:val="en-GB"/>
        </w:rPr>
      </w:pPr>
    </w:p>
    <w:p w14:paraId="2F69A751" w14:textId="2312C72F" w:rsidR="0029241C" w:rsidRPr="008D1922" w:rsidRDefault="00540A99" w:rsidP="0029241C">
      <w:pPr>
        <w:pStyle w:val="EndNoteBibliography"/>
        <w:ind w:left="720" w:hanging="720"/>
        <w:rPr>
          <w:noProof/>
        </w:rPr>
      </w:pPr>
      <w:r w:rsidRPr="008D1922">
        <w:fldChar w:fldCharType="begin"/>
      </w:r>
      <w:r w:rsidRPr="008D1922">
        <w:instrText xml:space="preserve"> ADDIN EN.REFLIST </w:instrText>
      </w:r>
      <w:r w:rsidRPr="008D1922">
        <w:fldChar w:fldCharType="separate"/>
      </w:r>
      <w:r w:rsidR="0029241C" w:rsidRPr="008D1922">
        <w:rPr>
          <w:noProof/>
        </w:rPr>
        <w:t>1</w:t>
      </w:r>
      <w:r w:rsidR="0029241C" w:rsidRPr="008D1922">
        <w:rPr>
          <w:noProof/>
        </w:rPr>
        <w:tab/>
        <w:t>Nassuuna, J.</w:t>
      </w:r>
      <w:r w:rsidR="0029241C" w:rsidRPr="008D1922">
        <w:rPr>
          <w:i/>
          <w:noProof/>
        </w:rPr>
        <w:t xml:space="preserve"> et al.</w:t>
      </w:r>
      <w:r w:rsidR="0029241C" w:rsidRPr="008D1922">
        <w:rPr>
          <w:noProof/>
        </w:rPr>
        <w:t xml:space="preserve"> Helminth driven gut inflammation and microbial translocation associate with altered vaccine responses in rural Uganda. </w:t>
      </w:r>
      <w:r w:rsidR="0029241C" w:rsidRPr="008D1922">
        <w:rPr>
          <w:i/>
          <w:noProof/>
        </w:rPr>
        <w:t>npj Vaccines</w:t>
      </w:r>
      <w:r w:rsidR="0029241C" w:rsidRPr="008D1922">
        <w:rPr>
          <w:noProof/>
        </w:rPr>
        <w:t xml:space="preserve"> </w:t>
      </w:r>
      <w:r w:rsidR="0029241C" w:rsidRPr="008D1922">
        <w:rPr>
          <w:b/>
          <w:noProof/>
        </w:rPr>
        <w:t>10</w:t>
      </w:r>
      <w:r w:rsidR="0029241C" w:rsidRPr="008D1922">
        <w:rPr>
          <w:noProof/>
        </w:rPr>
        <w:t xml:space="preserve">, 56 (2025). </w:t>
      </w:r>
      <w:hyperlink r:id="rId25" w:history="1">
        <w:r w:rsidR="0029241C" w:rsidRPr="008D1922">
          <w:rPr>
            <w:rStyle w:val="Hyperlink"/>
            <w:noProof/>
          </w:rPr>
          <w:t>https://doi.org/10.1038/s41541-025-01116-x</w:t>
        </w:r>
      </w:hyperlink>
    </w:p>
    <w:p w14:paraId="54C227A5" w14:textId="5F0B301D" w:rsidR="0029241C" w:rsidRPr="008D1922" w:rsidRDefault="0029241C" w:rsidP="0029241C">
      <w:pPr>
        <w:pStyle w:val="EndNoteBibliography"/>
        <w:ind w:left="720" w:hanging="720"/>
        <w:rPr>
          <w:noProof/>
        </w:rPr>
      </w:pPr>
      <w:r w:rsidRPr="008D1922">
        <w:rPr>
          <w:noProof/>
        </w:rPr>
        <w:t>2</w:t>
      </w:r>
      <w:r w:rsidRPr="008D1922">
        <w:rPr>
          <w:noProof/>
        </w:rPr>
        <w:tab/>
        <w:t>Natukunda, A.</w:t>
      </w:r>
      <w:r w:rsidRPr="008D1922">
        <w:rPr>
          <w:i/>
          <w:noProof/>
        </w:rPr>
        <w:t xml:space="preserve"> et al.</w:t>
      </w:r>
      <w:r w:rsidRPr="008D1922">
        <w:rPr>
          <w:noProof/>
        </w:rPr>
        <w:t xml:space="preserve"> Schistosome and malaria exposure and urban-rural differences in vaccine responses in Uganda: a causal mediation analysis using data from three linked randomised controlled trials. </w:t>
      </w:r>
      <w:r w:rsidRPr="008D1922">
        <w:rPr>
          <w:i/>
          <w:noProof/>
        </w:rPr>
        <w:t>The Lancet Global Health</w:t>
      </w:r>
      <w:r w:rsidRPr="008D1922">
        <w:rPr>
          <w:noProof/>
        </w:rPr>
        <w:t xml:space="preserve"> </w:t>
      </w:r>
      <w:r w:rsidRPr="008D1922">
        <w:rPr>
          <w:b/>
          <w:noProof/>
        </w:rPr>
        <w:t>12</w:t>
      </w:r>
      <w:r w:rsidRPr="008D1922">
        <w:rPr>
          <w:noProof/>
        </w:rPr>
        <w:t xml:space="preserve">, e1860-e1870 (2024). </w:t>
      </w:r>
      <w:hyperlink r:id="rId26" w:history="1">
        <w:r w:rsidRPr="008D1922">
          <w:rPr>
            <w:rStyle w:val="Hyperlink"/>
            <w:noProof/>
          </w:rPr>
          <w:t>https://doi.org/10.1016/S2214-109X(24)00340-1</w:t>
        </w:r>
      </w:hyperlink>
    </w:p>
    <w:p w14:paraId="173B3C5B" w14:textId="3ECA86CC" w:rsidR="0029241C" w:rsidRPr="008D1922" w:rsidRDefault="0029241C" w:rsidP="0029241C">
      <w:pPr>
        <w:pStyle w:val="EndNoteBibliography"/>
        <w:ind w:left="720" w:hanging="720"/>
        <w:rPr>
          <w:noProof/>
        </w:rPr>
      </w:pPr>
      <w:r w:rsidRPr="008D1922">
        <w:rPr>
          <w:noProof/>
        </w:rPr>
        <w:t>3</w:t>
      </w:r>
      <w:r w:rsidRPr="008D1922">
        <w:rPr>
          <w:noProof/>
        </w:rPr>
        <w:tab/>
        <w:t>Nkurunungi, G.</w:t>
      </w:r>
      <w:r w:rsidRPr="008D1922">
        <w:rPr>
          <w:i/>
          <w:noProof/>
        </w:rPr>
        <w:t xml:space="preserve"> et al.</w:t>
      </w:r>
      <w:r w:rsidRPr="008D1922">
        <w:rPr>
          <w:noProof/>
        </w:rPr>
        <w:t xml:space="preserve"> The effect of intensive praziquantel administration on vaccine-specific responses among schoolchildren in Ugandan schistosomiasis-endemic islands (POPVAC A): an open-label, randomised controlled trial. </w:t>
      </w:r>
      <w:r w:rsidRPr="008D1922">
        <w:rPr>
          <w:i/>
          <w:noProof/>
        </w:rPr>
        <w:t>The Lancet Global Health</w:t>
      </w:r>
      <w:r w:rsidRPr="008D1922">
        <w:rPr>
          <w:noProof/>
        </w:rPr>
        <w:t xml:space="preserve"> </w:t>
      </w:r>
      <w:r w:rsidRPr="008D1922">
        <w:rPr>
          <w:b/>
          <w:noProof/>
        </w:rPr>
        <w:t>12</w:t>
      </w:r>
      <w:r w:rsidRPr="008D1922">
        <w:rPr>
          <w:noProof/>
        </w:rPr>
        <w:t xml:space="preserve">, e1826-e1837 (2024). </w:t>
      </w:r>
      <w:hyperlink r:id="rId27" w:history="1">
        <w:r w:rsidRPr="008D1922">
          <w:rPr>
            <w:rStyle w:val="Hyperlink"/>
            <w:noProof/>
          </w:rPr>
          <w:t>https://doi.org/10.1016/S2214-109X(24)00280-8</w:t>
        </w:r>
      </w:hyperlink>
    </w:p>
    <w:p w14:paraId="5FEC5095" w14:textId="241C38DA" w:rsidR="0029241C" w:rsidRPr="008D1922" w:rsidRDefault="0029241C" w:rsidP="0029241C">
      <w:pPr>
        <w:pStyle w:val="EndNoteBibliography"/>
        <w:ind w:left="720" w:hanging="720"/>
        <w:rPr>
          <w:noProof/>
        </w:rPr>
      </w:pPr>
      <w:r w:rsidRPr="008D1922">
        <w:rPr>
          <w:noProof/>
        </w:rPr>
        <w:t>4</w:t>
      </w:r>
      <w:r w:rsidRPr="008D1922">
        <w:rPr>
          <w:noProof/>
        </w:rPr>
        <w:tab/>
        <w:t>Zirimenya, L.</w:t>
      </w:r>
      <w:r w:rsidRPr="008D1922">
        <w:rPr>
          <w:i/>
          <w:noProof/>
        </w:rPr>
        <w:t xml:space="preserve"> et al.</w:t>
      </w:r>
      <w:r w:rsidRPr="008D1922">
        <w:rPr>
          <w:noProof/>
        </w:rPr>
        <w:t xml:space="preserve"> The effect of intermittent preventive treatment for malaria with dihydroartemisinin–piperaquine on vaccine-specific responses among schoolchildren in rural Uganda (POPVAC B): a double-blind, randomised controlled trial. </w:t>
      </w:r>
      <w:r w:rsidRPr="008D1922">
        <w:rPr>
          <w:i/>
          <w:noProof/>
        </w:rPr>
        <w:t>The Lancet Global Health</w:t>
      </w:r>
      <w:r w:rsidRPr="008D1922">
        <w:rPr>
          <w:noProof/>
        </w:rPr>
        <w:t xml:space="preserve"> </w:t>
      </w:r>
      <w:r w:rsidRPr="008D1922">
        <w:rPr>
          <w:b/>
          <w:noProof/>
        </w:rPr>
        <w:t>12</w:t>
      </w:r>
      <w:r w:rsidRPr="008D1922">
        <w:rPr>
          <w:noProof/>
        </w:rPr>
        <w:t xml:space="preserve">, e1838-e1848 (2024). </w:t>
      </w:r>
      <w:hyperlink r:id="rId28" w:history="1">
        <w:r w:rsidRPr="008D1922">
          <w:rPr>
            <w:rStyle w:val="Hyperlink"/>
            <w:noProof/>
          </w:rPr>
          <w:t>https://doi.org/https://doi.org/10.1016/S2214-109X(24)00281-X</w:t>
        </w:r>
      </w:hyperlink>
    </w:p>
    <w:p w14:paraId="604CB542" w14:textId="15250FA2" w:rsidR="0029241C" w:rsidRPr="008D1922" w:rsidRDefault="0029241C" w:rsidP="0029241C">
      <w:pPr>
        <w:pStyle w:val="EndNoteBibliography"/>
        <w:ind w:left="720" w:hanging="720"/>
        <w:rPr>
          <w:noProof/>
        </w:rPr>
      </w:pPr>
      <w:r w:rsidRPr="008D1922">
        <w:rPr>
          <w:noProof/>
        </w:rPr>
        <w:t>5</w:t>
      </w:r>
      <w:r w:rsidRPr="008D1922">
        <w:rPr>
          <w:noProof/>
        </w:rPr>
        <w:tab/>
        <w:t>Nassuuna, J.</w:t>
      </w:r>
      <w:r w:rsidRPr="008D1922">
        <w:rPr>
          <w:i/>
          <w:noProof/>
        </w:rPr>
        <w:t xml:space="preserve"> et al.</w:t>
      </w:r>
      <w:r w:rsidRPr="008D1922">
        <w:rPr>
          <w:noProof/>
        </w:rPr>
        <w:t xml:space="preserve"> The effect of BCG revaccination on the response to unrelated vaccines in urban Ugandan adolescents (POPVAC C): an open-label, randomised controlled trial. </w:t>
      </w:r>
      <w:r w:rsidRPr="008D1922">
        <w:rPr>
          <w:i/>
          <w:noProof/>
        </w:rPr>
        <w:t>The Lancet Global Health</w:t>
      </w:r>
      <w:r w:rsidRPr="008D1922">
        <w:rPr>
          <w:noProof/>
        </w:rPr>
        <w:t xml:space="preserve"> </w:t>
      </w:r>
      <w:r w:rsidRPr="008D1922">
        <w:rPr>
          <w:b/>
          <w:noProof/>
        </w:rPr>
        <w:t>12</w:t>
      </w:r>
      <w:r w:rsidRPr="008D1922">
        <w:rPr>
          <w:noProof/>
        </w:rPr>
        <w:t xml:space="preserve">, e1849-e1859 (2024). </w:t>
      </w:r>
      <w:hyperlink r:id="rId29" w:history="1">
        <w:r w:rsidRPr="008D1922">
          <w:rPr>
            <w:rStyle w:val="Hyperlink"/>
            <w:noProof/>
          </w:rPr>
          <w:t>https://doi.org/10.1016/S2214-109X(24)00282-1</w:t>
        </w:r>
      </w:hyperlink>
    </w:p>
    <w:p w14:paraId="3EBA6238" w14:textId="2A10C470" w:rsidR="007A47C1" w:rsidRPr="008D1922" w:rsidRDefault="00540A99">
      <w:pPr>
        <w:rPr>
          <w:lang w:val="en-GB"/>
        </w:rPr>
      </w:pPr>
      <w:r w:rsidRPr="008D1922">
        <w:rPr>
          <w:lang w:val="en-GB"/>
        </w:rPr>
        <w:fldChar w:fldCharType="end"/>
      </w:r>
    </w:p>
    <w:sectPr w:rsidR="007A47C1" w:rsidRPr="008D1922" w:rsidSect="00230B2E">
      <w:pgSz w:w="11906" w:h="16838"/>
      <w:pgMar w:top="1440" w:right="922" w:bottom="72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A55B10"/>
    <w:multiLevelType w:val="hybridMultilevel"/>
    <w:tmpl w:val="38FA512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672F5"/>
    <w:multiLevelType w:val="hybridMultilevel"/>
    <w:tmpl w:val="3DEAB89E"/>
    <w:lvl w:ilvl="0" w:tplc="8F9E347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336330">
    <w:abstractNumId w:val="0"/>
  </w:num>
  <w:num w:numId="2" w16cid:durableId="27892159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zewds9cf55zeed20o5artu5dafwt5fxwwr&quot;&gt;cytof 2024&lt;record-ids&gt;&lt;item&gt;24&lt;/item&gt;&lt;item&gt;25&lt;/item&gt;&lt;item&gt;26&lt;/item&gt;&lt;item&gt;27&lt;/item&gt;&lt;item&gt;72&lt;/item&gt;&lt;/record-ids&gt;&lt;/item&gt;&lt;/Libraries&gt;"/>
    <w:docVar w:name="EN.UseJSCitationFormat" w:val="False"/>
  </w:docVars>
  <w:rsids>
    <w:rsidRoot w:val="00F02066"/>
    <w:rsid w:val="00007E0A"/>
    <w:rsid w:val="0001050F"/>
    <w:rsid w:val="00012D54"/>
    <w:rsid w:val="00013688"/>
    <w:rsid w:val="0002093D"/>
    <w:rsid w:val="000209FC"/>
    <w:rsid w:val="00024D18"/>
    <w:rsid w:val="00025265"/>
    <w:rsid w:val="00027160"/>
    <w:rsid w:val="00031D29"/>
    <w:rsid w:val="000368AB"/>
    <w:rsid w:val="00043A6C"/>
    <w:rsid w:val="0004513C"/>
    <w:rsid w:val="00045981"/>
    <w:rsid w:val="00046057"/>
    <w:rsid w:val="00047F1C"/>
    <w:rsid w:val="00050876"/>
    <w:rsid w:val="0005096E"/>
    <w:rsid w:val="000554DE"/>
    <w:rsid w:val="00056E67"/>
    <w:rsid w:val="0006330D"/>
    <w:rsid w:val="00067183"/>
    <w:rsid w:val="000672F9"/>
    <w:rsid w:val="00067928"/>
    <w:rsid w:val="00070166"/>
    <w:rsid w:val="00071F26"/>
    <w:rsid w:val="000775D8"/>
    <w:rsid w:val="0008175E"/>
    <w:rsid w:val="000817BA"/>
    <w:rsid w:val="000916EC"/>
    <w:rsid w:val="000932E6"/>
    <w:rsid w:val="0009380F"/>
    <w:rsid w:val="00094013"/>
    <w:rsid w:val="0009460A"/>
    <w:rsid w:val="00094A1E"/>
    <w:rsid w:val="00094E94"/>
    <w:rsid w:val="0009693E"/>
    <w:rsid w:val="000A0A8C"/>
    <w:rsid w:val="000A1277"/>
    <w:rsid w:val="000A4212"/>
    <w:rsid w:val="000A6B64"/>
    <w:rsid w:val="000A7D81"/>
    <w:rsid w:val="000B2F35"/>
    <w:rsid w:val="000B3F2E"/>
    <w:rsid w:val="000C02BA"/>
    <w:rsid w:val="000D20B4"/>
    <w:rsid w:val="000D6FF2"/>
    <w:rsid w:val="000E2E76"/>
    <w:rsid w:val="000E3EF8"/>
    <w:rsid w:val="000E7662"/>
    <w:rsid w:val="000E7C11"/>
    <w:rsid w:val="000E7DC1"/>
    <w:rsid w:val="000F0FD5"/>
    <w:rsid w:val="000F4952"/>
    <w:rsid w:val="000F5F5D"/>
    <w:rsid w:val="00100691"/>
    <w:rsid w:val="001123B7"/>
    <w:rsid w:val="00114A20"/>
    <w:rsid w:val="00130173"/>
    <w:rsid w:val="00132439"/>
    <w:rsid w:val="00135C67"/>
    <w:rsid w:val="0014131E"/>
    <w:rsid w:val="00144C7B"/>
    <w:rsid w:val="00146EEB"/>
    <w:rsid w:val="001553D1"/>
    <w:rsid w:val="00155B71"/>
    <w:rsid w:val="0015719D"/>
    <w:rsid w:val="00157404"/>
    <w:rsid w:val="00162353"/>
    <w:rsid w:val="0016683F"/>
    <w:rsid w:val="00166D58"/>
    <w:rsid w:val="00171A52"/>
    <w:rsid w:val="00177B9E"/>
    <w:rsid w:val="00181261"/>
    <w:rsid w:val="00186BBB"/>
    <w:rsid w:val="001915EE"/>
    <w:rsid w:val="00195284"/>
    <w:rsid w:val="00197BF3"/>
    <w:rsid w:val="001A2355"/>
    <w:rsid w:val="001A2BF9"/>
    <w:rsid w:val="001A2E29"/>
    <w:rsid w:val="001A4470"/>
    <w:rsid w:val="001B2643"/>
    <w:rsid w:val="001B2BBB"/>
    <w:rsid w:val="001B3C18"/>
    <w:rsid w:val="001B632F"/>
    <w:rsid w:val="001C30C4"/>
    <w:rsid w:val="001C3C3B"/>
    <w:rsid w:val="001D047A"/>
    <w:rsid w:val="001D1644"/>
    <w:rsid w:val="001D660B"/>
    <w:rsid w:val="001E6D5E"/>
    <w:rsid w:val="001F0366"/>
    <w:rsid w:val="001F0A01"/>
    <w:rsid w:val="001F5B32"/>
    <w:rsid w:val="00204BFD"/>
    <w:rsid w:val="00207BEC"/>
    <w:rsid w:val="002174D7"/>
    <w:rsid w:val="0022250B"/>
    <w:rsid w:val="0022281C"/>
    <w:rsid w:val="0022391A"/>
    <w:rsid w:val="00223F19"/>
    <w:rsid w:val="002248D2"/>
    <w:rsid w:val="00230A2C"/>
    <w:rsid w:val="00230B2E"/>
    <w:rsid w:val="00232560"/>
    <w:rsid w:val="00236EB7"/>
    <w:rsid w:val="00240FF7"/>
    <w:rsid w:val="00243004"/>
    <w:rsid w:val="002500D6"/>
    <w:rsid w:val="0025575D"/>
    <w:rsid w:val="00260EED"/>
    <w:rsid w:val="002622F5"/>
    <w:rsid w:val="002678E3"/>
    <w:rsid w:val="0027027A"/>
    <w:rsid w:val="0027334A"/>
    <w:rsid w:val="00280079"/>
    <w:rsid w:val="002867B9"/>
    <w:rsid w:val="0028763B"/>
    <w:rsid w:val="0029241C"/>
    <w:rsid w:val="00295413"/>
    <w:rsid w:val="00295AC4"/>
    <w:rsid w:val="00296837"/>
    <w:rsid w:val="00297320"/>
    <w:rsid w:val="002A1F86"/>
    <w:rsid w:val="002B0D05"/>
    <w:rsid w:val="002B3F08"/>
    <w:rsid w:val="002B40EC"/>
    <w:rsid w:val="002C29AC"/>
    <w:rsid w:val="002D1F30"/>
    <w:rsid w:val="002E1011"/>
    <w:rsid w:val="002E4072"/>
    <w:rsid w:val="002E62C7"/>
    <w:rsid w:val="002E6BBB"/>
    <w:rsid w:val="002E7B6C"/>
    <w:rsid w:val="002F2318"/>
    <w:rsid w:val="002F33DE"/>
    <w:rsid w:val="00304295"/>
    <w:rsid w:val="003064EB"/>
    <w:rsid w:val="00310D04"/>
    <w:rsid w:val="003153CE"/>
    <w:rsid w:val="00316E03"/>
    <w:rsid w:val="003213C1"/>
    <w:rsid w:val="00322D34"/>
    <w:rsid w:val="00326CD8"/>
    <w:rsid w:val="00327C39"/>
    <w:rsid w:val="00334D75"/>
    <w:rsid w:val="00337B8C"/>
    <w:rsid w:val="00340269"/>
    <w:rsid w:val="00342F24"/>
    <w:rsid w:val="00343A98"/>
    <w:rsid w:val="00343C6D"/>
    <w:rsid w:val="003453D8"/>
    <w:rsid w:val="00346C77"/>
    <w:rsid w:val="00350B2F"/>
    <w:rsid w:val="00360214"/>
    <w:rsid w:val="00360F6E"/>
    <w:rsid w:val="003672DF"/>
    <w:rsid w:val="003706BA"/>
    <w:rsid w:val="00370A26"/>
    <w:rsid w:val="00370A92"/>
    <w:rsid w:val="00380B93"/>
    <w:rsid w:val="00381002"/>
    <w:rsid w:val="003815EC"/>
    <w:rsid w:val="00385A1A"/>
    <w:rsid w:val="003863EE"/>
    <w:rsid w:val="00387233"/>
    <w:rsid w:val="00387830"/>
    <w:rsid w:val="00387B93"/>
    <w:rsid w:val="00394092"/>
    <w:rsid w:val="003944FB"/>
    <w:rsid w:val="00397197"/>
    <w:rsid w:val="003A3372"/>
    <w:rsid w:val="003A5EB9"/>
    <w:rsid w:val="003B0D0E"/>
    <w:rsid w:val="003B0D1B"/>
    <w:rsid w:val="003B1C2A"/>
    <w:rsid w:val="003B5AD7"/>
    <w:rsid w:val="003B5C26"/>
    <w:rsid w:val="003B7556"/>
    <w:rsid w:val="003C070E"/>
    <w:rsid w:val="003D231D"/>
    <w:rsid w:val="003D2692"/>
    <w:rsid w:val="003D37A4"/>
    <w:rsid w:val="003D6362"/>
    <w:rsid w:val="003E01B1"/>
    <w:rsid w:val="003E2DD7"/>
    <w:rsid w:val="003E3755"/>
    <w:rsid w:val="003E3777"/>
    <w:rsid w:val="003F181C"/>
    <w:rsid w:val="003F29E4"/>
    <w:rsid w:val="00402F62"/>
    <w:rsid w:val="0040326F"/>
    <w:rsid w:val="0040708A"/>
    <w:rsid w:val="004225FE"/>
    <w:rsid w:val="00427109"/>
    <w:rsid w:val="00431561"/>
    <w:rsid w:val="004354BF"/>
    <w:rsid w:val="00442A35"/>
    <w:rsid w:val="0044353E"/>
    <w:rsid w:val="004511DC"/>
    <w:rsid w:val="00457524"/>
    <w:rsid w:val="00462F12"/>
    <w:rsid w:val="004633AC"/>
    <w:rsid w:val="00463549"/>
    <w:rsid w:val="00467A7A"/>
    <w:rsid w:val="004753E8"/>
    <w:rsid w:val="004811E6"/>
    <w:rsid w:val="0049142C"/>
    <w:rsid w:val="00491C2D"/>
    <w:rsid w:val="004942B4"/>
    <w:rsid w:val="004953C4"/>
    <w:rsid w:val="004957CF"/>
    <w:rsid w:val="0049672C"/>
    <w:rsid w:val="00497BA3"/>
    <w:rsid w:val="004A0396"/>
    <w:rsid w:val="004A20AD"/>
    <w:rsid w:val="004A2FBF"/>
    <w:rsid w:val="004A339E"/>
    <w:rsid w:val="004A7388"/>
    <w:rsid w:val="004A7D2D"/>
    <w:rsid w:val="004B2669"/>
    <w:rsid w:val="004B3765"/>
    <w:rsid w:val="004C636D"/>
    <w:rsid w:val="004D0827"/>
    <w:rsid w:val="004D1363"/>
    <w:rsid w:val="004D171A"/>
    <w:rsid w:val="004D28FF"/>
    <w:rsid w:val="004D3202"/>
    <w:rsid w:val="004D33A9"/>
    <w:rsid w:val="004E3719"/>
    <w:rsid w:val="004E5F8D"/>
    <w:rsid w:val="004F01EB"/>
    <w:rsid w:val="004F5BB8"/>
    <w:rsid w:val="004F661C"/>
    <w:rsid w:val="00503F74"/>
    <w:rsid w:val="0050428A"/>
    <w:rsid w:val="0051000C"/>
    <w:rsid w:val="005159DA"/>
    <w:rsid w:val="0051758B"/>
    <w:rsid w:val="005211A7"/>
    <w:rsid w:val="00522663"/>
    <w:rsid w:val="00524D29"/>
    <w:rsid w:val="00530788"/>
    <w:rsid w:val="005318C8"/>
    <w:rsid w:val="00532A1A"/>
    <w:rsid w:val="00532EF0"/>
    <w:rsid w:val="0053398F"/>
    <w:rsid w:val="00534782"/>
    <w:rsid w:val="00536092"/>
    <w:rsid w:val="005365EC"/>
    <w:rsid w:val="00540A99"/>
    <w:rsid w:val="00541DF2"/>
    <w:rsid w:val="00545F66"/>
    <w:rsid w:val="0054626C"/>
    <w:rsid w:val="00550146"/>
    <w:rsid w:val="005506E5"/>
    <w:rsid w:val="00552B1E"/>
    <w:rsid w:val="00554F74"/>
    <w:rsid w:val="00557324"/>
    <w:rsid w:val="00563030"/>
    <w:rsid w:val="00567F66"/>
    <w:rsid w:val="005710A7"/>
    <w:rsid w:val="0057159B"/>
    <w:rsid w:val="00576D26"/>
    <w:rsid w:val="00580E2F"/>
    <w:rsid w:val="00587546"/>
    <w:rsid w:val="00591176"/>
    <w:rsid w:val="00591FB6"/>
    <w:rsid w:val="005A2BA0"/>
    <w:rsid w:val="005A39E6"/>
    <w:rsid w:val="005A6C8A"/>
    <w:rsid w:val="005A771C"/>
    <w:rsid w:val="005B42F2"/>
    <w:rsid w:val="005B7948"/>
    <w:rsid w:val="005C0EA1"/>
    <w:rsid w:val="005D0356"/>
    <w:rsid w:val="005E139F"/>
    <w:rsid w:val="005E44CB"/>
    <w:rsid w:val="005E45EA"/>
    <w:rsid w:val="005E781F"/>
    <w:rsid w:val="005F172D"/>
    <w:rsid w:val="005F34B6"/>
    <w:rsid w:val="006007B4"/>
    <w:rsid w:val="0060523E"/>
    <w:rsid w:val="006057AC"/>
    <w:rsid w:val="0060633F"/>
    <w:rsid w:val="00607682"/>
    <w:rsid w:val="00614743"/>
    <w:rsid w:val="00621622"/>
    <w:rsid w:val="00624594"/>
    <w:rsid w:val="00624FC5"/>
    <w:rsid w:val="006256BB"/>
    <w:rsid w:val="006353A1"/>
    <w:rsid w:val="0063606A"/>
    <w:rsid w:val="00637998"/>
    <w:rsid w:val="00640782"/>
    <w:rsid w:val="006416F2"/>
    <w:rsid w:val="00647064"/>
    <w:rsid w:val="00651181"/>
    <w:rsid w:val="0065365E"/>
    <w:rsid w:val="00660CED"/>
    <w:rsid w:val="00660E04"/>
    <w:rsid w:val="0066247A"/>
    <w:rsid w:val="00662E1A"/>
    <w:rsid w:val="0066300F"/>
    <w:rsid w:val="00667DAF"/>
    <w:rsid w:val="00671BD6"/>
    <w:rsid w:val="00680CBC"/>
    <w:rsid w:val="00681F7B"/>
    <w:rsid w:val="00690838"/>
    <w:rsid w:val="0069131E"/>
    <w:rsid w:val="0069500D"/>
    <w:rsid w:val="00695A84"/>
    <w:rsid w:val="00695ACD"/>
    <w:rsid w:val="00697FB9"/>
    <w:rsid w:val="006A142A"/>
    <w:rsid w:val="006A6A39"/>
    <w:rsid w:val="006A740D"/>
    <w:rsid w:val="006B0F62"/>
    <w:rsid w:val="006B1740"/>
    <w:rsid w:val="006B4125"/>
    <w:rsid w:val="006B5877"/>
    <w:rsid w:val="006B5D57"/>
    <w:rsid w:val="006B603D"/>
    <w:rsid w:val="006B6174"/>
    <w:rsid w:val="006C2470"/>
    <w:rsid w:val="006C386A"/>
    <w:rsid w:val="006C6CF4"/>
    <w:rsid w:val="006C7D5C"/>
    <w:rsid w:val="006E292D"/>
    <w:rsid w:val="006E39BE"/>
    <w:rsid w:val="006E66AB"/>
    <w:rsid w:val="006F3302"/>
    <w:rsid w:val="006F6A08"/>
    <w:rsid w:val="00704D18"/>
    <w:rsid w:val="007075A6"/>
    <w:rsid w:val="007135E8"/>
    <w:rsid w:val="007140F0"/>
    <w:rsid w:val="00715DD5"/>
    <w:rsid w:val="00720C6E"/>
    <w:rsid w:val="00726E71"/>
    <w:rsid w:val="007340CD"/>
    <w:rsid w:val="00734D3F"/>
    <w:rsid w:val="00735EE8"/>
    <w:rsid w:val="00736C51"/>
    <w:rsid w:val="007425FE"/>
    <w:rsid w:val="007430CC"/>
    <w:rsid w:val="00752432"/>
    <w:rsid w:val="0075256F"/>
    <w:rsid w:val="00754C9F"/>
    <w:rsid w:val="00755CD6"/>
    <w:rsid w:val="00756BF9"/>
    <w:rsid w:val="00757E3C"/>
    <w:rsid w:val="007620B3"/>
    <w:rsid w:val="007660E8"/>
    <w:rsid w:val="00771A64"/>
    <w:rsid w:val="00773470"/>
    <w:rsid w:val="0077505E"/>
    <w:rsid w:val="0077747C"/>
    <w:rsid w:val="00777671"/>
    <w:rsid w:val="00780534"/>
    <w:rsid w:val="00784B2D"/>
    <w:rsid w:val="00785AF5"/>
    <w:rsid w:val="00786137"/>
    <w:rsid w:val="00786968"/>
    <w:rsid w:val="00786D29"/>
    <w:rsid w:val="00790FC4"/>
    <w:rsid w:val="007936C5"/>
    <w:rsid w:val="00797801"/>
    <w:rsid w:val="007A47C1"/>
    <w:rsid w:val="007A7E0C"/>
    <w:rsid w:val="007B554C"/>
    <w:rsid w:val="007B78E5"/>
    <w:rsid w:val="007C0A43"/>
    <w:rsid w:val="007C6EED"/>
    <w:rsid w:val="007D0DFB"/>
    <w:rsid w:val="007D109B"/>
    <w:rsid w:val="007D50CA"/>
    <w:rsid w:val="007D5782"/>
    <w:rsid w:val="007E0885"/>
    <w:rsid w:val="007E3039"/>
    <w:rsid w:val="007E5BF8"/>
    <w:rsid w:val="007F4778"/>
    <w:rsid w:val="007F5F2B"/>
    <w:rsid w:val="008037AA"/>
    <w:rsid w:val="00803E9E"/>
    <w:rsid w:val="00805F58"/>
    <w:rsid w:val="00806EB2"/>
    <w:rsid w:val="0081432C"/>
    <w:rsid w:val="00822DB5"/>
    <w:rsid w:val="00830D78"/>
    <w:rsid w:val="00831D99"/>
    <w:rsid w:val="00836570"/>
    <w:rsid w:val="00837803"/>
    <w:rsid w:val="00847721"/>
    <w:rsid w:val="00851667"/>
    <w:rsid w:val="008573CF"/>
    <w:rsid w:val="00865242"/>
    <w:rsid w:val="00865B04"/>
    <w:rsid w:val="00866263"/>
    <w:rsid w:val="00876226"/>
    <w:rsid w:val="00880770"/>
    <w:rsid w:val="00882422"/>
    <w:rsid w:val="00882CA1"/>
    <w:rsid w:val="0088352B"/>
    <w:rsid w:val="0088376C"/>
    <w:rsid w:val="0088380E"/>
    <w:rsid w:val="00884442"/>
    <w:rsid w:val="00892DB4"/>
    <w:rsid w:val="00893286"/>
    <w:rsid w:val="008968AE"/>
    <w:rsid w:val="008B1447"/>
    <w:rsid w:val="008C0460"/>
    <w:rsid w:val="008D1922"/>
    <w:rsid w:val="008D69BF"/>
    <w:rsid w:val="008D7963"/>
    <w:rsid w:val="008D7E3D"/>
    <w:rsid w:val="008D7EFF"/>
    <w:rsid w:val="008E391E"/>
    <w:rsid w:val="008F5FD1"/>
    <w:rsid w:val="008F6CC2"/>
    <w:rsid w:val="00900BC6"/>
    <w:rsid w:val="00901621"/>
    <w:rsid w:val="0090310F"/>
    <w:rsid w:val="00903B87"/>
    <w:rsid w:val="00904312"/>
    <w:rsid w:val="009053C3"/>
    <w:rsid w:val="00912038"/>
    <w:rsid w:val="0091599E"/>
    <w:rsid w:val="00915DAC"/>
    <w:rsid w:val="00917922"/>
    <w:rsid w:val="00920E86"/>
    <w:rsid w:val="009213ED"/>
    <w:rsid w:val="00932B28"/>
    <w:rsid w:val="0093589E"/>
    <w:rsid w:val="0094517F"/>
    <w:rsid w:val="0094522E"/>
    <w:rsid w:val="00956387"/>
    <w:rsid w:val="009568F7"/>
    <w:rsid w:val="0096215B"/>
    <w:rsid w:val="009621DF"/>
    <w:rsid w:val="0096696B"/>
    <w:rsid w:val="009671C0"/>
    <w:rsid w:val="00974D06"/>
    <w:rsid w:val="009752C7"/>
    <w:rsid w:val="00976507"/>
    <w:rsid w:val="0097714A"/>
    <w:rsid w:val="00977381"/>
    <w:rsid w:val="00983E32"/>
    <w:rsid w:val="00995021"/>
    <w:rsid w:val="00995DB3"/>
    <w:rsid w:val="00996372"/>
    <w:rsid w:val="009967C9"/>
    <w:rsid w:val="009A0793"/>
    <w:rsid w:val="009A1249"/>
    <w:rsid w:val="009A45EB"/>
    <w:rsid w:val="009A4825"/>
    <w:rsid w:val="009A4B83"/>
    <w:rsid w:val="009A5D01"/>
    <w:rsid w:val="009A718B"/>
    <w:rsid w:val="009A720B"/>
    <w:rsid w:val="009B5C8B"/>
    <w:rsid w:val="009B7A2A"/>
    <w:rsid w:val="009D5F1A"/>
    <w:rsid w:val="009E04FF"/>
    <w:rsid w:val="009E16E1"/>
    <w:rsid w:val="009E2F85"/>
    <w:rsid w:val="009E32D3"/>
    <w:rsid w:val="009E462E"/>
    <w:rsid w:val="009E4919"/>
    <w:rsid w:val="009E6E1C"/>
    <w:rsid w:val="009F35C9"/>
    <w:rsid w:val="009F64A3"/>
    <w:rsid w:val="009F760D"/>
    <w:rsid w:val="00A019B4"/>
    <w:rsid w:val="00A0289A"/>
    <w:rsid w:val="00A06C0B"/>
    <w:rsid w:val="00A07747"/>
    <w:rsid w:val="00A11544"/>
    <w:rsid w:val="00A139E1"/>
    <w:rsid w:val="00A1667D"/>
    <w:rsid w:val="00A23B2A"/>
    <w:rsid w:val="00A23C9B"/>
    <w:rsid w:val="00A33540"/>
    <w:rsid w:val="00A34BA9"/>
    <w:rsid w:val="00A36326"/>
    <w:rsid w:val="00A375EB"/>
    <w:rsid w:val="00A37DA5"/>
    <w:rsid w:val="00A37ECF"/>
    <w:rsid w:val="00A40694"/>
    <w:rsid w:val="00A4113E"/>
    <w:rsid w:val="00A41ABD"/>
    <w:rsid w:val="00A42A5D"/>
    <w:rsid w:val="00A45CB6"/>
    <w:rsid w:val="00A465A6"/>
    <w:rsid w:val="00A46E4A"/>
    <w:rsid w:val="00A53BDB"/>
    <w:rsid w:val="00A5537C"/>
    <w:rsid w:val="00A55696"/>
    <w:rsid w:val="00A6044A"/>
    <w:rsid w:val="00A6169F"/>
    <w:rsid w:val="00A66C44"/>
    <w:rsid w:val="00A67F37"/>
    <w:rsid w:val="00A728EC"/>
    <w:rsid w:val="00A739AD"/>
    <w:rsid w:val="00A76991"/>
    <w:rsid w:val="00A80F3E"/>
    <w:rsid w:val="00A8586C"/>
    <w:rsid w:val="00A9006E"/>
    <w:rsid w:val="00A95A1A"/>
    <w:rsid w:val="00A95E16"/>
    <w:rsid w:val="00A963C5"/>
    <w:rsid w:val="00A963E4"/>
    <w:rsid w:val="00A96648"/>
    <w:rsid w:val="00AA10CB"/>
    <w:rsid w:val="00AB08B4"/>
    <w:rsid w:val="00AB24EA"/>
    <w:rsid w:val="00AB3210"/>
    <w:rsid w:val="00AB3AF9"/>
    <w:rsid w:val="00AB601C"/>
    <w:rsid w:val="00AB6CBB"/>
    <w:rsid w:val="00AC2A99"/>
    <w:rsid w:val="00AC4822"/>
    <w:rsid w:val="00AC7BE0"/>
    <w:rsid w:val="00AD00DE"/>
    <w:rsid w:val="00AD3D69"/>
    <w:rsid w:val="00AD72C8"/>
    <w:rsid w:val="00AE03D2"/>
    <w:rsid w:val="00AE22A2"/>
    <w:rsid w:val="00AE34FA"/>
    <w:rsid w:val="00AE55E2"/>
    <w:rsid w:val="00AE78BC"/>
    <w:rsid w:val="00AF0257"/>
    <w:rsid w:val="00AF02FF"/>
    <w:rsid w:val="00AF0A71"/>
    <w:rsid w:val="00AF1106"/>
    <w:rsid w:val="00AF4FA4"/>
    <w:rsid w:val="00AF6E8E"/>
    <w:rsid w:val="00B04E0B"/>
    <w:rsid w:val="00B0570D"/>
    <w:rsid w:val="00B07E61"/>
    <w:rsid w:val="00B16FD1"/>
    <w:rsid w:val="00B2110B"/>
    <w:rsid w:val="00B25B52"/>
    <w:rsid w:val="00B26B17"/>
    <w:rsid w:val="00B279B4"/>
    <w:rsid w:val="00B36B60"/>
    <w:rsid w:val="00B36EAE"/>
    <w:rsid w:val="00B37AAA"/>
    <w:rsid w:val="00B404C1"/>
    <w:rsid w:val="00B40B09"/>
    <w:rsid w:val="00B432C5"/>
    <w:rsid w:val="00B4660A"/>
    <w:rsid w:val="00B46A1B"/>
    <w:rsid w:val="00B51020"/>
    <w:rsid w:val="00B544BB"/>
    <w:rsid w:val="00B54757"/>
    <w:rsid w:val="00B553A8"/>
    <w:rsid w:val="00B57135"/>
    <w:rsid w:val="00B6077E"/>
    <w:rsid w:val="00B61EFF"/>
    <w:rsid w:val="00B62097"/>
    <w:rsid w:val="00B66971"/>
    <w:rsid w:val="00B66D03"/>
    <w:rsid w:val="00B7019E"/>
    <w:rsid w:val="00B70CFE"/>
    <w:rsid w:val="00B73134"/>
    <w:rsid w:val="00B73673"/>
    <w:rsid w:val="00B742A3"/>
    <w:rsid w:val="00B74850"/>
    <w:rsid w:val="00B81A8F"/>
    <w:rsid w:val="00B86A38"/>
    <w:rsid w:val="00B86AA6"/>
    <w:rsid w:val="00B94895"/>
    <w:rsid w:val="00B971F5"/>
    <w:rsid w:val="00BA015D"/>
    <w:rsid w:val="00BA0422"/>
    <w:rsid w:val="00BA237A"/>
    <w:rsid w:val="00BB355A"/>
    <w:rsid w:val="00BB6E43"/>
    <w:rsid w:val="00BB779E"/>
    <w:rsid w:val="00BC2222"/>
    <w:rsid w:val="00BC2423"/>
    <w:rsid w:val="00BC3C15"/>
    <w:rsid w:val="00BC6354"/>
    <w:rsid w:val="00BD3F41"/>
    <w:rsid w:val="00BD5D6A"/>
    <w:rsid w:val="00BE1B6A"/>
    <w:rsid w:val="00BE3C00"/>
    <w:rsid w:val="00BE42B0"/>
    <w:rsid w:val="00BF04C4"/>
    <w:rsid w:val="00BF1F45"/>
    <w:rsid w:val="00BF550C"/>
    <w:rsid w:val="00BF6B73"/>
    <w:rsid w:val="00BF6BE4"/>
    <w:rsid w:val="00C03472"/>
    <w:rsid w:val="00C05A05"/>
    <w:rsid w:val="00C0612A"/>
    <w:rsid w:val="00C07D01"/>
    <w:rsid w:val="00C124AF"/>
    <w:rsid w:val="00C130BB"/>
    <w:rsid w:val="00C135A5"/>
    <w:rsid w:val="00C162C0"/>
    <w:rsid w:val="00C1747C"/>
    <w:rsid w:val="00C207FC"/>
    <w:rsid w:val="00C2248F"/>
    <w:rsid w:val="00C27D91"/>
    <w:rsid w:val="00C41388"/>
    <w:rsid w:val="00C433E1"/>
    <w:rsid w:val="00C52BF1"/>
    <w:rsid w:val="00C56072"/>
    <w:rsid w:val="00C5640B"/>
    <w:rsid w:val="00C564F5"/>
    <w:rsid w:val="00C6243A"/>
    <w:rsid w:val="00C6499C"/>
    <w:rsid w:val="00C708F4"/>
    <w:rsid w:val="00C71C6C"/>
    <w:rsid w:val="00C74D42"/>
    <w:rsid w:val="00C75342"/>
    <w:rsid w:val="00C76AC6"/>
    <w:rsid w:val="00C80FE7"/>
    <w:rsid w:val="00C8147A"/>
    <w:rsid w:val="00C82C76"/>
    <w:rsid w:val="00C84F83"/>
    <w:rsid w:val="00C903FE"/>
    <w:rsid w:val="00C90467"/>
    <w:rsid w:val="00C91C4C"/>
    <w:rsid w:val="00C91CC9"/>
    <w:rsid w:val="00C93FF3"/>
    <w:rsid w:val="00C94A8F"/>
    <w:rsid w:val="00CA11D1"/>
    <w:rsid w:val="00CA3E47"/>
    <w:rsid w:val="00CA47EB"/>
    <w:rsid w:val="00CB0B12"/>
    <w:rsid w:val="00CB2212"/>
    <w:rsid w:val="00CB463E"/>
    <w:rsid w:val="00CC12BB"/>
    <w:rsid w:val="00CC25A7"/>
    <w:rsid w:val="00CC5287"/>
    <w:rsid w:val="00CC6897"/>
    <w:rsid w:val="00CD2001"/>
    <w:rsid w:val="00CD4A21"/>
    <w:rsid w:val="00CE3DEA"/>
    <w:rsid w:val="00CE42C1"/>
    <w:rsid w:val="00CE5D7A"/>
    <w:rsid w:val="00CE6EAE"/>
    <w:rsid w:val="00CE7353"/>
    <w:rsid w:val="00CE77AB"/>
    <w:rsid w:val="00CE793F"/>
    <w:rsid w:val="00CF2577"/>
    <w:rsid w:val="00D021F7"/>
    <w:rsid w:val="00D06BB9"/>
    <w:rsid w:val="00D16173"/>
    <w:rsid w:val="00D214B9"/>
    <w:rsid w:val="00D2439F"/>
    <w:rsid w:val="00D26386"/>
    <w:rsid w:val="00D2741D"/>
    <w:rsid w:val="00D30070"/>
    <w:rsid w:val="00D30E69"/>
    <w:rsid w:val="00D334A5"/>
    <w:rsid w:val="00D33F50"/>
    <w:rsid w:val="00D35333"/>
    <w:rsid w:val="00D41764"/>
    <w:rsid w:val="00D42F6B"/>
    <w:rsid w:val="00D4494B"/>
    <w:rsid w:val="00D454BF"/>
    <w:rsid w:val="00D535D5"/>
    <w:rsid w:val="00D64DA8"/>
    <w:rsid w:val="00D6687D"/>
    <w:rsid w:val="00D718A3"/>
    <w:rsid w:val="00D73021"/>
    <w:rsid w:val="00D738AF"/>
    <w:rsid w:val="00D74ED9"/>
    <w:rsid w:val="00D81961"/>
    <w:rsid w:val="00D82D0D"/>
    <w:rsid w:val="00D82EAC"/>
    <w:rsid w:val="00D83095"/>
    <w:rsid w:val="00D91B11"/>
    <w:rsid w:val="00D94993"/>
    <w:rsid w:val="00D954D6"/>
    <w:rsid w:val="00D964ED"/>
    <w:rsid w:val="00D9674A"/>
    <w:rsid w:val="00DA079D"/>
    <w:rsid w:val="00DA3657"/>
    <w:rsid w:val="00DA39B6"/>
    <w:rsid w:val="00DB1C13"/>
    <w:rsid w:val="00DB46D7"/>
    <w:rsid w:val="00DC01BB"/>
    <w:rsid w:val="00DC0E48"/>
    <w:rsid w:val="00DC23F8"/>
    <w:rsid w:val="00DC2C5E"/>
    <w:rsid w:val="00DC43C9"/>
    <w:rsid w:val="00DC5012"/>
    <w:rsid w:val="00DE3B5F"/>
    <w:rsid w:val="00DE4DF8"/>
    <w:rsid w:val="00DF10B8"/>
    <w:rsid w:val="00DF2DC8"/>
    <w:rsid w:val="00E00CEC"/>
    <w:rsid w:val="00E01B20"/>
    <w:rsid w:val="00E01C93"/>
    <w:rsid w:val="00E03CFA"/>
    <w:rsid w:val="00E1588A"/>
    <w:rsid w:val="00E15AC7"/>
    <w:rsid w:val="00E26355"/>
    <w:rsid w:val="00E30900"/>
    <w:rsid w:val="00E30C58"/>
    <w:rsid w:val="00E3541C"/>
    <w:rsid w:val="00E375CD"/>
    <w:rsid w:val="00E407E5"/>
    <w:rsid w:val="00E45A21"/>
    <w:rsid w:val="00E51B86"/>
    <w:rsid w:val="00E56476"/>
    <w:rsid w:val="00E56776"/>
    <w:rsid w:val="00E65611"/>
    <w:rsid w:val="00E6682B"/>
    <w:rsid w:val="00E7056C"/>
    <w:rsid w:val="00E7072F"/>
    <w:rsid w:val="00E708AC"/>
    <w:rsid w:val="00E75A81"/>
    <w:rsid w:val="00E81CB4"/>
    <w:rsid w:val="00E92F7F"/>
    <w:rsid w:val="00E95E2A"/>
    <w:rsid w:val="00E9747A"/>
    <w:rsid w:val="00EA03E9"/>
    <w:rsid w:val="00EA0ACF"/>
    <w:rsid w:val="00EA2BE0"/>
    <w:rsid w:val="00EA2FAC"/>
    <w:rsid w:val="00EA39E3"/>
    <w:rsid w:val="00EA3AC3"/>
    <w:rsid w:val="00EA3FCA"/>
    <w:rsid w:val="00EB06FD"/>
    <w:rsid w:val="00EB2C47"/>
    <w:rsid w:val="00EB6B43"/>
    <w:rsid w:val="00EC22FD"/>
    <w:rsid w:val="00EC2D52"/>
    <w:rsid w:val="00EC51A6"/>
    <w:rsid w:val="00EC5449"/>
    <w:rsid w:val="00ED3709"/>
    <w:rsid w:val="00EE06A5"/>
    <w:rsid w:val="00EE35CA"/>
    <w:rsid w:val="00EF23AA"/>
    <w:rsid w:val="00EF3339"/>
    <w:rsid w:val="00EF3709"/>
    <w:rsid w:val="00EF475E"/>
    <w:rsid w:val="00EF5864"/>
    <w:rsid w:val="00F02066"/>
    <w:rsid w:val="00F030F1"/>
    <w:rsid w:val="00F0537E"/>
    <w:rsid w:val="00F05BB2"/>
    <w:rsid w:val="00F072AE"/>
    <w:rsid w:val="00F10BCA"/>
    <w:rsid w:val="00F14FD6"/>
    <w:rsid w:val="00F21316"/>
    <w:rsid w:val="00F23DE1"/>
    <w:rsid w:val="00F24A1A"/>
    <w:rsid w:val="00F24D73"/>
    <w:rsid w:val="00F25BB5"/>
    <w:rsid w:val="00F3075E"/>
    <w:rsid w:val="00F33C51"/>
    <w:rsid w:val="00F33E53"/>
    <w:rsid w:val="00F34530"/>
    <w:rsid w:val="00F3706D"/>
    <w:rsid w:val="00F421F4"/>
    <w:rsid w:val="00F4242E"/>
    <w:rsid w:val="00F42940"/>
    <w:rsid w:val="00F45BE4"/>
    <w:rsid w:val="00F46440"/>
    <w:rsid w:val="00F549BA"/>
    <w:rsid w:val="00F57614"/>
    <w:rsid w:val="00F57AB5"/>
    <w:rsid w:val="00F610EA"/>
    <w:rsid w:val="00F643D1"/>
    <w:rsid w:val="00F659DE"/>
    <w:rsid w:val="00F7457B"/>
    <w:rsid w:val="00F816EC"/>
    <w:rsid w:val="00F8272F"/>
    <w:rsid w:val="00F8446B"/>
    <w:rsid w:val="00F862B1"/>
    <w:rsid w:val="00F86F0F"/>
    <w:rsid w:val="00F87A63"/>
    <w:rsid w:val="00F919AF"/>
    <w:rsid w:val="00F9270A"/>
    <w:rsid w:val="00F92CA8"/>
    <w:rsid w:val="00F92DAE"/>
    <w:rsid w:val="00F93478"/>
    <w:rsid w:val="00F9410F"/>
    <w:rsid w:val="00F950EF"/>
    <w:rsid w:val="00F951CA"/>
    <w:rsid w:val="00F952A7"/>
    <w:rsid w:val="00F95C5E"/>
    <w:rsid w:val="00F96C21"/>
    <w:rsid w:val="00FA47C6"/>
    <w:rsid w:val="00FA53A7"/>
    <w:rsid w:val="00FA6794"/>
    <w:rsid w:val="00FB2E8A"/>
    <w:rsid w:val="00FC1000"/>
    <w:rsid w:val="00FC2CB5"/>
    <w:rsid w:val="00FC6045"/>
    <w:rsid w:val="00FD1D19"/>
    <w:rsid w:val="00FD4B57"/>
    <w:rsid w:val="00FE248D"/>
    <w:rsid w:val="00FE2E87"/>
    <w:rsid w:val="00FE4BCB"/>
    <w:rsid w:val="00FE6667"/>
    <w:rsid w:val="00FE770E"/>
    <w:rsid w:val="00FE7BF2"/>
    <w:rsid w:val="00FF0B88"/>
    <w:rsid w:val="00FF461E"/>
    <w:rsid w:val="00FF50B8"/>
    <w:rsid w:val="00FF543E"/>
    <w:rsid w:val="00FF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8BF58"/>
  <w15:chartTrackingRefBased/>
  <w15:docId w15:val="{21BB198D-24F5-294A-B7AE-F9746C65C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Times New Roman (Body CS)"/>
        <w:kern w:val="2"/>
        <w:sz w:val="22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4FA"/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20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0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0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0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0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0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0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0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0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206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06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066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2066"/>
    <w:rPr>
      <w:rFonts w:asciiTheme="minorHAnsi" w:eastAsiaTheme="majorEastAsia" w:hAnsiTheme="minorHAnsi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2066"/>
    <w:rPr>
      <w:rFonts w:asciiTheme="minorHAnsi" w:eastAsiaTheme="majorEastAsia" w:hAnsiTheme="minorHAnsi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2066"/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2066"/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2066"/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2066"/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020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0206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06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0206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F02066"/>
    <w:pPr>
      <w:spacing w:before="160" w:after="160"/>
      <w:jc w:val="center"/>
    </w:pPr>
    <w:rPr>
      <w:rFonts w:ascii="Arial" w:eastAsiaTheme="minorHAnsi" w:hAnsi="Arial" w:cs="Times New Roman (Body CS)"/>
      <w:i/>
      <w:iCs/>
      <w:color w:val="404040" w:themeColor="text1" w:themeTint="BF"/>
      <w:kern w:val="2"/>
      <w:sz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02066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F02066"/>
    <w:pPr>
      <w:ind w:left="720"/>
      <w:contextualSpacing/>
    </w:pPr>
    <w:rPr>
      <w:rFonts w:ascii="Arial" w:eastAsiaTheme="minorHAnsi" w:hAnsi="Arial" w:cs="Times New Roman (Body CS)"/>
      <w:kern w:val="2"/>
      <w:sz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020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0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eastAsiaTheme="minorHAnsi" w:hAnsi="Arial" w:cs="Times New Roman (Body CS)"/>
      <w:i/>
      <w:iCs/>
      <w:color w:val="0F4761" w:themeColor="accent1" w:themeShade="BF"/>
      <w:kern w:val="2"/>
      <w:sz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066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F020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4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34F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34FA"/>
    <w:rPr>
      <w:color w:val="800080"/>
      <w:u w:val="single"/>
    </w:rPr>
  </w:style>
  <w:style w:type="paragraph" w:customStyle="1" w:styleId="msonormal0">
    <w:name w:val="msonormal"/>
    <w:basedOn w:val="Normal"/>
    <w:rsid w:val="00AE34FA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AE34F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Normal"/>
    <w:rsid w:val="00AE34FA"/>
    <w:pP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5">
    <w:name w:val="xl65"/>
    <w:basedOn w:val="Normal"/>
    <w:rsid w:val="00AE34FA"/>
    <w:pPr>
      <w:shd w:val="clear" w:color="000000" w:fill="DCE6F1"/>
      <w:spacing w:before="100" w:beforeAutospacing="1" w:after="100" w:afterAutospacing="1"/>
    </w:pPr>
  </w:style>
  <w:style w:type="paragraph" w:customStyle="1" w:styleId="xl66">
    <w:name w:val="xl66"/>
    <w:basedOn w:val="Normal"/>
    <w:rsid w:val="00AE34FA"/>
    <w:pPr>
      <w:shd w:val="clear" w:color="000000" w:fill="F2DCDB"/>
      <w:spacing w:before="100" w:beforeAutospacing="1" w:after="100" w:afterAutospacing="1"/>
    </w:pPr>
  </w:style>
  <w:style w:type="paragraph" w:customStyle="1" w:styleId="xl67">
    <w:name w:val="xl67"/>
    <w:basedOn w:val="Normal"/>
    <w:rsid w:val="00AE34FA"/>
    <w:pPr>
      <w:shd w:val="clear" w:color="000000" w:fill="E4DFEC"/>
      <w:spacing w:before="100" w:beforeAutospacing="1" w:after="100" w:afterAutospacing="1"/>
    </w:pPr>
  </w:style>
  <w:style w:type="paragraph" w:customStyle="1" w:styleId="xl68">
    <w:name w:val="xl68"/>
    <w:basedOn w:val="Normal"/>
    <w:rsid w:val="00AE34FA"/>
    <w:pPr>
      <w:shd w:val="clear" w:color="000000" w:fill="DAEEF3"/>
      <w:spacing w:before="100" w:beforeAutospacing="1" w:after="100" w:afterAutospacing="1"/>
    </w:pPr>
  </w:style>
  <w:style w:type="paragraph" w:customStyle="1" w:styleId="xl69">
    <w:name w:val="xl69"/>
    <w:basedOn w:val="Normal"/>
    <w:rsid w:val="00AE34FA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Char"/>
    <w:rsid w:val="00540A99"/>
    <w:pPr>
      <w:jc w:val="center"/>
    </w:pPr>
    <w:rPr>
      <w:rFonts w:ascii="Arial" w:hAnsi="Arial" w:cs="Arial"/>
      <w:sz w:val="22"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40A99"/>
    <w:rPr>
      <w:rFonts w:eastAsia="Times New Roman" w:cs="Arial"/>
      <w:kern w:val="0"/>
      <w:lang w:val="en-GB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540A99"/>
    <w:rPr>
      <w:rFonts w:ascii="Arial" w:hAnsi="Arial" w:cs="Arial"/>
      <w:sz w:val="22"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540A99"/>
    <w:rPr>
      <w:rFonts w:eastAsia="Times New Roman" w:cs="Arial"/>
      <w:kern w:val="0"/>
      <w:lang w:val="en-GB"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40A99"/>
    <w:rPr>
      <w:color w:val="605E5C"/>
      <w:shd w:val="clear" w:color="auto" w:fill="E1DFDD"/>
    </w:rPr>
  </w:style>
  <w:style w:type="paragraph" w:customStyle="1" w:styleId="p1">
    <w:name w:val="p1"/>
    <w:basedOn w:val="Normal"/>
    <w:rsid w:val="0040326F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40326F"/>
  </w:style>
  <w:style w:type="character" w:styleId="CommentReference">
    <w:name w:val="annotation reference"/>
    <w:basedOn w:val="DefaultParagraphFont"/>
    <w:uiPriority w:val="99"/>
    <w:semiHidden/>
    <w:unhideWhenUsed/>
    <w:rsid w:val="005F17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17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172D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7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72D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Revision">
    <w:name w:val="Revision"/>
    <w:hidden/>
    <w:uiPriority w:val="99"/>
    <w:semiHidden/>
    <w:rsid w:val="00A67F37"/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138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hyperlink" Target="https://doi.org/10.1016/S2214-109X(24)00340-1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microsoft.com/office/2007/relationships/hdphoto" Target="media/hdphoto2.wdp"/><Relationship Id="rId17" Type="http://schemas.openxmlformats.org/officeDocument/2006/relationships/image" Target="media/image11.png"/><Relationship Id="rId25" Type="http://schemas.openxmlformats.org/officeDocument/2006/relationships/hyperlink" Target="https://doi.org/10.1038/s41541-025-01116-x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hyperlink" Target="https://doi.org/10.1016/S2214-109X(24)00282-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image" Target="media/image16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hyperlink" Target="https://BioRender.com/iwld9fj" TargetMode="External"/><Relationship Id="rId28" Type="http://schemas.openxmlformats.org/officeDocument/2006/relationships/hyperlink" Target="https://doi.org/https://doi.org/10.1016/S2214-109X(24)00281-X" TargetMode="External"/><Relationship Id="rId10" Type="http://schemas.microsoft.com/office/2007/relationships/hdphoto" Target="media/hdphoto1.wdp"/><Relationship Id="rId19" Type="http://schemas.microsoft.com/office/2007/relationships/hdphoto" Target="media/hdphoto3.wdp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hyperlink" Target="https://doi.org/10.1016/S2214-109X(24)00280-8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17</Pages>
  <Words>1893</Words>
  <Characters>10792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Gyaviira  Nkurunungi</dc:creator>
  <cp:keywords/>
  <dc:description/>
  <cp:lastModifiedBy>Gyaviira Nkurunungi</cp:lastModifiedBy>
  <cp:revision>11</cp:revision>
  <dcterms:created xsi:type="dcterms:W3CDTF">2026-07-20T16:40:00Z</dcterms:created>
  <dcterms:modified xsi:type="dcterms:W3CDTF">2026-07-22T12:17:00Z</dcterms:modified>
</cp:coreProperties>
</file>