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7849" w14:textId="77777777" w:rsidR="004254D4" w:rsidRDefault="004254D4" w:rsidP="004254D4">
      <w:pPr>
        <w:keepNext/>
        <w:spacing w:line="240" w:lineRule="auto"/>
      </w:pPr>
      <w:r>
        <w:rPr>
          <w:rFonts w:eastAsia="Times New Roman"/>
          <w:b/>
          <w:sz w:val="20"/>
        </w:rPr>
        <w:t>Table A1. Robustness and conclusion-change assessment</w:t>
      </w:r>
    </w:p>
    <w:tbl>
      <w:tblPr>
        <w:tblW w:w="0" w:type="auto"/>
        <w:jc w:val="center"/>
        <w:tblBorders>
          <w:top w:val="single" w:sz="2" w:space="0" w:color="AEB8C2"/>
          <w:left w:val="single" w:sz="2" w:space="0" w:color="AEB8C2"/>
          <w:bottom w:val="single" w:sz="2" w:space="0" w:color="AEB8C2"/>
          <w:right w:val="single" w:sz="2" w:space="0" w:color="AEB8C2"/>
          <w:insideH w:val="single" w:sz="2" w:space="0" w:color="AEB8C2"/>
          <w:insideV w:val="single" w:sz="2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1919"/>
        <w:gridCol w:w="1919"/>
        <w:gridCol w:w="1919"/>
        <w:gridCol w:w="1919"/>
        <w:gridCol w:w="1919"/>
      </w:tblGrid>
      <w:tr w:rsidR="004254D4" w14:paraId="5B8E330A" w14:textId="77777777" w:rsidTr="009E4DFB">
        <w:trPr>
          <w:tblHeader/>
          <w:jc w:val="center"/>
        </w:trPr>
        <w:tc>
          <w:tcPr>
            <w:tcW w:w="891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D4AF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3"/>
              </w:rPr>
              <w:t>robustness id</w:t>
            </w:r>
          </w:p>
        </w:tc>
        <w:tc>
          <w:tcPr>
            <w:tcW w:w="1919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25D7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3"/>
              </w:rPr>
              <w:t>test</w:t>
            </w:r>
          </w:p>
        </w:tc>
        <w:tc>
          <w:tcPr>
            <w:tcW w:w="1919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7A53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3"/>
              </w:rPr>
              <w:t>execution status</w:t>
            </w:r>
          </w:p>
        </w:tc>
        <w:tc>
          <w:tcPr>
            <w:tcW w:w="1919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A482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3"/>
              </w:rPr>
              <w:t>result</w:t>
            </w:r>
          </w:p>
        </w:tc>
        <w:tc>
          <w:tcPr>
            <w:tcW w:w="1919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E24A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3"/>
              </w:rPr>
              <w:t>key result</w:t>
            </w:r>
          </w:p>
        </w:tc>
        <w:tc>
          <w:tcPr>
            <w:tcW w:w="1919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2095E" w14:textId="77777777" w:rsidR="004254D4" w:rsidRDefault="004254D4" w:rsidP="009E4DFB">
            <w:r>
              <w:t>Interpretation limit</w:t>
            </w:r>
          </w:p>
        </w:tc>
      </w:tr>
      <w:tr w:rsidR="004254D4" w14:paraId="1B109AA0" w14:textId="77777777" w:rsidTr="009E4DFB">
        <w:trPr>
          <w:cantSplit/>
          <w:jc w:val="center"/>
        </w:trPr>
        <w:tc>
          <w:tcPr>
            <w:tcW w:w="8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8E2F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R1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72F5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Annual-report evidence only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0C75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PARTIAL_CONSERVATIVE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C5C9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STABLE_CORE_ORDERING_WITH_REDUCED_COVERAGE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94D7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230/240 cells evaluable; 10 non-AR positive cells treated as not evaluated, never zero.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EDAE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State that R1 is an evidence-source restriction, not a fresh human recode of annual reports.</w:t>
            </w:r>
          </w:p>
        </w:tc>
      </w:tr>
      <w:tr w:rsidR="004254D4" w14:paraId="6F5285DA" w14:textId="77777777" w:rsidTr="009E4DFB">
        <w:trPr>
          <w:cantSplit/>
          <w:jc w:val="center"/>
        </w:trPr>
        <w:tc>
          <w:tcPr>
            <w:tcW w:w="89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8A34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R2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C824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Ordinal and binary thresholds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ED36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EXECUTED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2038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STABLE_DOMAIN_ORDERING_BUT_TYPOLOGY_WEAKENED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ECA8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Lowest &gt;=2 domain(s): D08; highest =3 domain(s): D04; named categories change between &gt;=2 and =3.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B9CF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Report non-exclusive bundles; do not retain a named mutually exclusive typology.</w:t>
            </w:r>
          </w:p>
        </w:tc>
      </w:tr>
      <w:tr w:rsidR="004254D4" w14:paraId="53A61F60" w14:textId="77777777" w:rsidTr="009E4DFB">
        <w:trPr>
          <w:cantSplit/>
          <w:jc w:val="center"/>
        </w:trPr>
        <w:tc>
          <w:tcPr>
            <w:tcW w:w="8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5E44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R3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3107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Uncertain-case exclusion and alternatives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AB60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EXECUTED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6623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STABLE_CENTRAL_ORDERING_WITH_COUNT_CHANGE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1D35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28 cells tested; broad &gt;=2 profile changes from 14/24 to 13/24 under simultaneous alternatives.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636E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Give ranges where a configuration count changes; retain all adverse alternatives.</w:t>
            </w:r>
          </w:p>
        </w:tc>
      </w:tr>
      <w:tr w:rsidR="004254D4" w14:paraId="0A8FB8ED" w14:textId="77777777" w:rsidTr="009E4DFB">
        <w:trPr>
          <w:cantSplit/>
          <w:jc w:val="center"/>
        </w:trPr>
        <w:tc>
          <w:tcPr>
            <w:tcW w:w="89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E9AB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R4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1329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Leave-one-firm-out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ED73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EXECUTED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27B3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STABLE_CENTRAL_DOMAIN_ORDERING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EF0D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D08 remains among the lowest &gt;=2 domains in all removals=True; D04 remains among the highest =3 domains in all removals=True.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915A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Keep sector language descriptive and retain n=6; no population inference.</w:t>
            </w:r>
          </w:p>
        </w:tc>
      </w:tr>
      <w:tr w:rsidR="004254D4" w14:paraId="77D6A7EB" w14:textId="77777777" w:rsidTr="009E4DFB">
        <w:trPr>
          <w:cantSplit/>
          <w:jc w:val="center"/>
        </w:trPr>
        <w:tc>
          <w:tcPr>
            <w:tcW w:w="8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6241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R5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3E8A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Document density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0A45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EXECUTED_WITH_CONFOUNDING_LIMIT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D390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INCONCLUSIVE_SECTOR_CONFOUNDED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1ADD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Spearman rho=-0.301; two-sided permutation p=0.1556; all multi-source firms are in Energy.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5F07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Treat source opportunity as a design limitation; make no causal or adjusted sector claim.</w:t>
            </w:r>
          </w:p>
        </w:tc>
      </w:tr>
      <w:tr w:rsidR="004254D4" w14:paraId="576CD290" w14:textId="77777777" w:rsidTr="009E4DFB">
        <w:trPr>
          <w:cantSplit/>
          <w:jc w:val="center"/>
        </w:trPr>
        <w:tc>
          <w:tcPr>
            <w:tcW w:w="89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4E67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R6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A6C6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Exclude explicitly cyber-only evidence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E5B7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EXECUTED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8405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WEAKENED_BREADTH_CLAIM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A495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149/228 non-zero cells classified cyber-only; 91/240 cells remain evaluable and 1/24 firm profiles remain complete.</w:t>
            </w:r>
          </w:p>
        </w:tc>
        <w:tc>
          <w:tcPr>
            <w:tcW w:w="1919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B62E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Characterize the observed governance evidence as predominantly cyber/information-security mediated; do not claim balanced coverage of corporate security.</w:t>
            </w:r>
          </w:p>
        </w:tc>
      </w:tr>
      <w:tr w:rsidR="004254D4" w14:paraId="5F98F3E6" w14:textId="77777777" w:rsidTr="009E4DFB">
        <w:trPr>
          <w:cantSplit/>
          <w:jc w:val="center"/>
        </w:trPr>
        <w:tc>
          <w:tcPr>
            <w:tcW w:w="8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6B81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R7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0A1F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Unweighted diagnostic composite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2849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EXECUTED_DIAGNOSTIC_ONLY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5FC2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NOT_A_PRIMARY_RESULT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7802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Used only for R5 association; no firm-level composite table, ordering, or ranking is produced.</w:t>
            </w:r>
          </w:p>
        </w:tc>
        <w:tc>
          <w:tcPr>
            <w:tcW w:w="19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CD23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3"/>
              </w:rPr>
              <w:t>Call it disclosure-specificity summary and keep it outside primary findings.</w:t>
            </w:r>
          </w:p>
        </w:tc>
      </w:tr>
    </w:tbl>
    <w:p w14:paraId="09D1A4B0" w14:textId="77777777" w:rsidR="004254D4" w:rsidRDefault="004254D4" w:rsidP="004254D4">
      <w:pPr>
        <w:spacing w:before="60" w:line="240" w:lineRule="auto"/>
      </w:pPr>
      <w:r>
        <w:rPr>
          <w:rFonts w:ascii="Arial" w:eastAsia="Arial" w:hAnsi="Arial"/>
          <w:i/>
          <w:color w:val="5B6570"/>
          <w:sz w:val="15"/>
        </w:rPr>
        <w:t>Note. Codes describe public-disclosure specificity only; code 0 means not disclosed in the reviewed corpus.</w:t>
      </w:r>
    </w:p>
    <w:p w14:paraId="4AA79727" w14:textId="77777777" w:rsidR="004254D4" w:rsidRDefault="004254D4" w:rsidP="004254D4">
      <w:pPr>
        <w:sectPr w:rsidR="004254D4" w:rsidSect="004254D4">
          <w:pgSz w:w="16838" w:h="11906" w:orient="landscape"/>
          <w:pgMar w:top="964" w:right="964" w:bottom="964" w:left="964" w:header="504" w:footer="504" w:gutter="0"/>
          <w:cols w:space="720"/>
          <w:docGrid w:linePitch="360"/>
        </w:sectPr>
      </w:pPr>
    </w:p>
    <w:p w14:paraId="1A5E9B3F" w14:textId="77777777" w:rsidR="004254D4" w:rsidRDefault="004254D4" w:rsidP="004254D4">
      <w:pPr>
        <w:keepNext/>
        <w:spacing w:line="240" w:lineRule="auto"/>
      </w:pPr>
      <w:r>
        <w:rPr>
          <w:rFonts w:eastAsia="Times New Roman"/>
          <w:b/>
          <w:sz w:val="20"/>
        </w:rPr>
        <w:lastRenderedPageBreak/>
        <w:t>Table A2. Uncertainty and alternative-code sensitivity</w:t>
      </w:r>
    </w:p>
    <w:tbl>
      <w:tblPr>
        <w:tblW w:w="0" w:type="auto"/>
        <w:jc w:val="center"/>
        <w:tblBorders>
          <w:top w:val="single" w:sz="2" w:space="0" w:color="AEB8C2"/>
          <w:left w:val="single" w:sz="2" w:space="0" w:color="AEB8C2"/>
          <w:bottom w:val="single" w:sz="2" w:space="0" w:color="AEB8C2"/>
          <w:right w:val="single" w:sz="2" w:space="0" w:color="AEB8C2"/>
          <w:insideH w:val="single" w:sz="2" w:space="0" w:color="AEB8C2"/>
          <w:insideV w:val="single" w:sz="2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487"/>
        <w:gridCol w:w="487"/>
        <w:gridCol w:w="626"/>
        <w:gridCol w:w="1113"/>
        <w:gridCol w:w="1113"/>
        <w:gridCol w:w="626"/>
        <w:gridCol w:w="1948"/>
        <w:gridCol w:w="1948"/>
        <w:gridCol w:w="1530"/>
        <w:gridCol w:w="347"/>
        <w:gridCol w:w="1461"/>
        <w:gridCol w:w="1466"/>
      </w:tblGrid>
      <w:tr w:rsidR="004254D4" w14:paraId="6C1946C2" w14:textId="77777777" w:rsidTr="009E4DFB">
        <w:trPr>
          <w:tblHeader/>
          <w:jc w:val="center"/>
        </w:trPr>
        <w:tc>
          <w:tcPr>
            <w:tcW w:w="835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67ED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ambiguity id</w:t>
            </w:r>
          </w:p>
        </w:tc>
        <w:tc>
          <w:tcPr>
            <w:tcW w:w="487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C54A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cell id</w:t>
            </w:r>
          </w:p>
        </w:tc>
        <w:tc>
          <w:tcPr>
            <w:tcW w:w="487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9132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firm id</w:t>
            </w:r>
          </w:p>
        </w:tc>
        <w:tc>
          <w:tcPr>
            <w:tcW w:w="626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1139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domain id</w:t>
            </w:r>
          </w:p>
        </w:tc>
        <w:tc>
          <w:tcPr>
            <w:tcW w:w="1113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95FE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human final code</w:t>
            </w:r>
          </w:p>
        </w:tc>
        <w:tc>
          <w:tcPr>
            <w:tcW w:w="1113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0BE8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alternative code</w:t>
            </w:r>
          </w:p>
        </w:tc>
        <w:tc>
          <w:tcPr>
            <w:tcW w:w="626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99E2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source id</w:t>
            </w:r>
          </w:p>
        </w:tc>
        <w:tc>
          <w:tcPr>
            <w:tcW w:w="1948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4191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sector</w:t>
            </w:r>
          </w:p>
        </w:tc>
        <w:tc>
          <w:tcPr>
            <w:tcW w:w="1948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3CE5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domain</w:t>
            </w:r>
          </w:p>
        </w:tc>
        <w:tc>
          <w:tcPr>
            <w:tcW w:w="1530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0B06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document type</w:t>
            </w:r>
          </w:p>
        </w:tc>
        <w:tc>
          <w:tcPr>
            <w:tcW w:w="347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C71D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delta</w:t>
            </w:r>
          </w:p>
        </w:tc>
        <w:tc>
          <w:tcPr>
            <w:tcW w:w="1461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7A92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crosses ge2 threshold</w:t>
            </w:r>
          </w:p>
        </w:tc>
        <w:tc>
          <w:tcPr>
            <w:tcW w:w="1466" w:type="dxa"/>
            <w:shd w:val="clear" w:color="auto" w:fill="17324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146E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b/>
                <w:color w:val="FFFFFF"/>
                <w:sz w:val="12"/>
              </w:rPr>
              <w:t>crosses eq3 threshold</w:t>
            </w:r>
          </w:p>
        </w:tc>
      </w:tr>
      <w:tr w:rsidR="004254D4" w14:paraId="7FA1D1AC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C67A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AMB-001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1502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F03-D05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CC3E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3752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D05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2B1B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86AB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2888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F03-AR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D918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45E4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Incident escalation and learning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298C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CA86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40B5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3153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7BFD9F97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5BF1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AMB-002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0250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F09-D03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9516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4269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D03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A6B9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D705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0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CA61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B627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E5BD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Security-function architecture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5CEF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2031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C9EE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819A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6160FD2B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0685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AMB-003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F3DB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F09-D05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0C36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5C39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D05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DBBB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7545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B66E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832F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90A2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Incident escalation and learning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71F6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CBD2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29D3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5815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039C1F3A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D3B6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AMB-004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DB88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F09-D06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C535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694C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D06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5DA5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67C8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4D63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A96C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837B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Assurance and audit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E9AC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4DE0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741B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0A44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1AD30BD3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6B43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AMB-005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C41A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F09-D08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05D5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8D39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D08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A995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A0CC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9FF0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F09-AR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947E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7F74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Third-party governance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7406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DA94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49D3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FB08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040A67BD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951A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AMB-006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E4FC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F23-D07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6820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F23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6CAA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D07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9B53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A20E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D1C8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F23-AR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CDAE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Banking / financial market infrastructure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6760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Workforce and culture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BE27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B879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D3A3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0319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72BB0259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A6BE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AMB4-001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9E67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F01-D08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A440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F01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FDB1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D08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4DD7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01AF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6F9D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F01-AR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BF9A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59D9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Third-party governance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B717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D94C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0DA3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FBCC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4C621952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6168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AMB4-002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B1F2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F02-D08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7A49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F02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1106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D08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E96B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96BE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E8E2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F02-AR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088A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7F6C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Third-party governance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3882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B727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457A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3FEC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6AE4B065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2306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AMB4-003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7186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F04-D01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F605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F04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EA87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D01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0C68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DDE6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AAED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F04-AR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29DF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2CC1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Board oversight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D8E5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B5C2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C14B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4BA8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591FF621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00D7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AMB4-004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2B64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F04-D10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68B6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F04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F5D5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D10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D9C4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1A51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8286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F04-AR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282E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3E9E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Metrics and reporting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1EA1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D2DC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-2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2B79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AC6F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7D5962B2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2284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AMB4-005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F1E6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F05-D01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E389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F187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D01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B160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8E13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59AB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CD86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7190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Board oversight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6DB3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461A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36F5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2C8A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46CF2217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C3C4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AMB4-006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236B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F05-D06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9845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6B52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D06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F7D5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76D7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F03F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7C1E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72E2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Assurance and audit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1BF6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9496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1027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7EB6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71C6D5DD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BAB5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AMB4-007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9F4E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F05-D10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57E9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6289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D10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F27F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D91D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0ADC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F05-AR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7D93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Energy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469E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Metrics and reporting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047E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2E8C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8997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46A8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1D15F6F9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77AF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AMB4-008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637E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F07-D09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BFD8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F07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9DEA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D09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EEEB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840E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F1C7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F07-AR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3B15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6FB3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Continuity and resilience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172E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2120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9CDD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B69C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1040B444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075B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AMB4-009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0BD5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F10-D02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D17C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F10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7528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6701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71B2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9066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F10-AR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84EF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A9C5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Executive accountability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BC4E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E17A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E48F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3249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4A2B27A9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059A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AMB4-010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BA04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F11-D01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F8F8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193B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D01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DC33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774C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858B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0AE4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A205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Board oversight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6DDC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6FC0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F5F2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12CA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49CC66B7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D572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AMB4-011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6894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F11-D06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D558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671E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D06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DB48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30BD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0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AE3F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7796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950F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Assurance and audit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4DB5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E915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B559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F02D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223A361F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D634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AMB4-012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7859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F11-D10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D056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499C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D10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B657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F824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5E30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F11-AR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2E8A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3D3C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Metrics and reporting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FC72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8829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740C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E309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2CE89BC0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AF81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AMB4-013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C400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F12-D01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0424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F12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C58F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D01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CEEA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BE24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5337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F12-AR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4E68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C91A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Board oversight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C678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C277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2EB6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CB85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368F6BEE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BECC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AMB4-014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7EBA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F12-D06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76F3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F12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2176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D06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97C0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0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8D53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783F4" w14:textId="77777777" w:rsidR="004254D4" w:rsidRDefault="004254D4" w:rsidP="009E4DFB">
            <w:pPr>
              <w:spacing w:line="240" w:lineRule="auto"/>
            </w:pP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E089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Transport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CB11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Assurance and audit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1D10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NO_QUALIFYING_EVIDENCE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E1E4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BED2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67BF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4D3A90DE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C6D3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AMB4-015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5D89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F13-D08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26F3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0AB4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D08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8968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3355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35B2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F13-AR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D82C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Digital infrastructure / electronic communications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EACF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Third-party governance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E3AB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EBCF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53F8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3F7E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38D5D378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46BB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AMB4-016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53ED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F13-D10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9C05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F13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570F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D10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BDB8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0653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7ACC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F13-AR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CE25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Digital infrastructure / electronic communications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390A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Metrics and reporting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10BD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11C2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-1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1586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98AF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48C3EE93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E67F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AMB4-017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7C34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F15-D08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C46F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F15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ABA5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D08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C2C5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E0C6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E9C7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F15-AR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655C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Digital infrastructure / electronic communications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5B97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Third-party governance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9D67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555F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0C50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413A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3B252C44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45A9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lastRenderedPageBreak/>
              <w:t>AMB4-018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5115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F18-D08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86FA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F18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F791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D08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515A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CD7F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654A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F18-AR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A8BC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Digital infrastructure / electronic communications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0DD2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Third-party governance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02FC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6AC2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6541E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5CC8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733E5040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00E0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AMB4-019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7473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F20-D02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4AC1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F20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A489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FB41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C3A5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6AB4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F20-AR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5283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Banking / financial market infrastructure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3CD7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Executive accountability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F57F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EFFA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3018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ED5D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517D9C94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99B7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AMB4-020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DF39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F21-D02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65C5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06A7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1256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3E56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3D71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E615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Banking / financial market infrastructure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875D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Executive accountability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D4D9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5575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4902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A0E9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</w:tr>
      <w:tr w:rsidR="004254D4" w14:paraId="777C1147" w14:textId="77777777" w:rsidTr="009E4DFB">
        <w:trPr>
          <w:cantSplit/>
          <w:jc w:val="center"/>
        </w:trPr>
        <w:tc>
          <w:tcPr>
            <w:tcW w:w="8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CB3C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AMB4-021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8D2B9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F21-D03</w:t>
            </w:r>
          </w:p>
        </w:tc>
        <w:tc>
          <w:tcPr>
            <w:tcW w:w="4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8D45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7760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D03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7FBF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A955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F02B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F21-AR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717F8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Banking / financial market infrastructure</w:t>
            </w:r>
          </w:p>
        </w:tc>
        <w:tc>
          <w:tcPr>
            <w:tcW w:w="19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F4C8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Security-function architecture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6A84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3C86D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CBC6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4040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  <w:tr w:rsidR="004254D4" w14:paraId="7C3974A1" w14:textId="77777777" w:rsidTr="009E4DFB">
        <w:trPr>
          <w:cantSplit/>
          <w:jc w:val="center"/>
        </w:trPr>
        <w:tc>
          <w:tcPr>
            <w:tcW w:w="835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FD796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AMB4-022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E8D02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F21-D10</w:t>
            </w:r>
          </w:p>
        </w:tc>
        <w:tc>
          <w:tcPr>
            <w:tcW w:w="48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42E6A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56430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D10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14A73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2</w:t>
            </w:r>
          </w:p>
        </w:tc>
        <w:tc>
          <w:tcPr>
            <w:tcW w:w="1113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1DC6B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3</w:t>
            </w:r>
          </w:p>
        </w:tc>
        <w:tc>
          <w:tcPr>
            <w:tcW w:w="62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1C905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F21-AR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9779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Banking / financial market infrastructure</w:t>
            </w:r>
          </w:p>
        </w:tc>
        <w:tc>
          <w:tcPr>
            <w:tcW w:w="1948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EC814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Metrics and reporting</w:t>
            </w:r>
          </w:p>
        </w:tc>
        <w:tc>
          <w:tcPr>
            <w:tcW w:w="1530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EA5BF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AR</w:t>
            </w:r>
          </w:p>
        </w:tc>
        <w:tc>
          <w:tcPr>
            <w:tcW w:w="347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97251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1</w:t>
            </w:r>
          </w:p>
        </w:tc>
        <w:tc>
          <w:tcPr>
            <w:tcW w:w="1461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376C7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False</w:t>
            </w:r>
          </w:p>
        </w:tc>
        <w:tc>
          <w:tcPr>
            <w:tcW w:w="1466" w:type="dxa"/>
            <w:shd w:val="clear" w:color="auto" w:fill="F2F4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0729C" w14:textId="77777777" w:rsidR="004254D4" w:rsidRDefault="004254D4" w:rsidP="009E4DFB">
            <w:pPr>
              <w:spacing w:line="240" w:lineRule="auto"/>
            </w:pPr>
            <w:r>
              <w:rPr>
                <w:rFonts w:ascii="Arial" w:eastAsia="Arial" w:hAnsi="Arial"/>
                <w:sz w:val="12"/>
              </w:rPr>
              <w:t>True</w:t>
            </w:r>
          </w:p>
        </w:tc>
      </w:tr>
    </w:tbl>
    <w:p w14:paraId="433C39E7" w14:textId="77777777" w:rsidR="004254D4" w:rsidRDefault="004254D4" w:rsidP="004254D4">
      <w:pPr>
        <w:spacing w:before="60" w:line="240" w:lineRule="auto"/>
      </w:pPr>
      <w:r>
        <w:rPr>
          <w:rFonts w:ascii="Arial" w:eastAsia="Arial" w:hAnsi="Arial"/>
          <w:i/>
          <w:color w:val="5B6570"/>
          <w:sz w:val="15"/>
        </w:rPr>
        <w:t>Note. Codes describe public-disclosure specificity only; code 0 means not disclosed in the reviewed corpus.</w:t>
      </w:r>
    </w:p>
    <w:p w14:paraId="11761B48" w14:textId="77777777" w:rsidR="009542D6" w:rsidRDefault="009542D6"/>
    <w:sectPr w:rsidR="009542D6" w:rsidSect="004254D4">
      <w:pgSz w:w="16838" w:h="11906" w:orient="landscape"/>
      <w:pgMar w:top="964" w:right="964" w:bottom="964" w:left="96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D4"/>
    <w:rsid w:val="00264C10"/>
    <w:rsid w:val="004254D4"/>
    <w:rsid w:val="00470242"/>
    <w:rsid w:val="00726E03"/>
    <w:rsid w:val="00830CF1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243E9"/>
  <w15:chartTrackingRefBased/>
  <w15:docId w15:val="{1219E6BA-5A8C-44BF-8A04-5E995879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4D4"/>
    <w:pPr>
      <w:spacing w:after="0" w:line="480" w:lineRule="auto"/>
    </w:pPr>
    <w:rPr>
      <w:rFonts w:ascii="Times New Roman" w:hAnsi="Times New Roman"/>
      <w:color w:val="1F2937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54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4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4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4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4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4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4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4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4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4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4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4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4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4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4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4D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5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4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5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4D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54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4D4"/>
    <w:pPr>
      <w:spacing w:after="160" w:line="278" w:lineRule="auto"/>
      <w:ind w:left="720"/>
      <w:contextualSpacing/>
    </w:pPr>
    <w:rPr>
      <w:rFonts w:asciiTheme="minorHAnsi" w:hAnsiTheme="minorHAnsi"/>
      <w:color w:val="auto"/>
      <w:kern w:val="2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54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4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4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2026-10-06T14:57:00Z</dcterms:created>
  <dcterms:modified xsi:type="dcterms:W3CDTF">2026-10-06T14:58:00Z</dcterms:modified>
</cp:coreProperties>
</file>