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4A20D0">
      <w:pPr>
        <w:spacing w:after="60"/>
        <w:jc w:val="center"/>
        <w:rPr>
          <w:rFonts w:hint="default" w:ascii="Times New Roman" w:hAnsi="Times New Roman" w:cs="Times New Roman"/>
          <w:color w:val="auto"/>
          <w:sz w:val="22"/>
          <w:szCs w:val="22"/>
        </w:rPr>
      </w:pPr>
      <w:r>
        <w:rPr>
          <w:rFonts w:hint="default" w:ascii="Times New Roman" w:hAnsi="Times New Roman" w:eastAsia="黑体" w:cs="Times New Roman"/>
          <w:b/>
          <w:color w:val="auto"/>
          <w:sz w:val="40"/>
          <w:szCs w:val="22"/>
        </w:rPr>
        <w:t>MSES</w:t>
      </w:r>
      <w:bookmarkStart w:id="0" w:name="_GoBack"/>
      <w:bookmarkEnd w:id="0"/>
      <w:r>
        <w:rPr>
          <w:rFonts w:hint="default" w:ascii="Times New Roman" w:hAnsi="Times New Roman" w:eastAsia="黑体" w:cs="Times New Roman"/>
          <w:b/>
          <w:color w:val="auto"/>
          <w:sz w:val="40"/>
          <w:szCs w:val="22"/>
        </w:rPr>
        <w:t>M3. Variable Codebook, Questionnaire Mapping, and Replication Notes</w:t>
      </w:r>
    </w:p>
    <w:p w14:paraId="16BE4AFB">
      <w:pPr>
        <w:keepNext w:val="0"/>
        <w:keepLines w:val="0"/>
        <w:pageBreakBefore w:val="0"/>
        <w:widowControl/>
        <w:kinsoku/>
        <w:wordWrap/>
        <w:overflowPunct/>
        <w:topLinePunct w:val="0"/>
        <w:autoSpaceDE/>
        <w:autoSpaceDN/>
        <w:bidi w:val="0"/>
        <w:adjustRightInd/>
        <w:snapToGrid/>
        <w:spacing w:before="181" w:beforeLines="50" w:after="0" w:line="240" w:lineRule="auto"/>
        <w:ind w:firstLine="440" w:firstLineChars="200"/>
        <w:textAlignment w:val="auto"/>
        <w:rPr>
          <w:rFonts w:hint="default" w:ascii="Times New Roman" w:hAnsi="Times New Roman" w:cs="Times New Roman"/>
          <w:color w:val="auto"/>
        </w:rPr>
      </w:pPr>
      <w:r>
        <w:rPr>
          <w:rFonts w:hint="default" w:ascii="Times New Roman" w:hAnsi="Times New Roman" w:cs="Times New Roman"/>
          <w:color w:val="auto"/>
        </w:rPr>
        <w:t>The cleaned dataset in MSESM2 contains 1,475 observations and 30 columns. It retains only variables used in the manuscript descriptive table and empirical models, including generated interaction terms needed for Tables 3-6.</w:t>
      </w:r>
    </w:p>
    <w:p w14:paraId="42E9B42A">
      <w:pPr>
        <w:pStyle w:val="3"/>
        <w:jc w:val="center"/>
        <w:rPr>
          <w:rFonts w:hint="default" w:ascii="Times New Roman" w:hAnsi="Times New Roman" w:cs="Times New Roman"/>
          <w:color w:val="auto"/>
        </w:rPr>
      </w:pPr>
      <w:r>
        <w:rPr>
          <w:rFonts w:hint="default" w:ascii="Times New Roman" w:hAnsi="Times New Roman" w:cs="Times New Roman"/>
          <w:color w:val="auto"/>
        </w:rPr>
        <w:t>Variable Codebook</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41"/>
        <w:gridCol w:w="1847"/>
        <w:gridCol w:w="1169"/>
        <w:gridCol w:w="2368"/>
        <w:gridCol w:w="1054"/>
      </w:tblGrid>
      <w:tr w14:paraId="6F550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single" w:color="000000" w:sz="12" w:space="0"/>
              <w:left w:val="nil"/>
              <w:bottom w:val="single" w:color="000000" w:sz="4" w:space="0"/>
              <w:right w:val="nil"/>
              <w:tl2br w:val="nil"/>
            </w:tcBorders>
            <w:shd w:val="clear" w:color="auto" w:fill="FFFFFF"/>
            <w:tcMar>
              <w:top w:w="80" w:type="dxa"/>
              <w:left w:w="120" w:type="dxa"/>
              <w:bottom w:w="80" w:type="dxa"/>
              <w:right w:w="120" w:type="dxa"/>
            </w:tcMar>
            <w:vAlign w:val="center"/>
          </w:tcPr>
          <w:p w14:paraId="0D0C8269">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English label</w:t>
            </w:r>
          </w:p>
        </w:tc>
        <w:tc>
          <w:tcPr>
            <w:tcW w:w="1847"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610A3ED3">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Role</w:t>
            </w:r>
          </w:p>
        </w:tc>
        <w:tc>
          <w:tcPr>
            <w:tcW w:w="1169"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570D2B78">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Question/item</w:t>
            </w:r>
          </w:p>
        </w:tc>
        <w:tc>
          <w:tcPr>
            <w:tcW w:w="2368"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4E87636F">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Coding / construction</w:t>
            </w:r>
          </w:p>
        </w:tc>
        <w:tc>
          <w:tcPr>
            <w:tcW w:w="1054"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51CAC35C">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Used in</w:t>
            </w:r>
          </w:p>
        </w:tc>
      </w:tr>
      <w:tr w14:paraId="70BB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18CC54D3">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IPM adoption decision</w:t>
            </w:r>
          </w:p>
        </w:tc>
        <w:tc>
          <w:tcPr>
            <w:tcW w:w="1847"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561F0D6D">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Dependent variable</w:t>
            </w:r>
          </w:p>
        </w:tc>
        <w:tc>
          <w:tcPr>
            <w:tcW w:w="1169"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23A9F33A">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Q24</w:t>
            </w:r>
          </w:p>
        </w:tc>
        <w:tc>
          <w:tcPr>
            <w:tcW w:w="2368"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20F51326">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1 = farmer adopted IPM; 0 = otherwise.</w:t>
            </w:r>
          </w:p>
        </w:tc>
        <w:tc>
          <w:tcPr>
            <w:tcW w:w="1054"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75298EC0">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 2, 3, 5</w:t>
            </w:r>
          </w:p>
        </w:tc>
      </w:tr>
      <w:tr w14:paraId="0F5E9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1754C6E5">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IPM adoption intensity</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36C06C15">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Dependent variable</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0D7178FF">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Q24</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1658EC75">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Share of planting area using IPM technology.</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5163F631">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 2, 4, 6</w:t>
            </w:r>
          </w:p>
        </w:tc>
      </w:tr>
      <w:tr w14:paraId="4E09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7710427B">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Deep ploughing service</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739EFB3F">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Core explanatory variable</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0A6A97CD">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Q27</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48BE6B57">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1 = household used deep ploughing outsourcing service; 0 = otherwise.</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359CBD40">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1-6</w:t>
            </w:r>
          </w:p>
        </w:tc>
      </w:tr>
      <w:tr w14:paraId="03A7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73670366">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Fertilization and pesticide application service</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0F45D19A">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Core explanatory variable</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0617F1B7">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Q27</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1569EAD1">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1 = household used fertilization/application outsourcing service; 0 = otherwise.</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673D6C04">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1-6</w:t>
            </w:r>
          </w:p>
        </w:tc>
      </w:tr>
      <w:tr w14:paraId="74B22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640B2370">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Pollination service</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15DBD262">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Core explanatory variable</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61E082CC">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Q27</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390702EE">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1 = household used pollination outsourcing service; 0 = otherwise.</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2EA38B62">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1-6</w:t>
            </w:r>
          </w:p>
        </w:tc>
      </w:tr>
      <w:tr w14:paraId="2071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7FBF7EA5">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Picking/harvesting service</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213B9893">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Core explanatory variable</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6B314951">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Q27</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1799D9D6">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1 = household used picking/harvesting outsourcing service; 0 = otherwise.</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7617320E">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1-6</w:t>
            </w:r>
          </w:p>
        </w:tc>
      </w:tr>
      <w:tr w14:paraId="64CF1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666142C9">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Plastic mulching service</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75DF36DD">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Core explanatory variable</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583D1244">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Q27</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7204C547">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1 = household used plastic mulching outsourcing service; 0 = otherwise.</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0BFF5B5C">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1-6</w:t>
            </w:r>
          </w:p>
        </w:tc>
      </w:tr>
      <w:tr w14:paraId="3DD0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2B1D719D">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Village collective action</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226442A9">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Moderator</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6242A04A">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Q77</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13C9F1C5">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Annual/frequency measure of participation in village collective activities.</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6438A682">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 3, 4</w:t>
            </w:r>
          </w:p>
        </w:tc>
      </w:tr>
      <w:tr w14:paraId="095DE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379D05BB">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Agricultural machinery purchase subsidy</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4CEBA085">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Moderator</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5CEB711B">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Q75</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5E4D1FE5">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1 = household received machinery purchase subsidy; 0 = otherwise.</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39957A70">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 5, 6</w:t>
            </w:r>
          </w:p>
        </w:tc>
      </w:tr>
      <w:tr w14:paraId="31EC3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357804F9">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Gender</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3CCEC23B">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Control</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5AC8D3CC">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Q1</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67C2FD3F">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Gender of household head/respondent; coding follows dataset.</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33657D45">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 2, 3, 4, 5, 6</w:t>
            </w:r>
          </w:p>
        </w:tc>
      </w:tr>
      <w:tr w14:paraId="35FE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55815428">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Age</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70EC9461">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Control</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422468FD">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Q1</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7F790947">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Age of household head/respondent in years.</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49EF1A09">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 2, 3, 4, 5, 6</w:t>
            </w:r>
          </w:p>
        </w:tc>
      </w:tr>
      <w:tr w14:paraId="6B103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01524262">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Education</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3F846705">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Control</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7B80D7BB">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Q1</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2EC41C9A">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Years of schooling/education.</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69CDFB4B">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 2, 3, 4, 5, 6</w:t>
            </w:r>
          </w:p>
        </w:tc>
      </w:tr>
      <w:tr w14:paraId="2CDA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07798B76">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Farming experience</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721DC708">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Control</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3CCA2663">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Q2</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2F90DD96">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Years engaged in agricultural production.</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154294D4">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 2, 3, 4, 5, 6</w:t>
            </w:r>
          </w:p>
        </w:tc>
      </w:tr>
      <w:tr w14:paraId="75CF5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0F34C3EB">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Party member/village cadre</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1D4CC722">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Control</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0239B392">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Q4</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74657AED">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1 = household has a party member or village cadre; 0 = otherwise.</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4537E1CD">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 2, 3, 4, 5, 6</w:t>
            </w:r>
          </w:p>
        </w:tc>
      </w:tr>
      <w:tr w14:paraId="18BBE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35A70B20">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Agricultural training</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438697AF">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Control</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303318C7">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Q71/Q72</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3A924D39">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1 = household participated in agricultural technology training; 0 = otherwise.</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5C23CBCD">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 2, 3, 4, 5, 6</w:t>
            </w:r>
          </w:p>
        </w:tc>
      </w:tr>
      <w:tr w14:paraId="18FA9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10EC0544">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Agricultural insurance</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77CBD281">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Control</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06A3AA41">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Q8</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083388F9">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1 = household purchased agricultural insurance; 0 = otherwise.</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3E5A0FF8">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 2, 3, 4, 5, 6</w:t>
            </w:r>
          </w:p>
        </w:tc>
      </w:tr>
      <w:tr w14:paraId="1EEE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7058DAAB">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Soil quality</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7F3135F5">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Control</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45E264E3">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Q21</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39163409">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Self-reported soil quality; 1 = very bad to 5 = very good.</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6874F6F5">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 2, 3, 4, 5, 6</w:t>
            </w:r>
          </w:p>
        </w:tc>
      </w:tr>
      <w:tr w14:paraId="6445A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11A89B89">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Irrigation condition</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45A81010">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Control</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67626CB2">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Q21</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7542F503">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Self-reported irrigation condition; 1 = very bad to 5 = very good.</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729A22A5">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 2, 3, 4, 5, 6</w:t>
            </w:r>
          </w:p>
        </w:tc>
      </w:tr>
      <w:tr w14:paraId="4D4DC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089D6F8C">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Shanxi dummy</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200EAA3E">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Regional control</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1F46EE26">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Survey location</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11659BD7">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1 = observation from Shanxi; 0 = otherwise.</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549A65B5">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 2, 3, 4, 5, 6</w:t>
            </w:r>
          </w:p>
        </w:tc>
      </w:tr>
      <w:tr w14:paraId="23A1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49EC0DB7">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Shaanxi dummy</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78345AB5">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Regional control</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3A1F6D77">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Survey location</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70F333B2">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1 = observation from Shaanxi; 0 = otherwise. Shandong is the reference group.</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7C6BF36D">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1, 2, 3, 4, 5, 6</w:t>
            </w:r>
          </w:p>
        </w:tc>
      </w:tr>
      <w:tr w14:paraId="433CE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2720062D">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 xml:space="preserve">Deep ploughing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collective action</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2A5B80BD">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Generated interaction</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25EC51B8">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Derived</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530F2ADA">
            <w:pPr>
              <w:spacing w:after="0"/>
              <w:jc w:val="center"/>
              <w:rPr>
                <w:rFonts w:hint="default" w:ascii="Times New Roman" w:hAnsi="Times New Roman" w:eastAsia="宋体" w:cs="Times New Roman"/>
                <w:b w:val="0"/>
                <w:color w:val="000000"/>
                <w:sz w:val="22"/>
                <w:szCs w:val="22"/>
                <w:lang w:val="en-US" w:eastAsia="en-US" w:bidi="ar-SA"/>
              </w:rPr>
            </w:pPr>
            <w:r>
              <w:rPr>
                <w:rFonts w:hint="default" w:ascii="Times New Roman" w:hAnsi="Times New Roman" w:eastAsia="宋体" w:cs="Times New Roman"/>
                <w:b w:val="0"/>
                <w:color w:val="000000"/>
                <w:sz w:val="18"/>
              </w:rPr>
              <w:t xml:space="preserve">Deep ploughing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collective action</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4A1B0EAB">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3, 4</w:t>
            </w:r>
          </w:p>
        </w:tc>
      </w:tr>
      <w:tr w14:paraId="7514B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2ABB9737">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 xml:space="preserve">Fertilization/application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 xml:space="preserve"> collective action</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3DD41CDE">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Generated interaction</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38F07C10">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Derived</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3F4E56D4">
            <w:pPr>
              <w:spacing w:after="0"/>
              <w:jc w:val="center"/>
              <w:rPr>
                <w:rFonts w:hint="default" w:ascii="Times New Roman" w:hAnsi="Times New Roman" w:eastAsia="宋体" w:cs="Times New Roman"/>
                <w:b w:val="0"/>
                <w:color w:val="000000"/>
                <w:sz w:val="22"/>
                <w:szCs w:val="22"/>
                <w:lang w:val="en-US" w:eastAsia="en-US" w:bidi="ar-SA"/>
              </w:rPr>
            </w:pPr>
            <w:r>
              <w:rPr>
                <w:rFonts w:hint="default" w:ascii="Times New Roman" w:hAnsi="Times New Roman" w:eastAsia="宋体" w:cs="Times New Roman"/>
                <w:b w:val="0"/>
                <w:color w:val="000000"/>
                <w:sz w:val="18"/>
              </w:rPr>
              <w:t xml:space="preserve">Fertilization/application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 xml:space="preserve"> collective action</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32ACF134">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3, 4</w:t>
            </w:r>
          </w:p>
        </w:tc>
      </w:tr>
      <w:tr w14:paraId="475FD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6017C0F2">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 xml:space="preserve">Pollination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 xml:space="preserve"> collective action</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76D19025">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Generated interaction</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32738AD9">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Derived</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08B433F5">
            <w:pPr>
              <w:spacing w:after="0"/>
              <w:jc w:val="center"/>
              <w:rPr>
                <w:rFonts w:hint="default" w:ascii="Times New Roman" w:hAnsi="Times New Roman" w:eastAsia="宋体" w:cs="Times New Roman"/>
                <w:b w:val="0"/>
                <w:color w:val="000000"/>
                <w:sz w:val="22"/>
                <w:szCs w:val="22"/>
                <w:lang w:val="en-US" w:eastAsia="en-US" w:bidi="ar-SA"/>
              </w:rPr>
            </w:pPr>
            <w:r>
              <w:rPr>
                <w:rFonts w:hint="default" w:ascii="Times New Roman" w:hAnsi="Times New Roman" w:eastAsia="宋体" w:cs="Times New Roman"/>
                <w:b w:val="0"/>
                <w:color w:val="000000"/>
                <w:sz w:val="18"/>
              </w:rPr>
              <w:t xml:space="preserve">Pollination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 xml:space="preserve"> collective action</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1A88EAE3">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3, 4</w:t>
            </w:r>
          </w:p>
        </w:tc>
      </w:tr>
      <w:tr w14:paraId="7A96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2698590E">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 xml:space="preserve">Picking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 xml:space="preserve"> collective action</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2DA9C307">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Generated interaction</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6B6902BF">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Derived</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421BF851">
            <w:pPr>
              <w:spacing w:after="0"/>
              <w:jc w:val="center"/>
              <w:rPr>
                <w:rFonts w:hint="default" w:ascii="Times New Roman" w:hAnsi="Times New Roman" w:eastAsia="宋体" w:cs="Times New Roman"/>
                <w:b w:val="0"/>
                <w:color w:val="000000"/>
                <w:sz w:val="22"/>
                <w:szCs w:val="22"/>
                <w:lang w:val="en-US" w:eastAsia="en-US" w:bidi="ar-SA"/>
              </w:rPr>
            </w:pPr>
            <w:r>
              <w:rPr>
                <w:rFonts w:hint="default" w:ascii="Times New Roman" w:hAnsi="Times New Roman" w:eastAsia="宋体" w:cs="Times New Roman"/>
                <w:b w:val="0"/>
                <w:color w:val="000000"/>
                <w:sz w:val="18"/>
              </w:rPr>
              <w:t xml:space="preserve">Picking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 xml:space="preserve"> collective action</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2262E704">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3, 4</w:t>
            </w:r>
          </w:p>
        </w:tc>
      </w:tr>
      <w:tr w14:paraId="66C58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107CA82D">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 xml:space="preserve">Plastic mulching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 xml:space="preserve"> collective action</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5B7088B5">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Generated interaction</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093DB555">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Derived</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4485E686">
            <w:pPr>
              <w:spacing w:after="0"/>
              <w:jc w:val="center"/>
              <w:rPr>
                <w:rFonts w:hint="default" w:ascii="Times New Roman" w:hAnsi="Times New Roman" w:eastAsia="宋体" w:cs="Times New Roman"/>
                <w:b w:val="0"/>
                <w:color w:val="000000"/>
                <w:sz w:val="22"/>
                <w:szCs w:val="22"/>
                <w:lang w:val="en-US" w:eastAsia="en-US" w:bidi="ar-SA"/>
              </w:rPr>
            </w:pPr>
            <w:r>
              <w:rPr>
                <w:rFonts w:hint="default" w:ascii="Times New Roman" w:hAnsi="Times New Roman" w:eastAsia="宋体" w:cs="Times New Roman"/>
                <w:b w:val="0"/>
                <w:color w:val="000000"/>
                <w:sz w:val="18"/>
              </w:rPr>
              <w:t xml:space="preserve">Plastic mulching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 xml:space="preserve"> collective action</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111F2EA4">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3, 4</w:t>
            </w:r>
          </w:p>
        </w:tc>
      </w:tr>
      <w:tr w14:paraId="086F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1017A5BB">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 xml:space="preserve">Machinery subsidy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 xml:space="preserve"> deep ploughing</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4DBAA81B">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Generated interaction</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00F2C520">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Derived</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31ADE49F">
            <w:pPr>
              <w:spacing w:after="0"/>
              <w:jc w:val="center"/>
              <w:rPr>
                <w:rFonts w:hint="default" w:ascii="Times New Roman" w:hAnsi="Times New Roman" w:eastAsia="宋体" w:cs="Times New Roman"/>
                <w:b w:val="0"/>
                <w:color w:val="000000"/>
                <w:sz w:val="22"/>
                <w:szCs w:val="22"/>
                <w:lang w:val="en-US" w:eastAsia="en-US" w:bidi="ar-SA"/>
              </w:rPr>
            </w:pPr>
            <w:r>
              <w:rPr>
                <w:rFonts w:hint="default" w:ascii="Times New Roman" w:hAnsi="Times New Roman" w:eastAsia="宋体" w:cs="Times New Roman"/>
                <w:b w:val="0"/>
                <w:color w:val="000000"/>
                <w:sz w:val="18"/>
              </w:rPr>
              <w:t xml:space="preserve">Machinery subsidy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 xml:space="preserve"> deep ploughing</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551771B1">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5, 6</w:t>
            </w:r>
          </w:p>
        </w:tc>
      </w:tr>
      <w:tr w14:paraId="4E97F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2067D6A1">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 xml:space="preserve">Machinery subsidy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 xml:space="preserve"> fertilization/application</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1DDE82CD">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Generated interaction</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2CCFBAC2">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Derived</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59C5A5A9">
            <w:pPr>
              <w:spacing w:after="0"/>
              <w:jc w:val="center"/>
              <w:rPr>
                <w:rFonts w:hint="default" w:ascii="Times New Roman" w:hAnsi="Times New Roman" w:eastAsia="宋体" w:cs="Times New Roman"/>
                <w:b w:val="0"/>
                <w:color w:val="000000"/>
                <w:sz w:val="22"/>
                <w:szCs w:val="22"/>
                <w:lang w:val="en-US" w:eastAsia="en-US" w:bidi="ar-SA"/>
              </w:rPr>
            </w:pPr>
            <w:r>
              <w:rPr>
                <w:rFonts w:hint="default" w:ascii="Times New Roman" w:hAnsi="Times New Roman" w:eastAsia="宋体" w:cs="Times New Roman"/>
                <w:b w:val="0"/>
                <w:color w:val="000000"/>
                <w:sz w:val="18"/>
              </w:rPr>
              <w:t xml:space="preserve">Machinery subsidy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 xml:space="preserve"> fertilization/application</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7AE69464">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5, 6</w:t>
            </w:r>
          </w:p>
        </w:tc>
      </w:tr>
      <w:tr w14:paraId="74692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0E53D083">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 xml:space="preserve">Machinery subsidy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 xml:space="preserve"> pollination</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7B6F3185">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Generated interaction</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33B234D3">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Derived</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0FB08098">
            <w:pPr>
              <w:spacing w:after="0"/>
              <w:jc w:val="center"/>
              <w:rPr>
                <w:rFonts w:hint="default" w:ascii="Times New Roman" w:hAnsi="Times New Roman" w:eastAsia="宋体" w:cs="Times New Roman"/>
                <w:b w:val="0"/>
                <w:color w:val="000000"/>
                <w:sz w:val="22"/>
                <w:szCs w:val="22"/>
                <w:lang w:val="en-US" w:eastAsia="en-US" w:bidi="ar-SA"/>
              </w:rPr>
            </w:pPr>
            <w:r>
              <w:rPr>
                <w:rFonts w:hint="default" w:ascii="Times New Roman" w:hAnsi="Times New Roman" w:eastAsia="宋体" w:cs="Times New Roman"/>
                <w:b w:val="0"/>
                <w:color w:val="000000"/>
                <w:sz w:val="18"/>
              </w:rPr>
              <w:t xml:space="preserve">Machinery subsidy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 xml:space="preserve"> pollination</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0BD5A2B2">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5, 6</w:t>
            </w:r>
          </w:p>
        </w:tc>
      </w:tr>
      <w:tr w14:paraId="2AEB0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tcMar>
              <w:top w:w="80" w:type="dxa"/>
              <w:left w:w="120" w:type="dxa"/>
              <w:bottom w:w="80" w:type="dxa"/>
              <w:right w:w="120" w:type="dxa"/>
            </w:tcMar>
            <w:vAlign w:val="center"/>
          </w:tcPr>
          <w:p w14:paraId="076312AA">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 xml:space="preserve">Machinery subsidy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 xml:space="preserve"> picking</w:t>
            </w:r>
          </w:p>
        </w:tc>
        <w:tc>
          <w:tcPr>
            <w:tcW w:w="1847" w:type="dxa"/>
            <w:tcBorders>
              <w:top w:val="nil"/>
              <w:left w:val="nil"/>
              <w:bottom w:val="nil"/>
              <w:right w:val="nil"/>
            </w:tcBorders>
            <w:shd w:val="clear" w:color="auto" w:fill="FFFFFF"/>
            <w:tcMar>
              <w:top w:w="80" w:type="dxa"/>
              <w:left w:w="120" w:type="dxa"/>
              <w:bottom w:w="80" w:type="dxa"/>
              <w:right w:w="120" w:type="dxa"/>
            </w:tcMar>
            <w:vAlign w:val="center"/>
          </w:tcPr>
          <w:p w14:paraId="3BEB86CD">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Generated interaction</w:t>
            </w:r>
          </w:p>
        </w:tc>
        <w:tc>
          <w:tcPr>
            <w:tcW w:w="1169" w:type="dxa"/>
            <w:tcBorders>
              <w:top w:val="nil"/>
              <w:left w:val="nil"/>
              <w:bottom w:val="nil"/>
              <w:right w:val="nil"/>
            </w:tcBorders>
            <w:shd w:val="clear" w:color="auto" w:fill="FFFFFF"/>
            <w:tcMar>
              <w:top w:w="80" w:type="dxa"/>
              <w:left w:w="120" w:type="dxa"/>
              <w:bottom w:w="80" w:type="dxa"/>
              <w:right w:w="120" w:type="dxa"/>
            </w:tcMar>
            <w:vAlign w:val="center"/>
          </w:tcPr>
          <w:p w14:paraId="5D3C1432">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Derived</w:t>
            </w:r>
          </w:p>
        </w:tc>
        <w:tc>
          <w:tcPr>
            <w:tcW w:w="2368" w:type="dxa"/>
            <w:tcBorders>
              <w:top w:val="nil"/>
              <w:left w:val="nil"/>
              <w:bottom w:val="nil"/>
              <w:right w:val="nil"/>
            </w:tcBorders>
            <w:shd w:val="clear" w:color="auto" w:fill="FFFFFF"/>
            <w:tcMar>
              <w:top w:w="80" w:type="dxa"/>
              <w:left w:w="120" w:type="dxa"/>
              <w:bottom w:w="80" w:type="dxa"/>
              <w:right w:w="120" w:type="dxa"/>
            </w:tcMar>
            <w:vAlign w:val="center"/>
          </w:tcPr>
          <w:p w14:paraId="1D70D677">
            <w:pPr>
              <w:spacing w:after="0"/>
              <w:jc w:val="center"/>
              <w:rPr>
                <w:rFonts w:hint="default" w:ascii="Times New Roman" w:hAnsi="Times New Roman" w:eastAsia="宋体" w:cs="Times New Roman"/>
                <w:b w:val="0"/>
                <w:color w:val="000000"/>
                <w:sz w:val="22"/>
                <w:szCs w:val="22"/>
                <w:lang w:val="en-US" w:eastAsia="en-US" w:bidi="ar-SA"/>
              </w:rPr>
            </w:pPr>
            <w:r>
              <w:rPr>
                <w:rFonts w:hint="default" w:ascii="Times New Roman" w:hAnsi="Times New Roman" w:eastAsia="宋体" w:cs="Times New Roman"/>
                <w:b w:val="0"/>
                <w:color w:val="000000"/>
                <w:sz w:val="18"/>
              </w:rPr>
              <w:t xml:space="preserve">Machinery subsidy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 xml:space="preserve"> picking</w:t>
            </w:r>
          </w:p>
        </w:tc>
        <w:tc>
          <w:tcPr>
            <w:tcW w:w="1054" w:type="dxa"/>
            <w:tcBorders>
              <w:top w:val="nil"/>
              <w:left w:val="nil"/>
              <w:bottom w:val="nil"/>
              <w:right w:val="nil"/>
            </w:tcBorders>
            <w:shd w:val="clear" w:color="auto" w:fill="FFFFFF"/>
            <w:tcMar>
              <w:top w:w="80" w:type="dxa"/>
              <w:left w:w="120" w:type="dxa"/>
              <w:bottom w:w="80" w:type="dxa"/>
              <w:right w:w="120" w:type="dxa"/>
            </w:tcMar>
            <w:vAlign w:val="center"/>
          </w:tcPr>
          <w:p w14:paraId="0216E889">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5, 6</w:t>
            </w:r>
          </w:p>
        </w:tc>
      </w:tr>
      <w:tr w14:paraId="13FCD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54AB1116">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 xml:space="preserve">Machinery subsidy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 xml:space="preserve"> plastic mulching</w:t>
            </w:r>
          </w:p>
        </w:tc>
        <w:tc>
          <w:tcPr>
            <w:tcW w:w="1847"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5C47EA60">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Generated interaction</w:t>
            </w:r>
          </w:p>
        </w:tc>
        <w:tc>
          <w:tcPr>
            <w:tcW w:w="1169"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2E008F42">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Derived</w:t>
            </w:r>
          </w:p>
        </w:tc>
        <w:tc>
          <w:tcPr>
            <w:tcW w:w="2368"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6A1C3C9B">
            <w:pPr>
              <w:spacing w:after="0"/>
              <w:jc w:val="center"/>
              <w:rPr>
                <w:rFonts w:hint="default" w:ascii="Times New Roman" w:hAnsi="Times New Roman" w:eastAsia="宋体" w:cs="Times New Roman"/>
                <w:b w:val="0"/>
                <w:color w:val="000000"/>
                <w:sz w:val="22"/>
                <w:szCs w:val="22"/>
                <w:lang w:val="en-US" w:eastAsia="en-US" w:bidi="ar-SA"/>
              </w:rPr>
            </w:pPr>
            <w:r>
              <w:rPr>
                <w:rFonts w:hint="default" w:ascii="Times New Roman" w:hAnsi="Times New Roman" w:eastAsia="宋体" w:cs="Times New Roman"/>
                <w:b w:val="0"/>
                <w:color w:val="000000"/>
                <w:sz w:val="18"/>
              </w:rPr>
              <w:t xml:space="preserve">Machinery subsidy  </w:t>
            </w:r>
            <w:r>
              <w:rPr>
                <w:rFonts w:hint="eastAsia" w:ascii="Times New Roman" w:hAnsi="Times New Roman" w:cs="Times New Roman"/>
                <w:b w:val="0"/>
                <w:color w:val="000000"/>
                <w:sz w:val="18"/>
                <w:lang w:val="en-US" w:eastAsia="zh-CN"/>
              </w:rPr>
              <w:t>*</w:t>
            </w:r>
            <w:r>
              <w:rPr>
                <w:rFonts w:hint="default" w:ascii="Times New Roman" w:hAnsi="Times New Roman" w:eastAsia="宋体" w:cs="Times New Roman"/>
                <w:b w:val="0"/>
                <w:color w:val="000000"/>
                <w:sz w:val="18"/>
              </w:rPr>
              <w:t xml:space="preserve"> plastic mulching</w:t>
            </w:r>
          </w:p>
        </w:tc>
        <w:tc>
          <w:tcPr>
            <w:tcW w:w="1054"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474E030D">
            <w:pPr>
              <w:spacing w:after="0"/>
              <w:jc w:val="center"/>
              <w:rPr>
                <w:rFonts w:hint="default" w:ascii="Times New Roman" w:hAnsi="Times New Roman" w:cs="Times New Roman"/>
                <w:b w:val="0"/>
                <w:color w:val="000000"/>
              </w:rPr>
            </w:pPr>
            <w:r>
              <w:rPr>
                <w:rFonts w:hint="default" w:ascii="Times New Roman" w:hAnsi="Times New Roman" w:eastAsia="宋体" w:cs="Times New Roman"/>
                <w:b w:val="0"/>
                <w:color w:val="000000"/>
                <w:sz w:val="18"/>
              </w:rPr>
              <w:t>Tables 5, 6</w:t>
            </w:r>
          </w:p>
        </w:tc>
      </w:tr>
    </w:tbl>
    <w:p w14:paraId="33B0A3CF"/>
    <w:sectPr>
      <w:pgSz w:w="12240" w:h="15840"/>
      <w:pgMar w:top="1440" w:right="1440" w:bottom="1440" w:left="1440"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6C9121F"/>
    <w:rsid w:val="56DB6100"/>
    <w:rsid w:val="59622DE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64" w:lineRule="auto"/>
    </w:pPr>
    <w:rPr>
      <w:rFonts w:ascii="Calibri" w:hAnsi="Calibri" w:eastAsia="宋体" w:cstheme="minorBidi"/>
      <w:sz w:val="22"/>
      <w:szCs w:val="22"/>
      <w:lang w:val="en-US" w:eastAsia="en-US" w:bidi="ar-SA"/>
    </w:rPr>
  </w:style>
  <w:style w:type="paragraph" w:styleId="3">
    <w:name w:val="heading 1"/>
    <w:basedOn w:val="1"/>
    <w:next w:val="1"/>
    <w:link w:val="138"/>
    <w:qFormat/>
    <w:uiPriority w:val="9"/>
    <w:pPr>
      <w:keepNext/>
      <w:keepLines/>
      <w:spacing w:before="320" w:after="160"/>
      <w:outlineLvl w:val="0"/>
    </w:pPr>
    <w:rPr>
      <w:rFonts w:asciiTheme="majorHAnsi" w:hAnsiTheme="majorHAnsi" w:eastAsiaTheme="majorEastAsia" w:cstheme="majorBidi"/>
      <w:b/>
      <w:bCs/>
      <w:color w:val="2E74B5"/>
      <w:sz w:val="32"/>
      <w:szCs w:val="28"/>
    </w:rPr>
  </w:style>
  <w:style w:type="paragraph" w:styleId="4">
    <w:name w:val="heading 2"/>
    <w:basedOn w:val="1"/>
    <w:next w:val="1"/>
    <w:link w:val="139"/>
    <w:unhideWhenUsed/>
    <w:qFormat/>
    <w:uiPriority w:val="9"/>
    <w:pPr>
      <w:keepNext/>
      <w:keepLines/>
      <w:spacing w:before="240" w:after="120"/>
      <w:outlineLvl w:val="1"/>
    </w:pPr>
    <w:rPr>
      <w:rFonts w:asciiTheme="majorHAnsi" w:hAnsiTheme="majorHAnsi" w:eastAsiaTheme="majorEastAsia" w:cstheme="majorBidi"/>
      <w:b/>
      <w:bCs/>
      <w:color w:val="2E74B5"/>
      <w:sz w:val="26"/>
      <w:szCs w:val="26"/>
    </w:rPr>
  </w:style>
  <w:style w:type="paragraph" w:styleId="5">
    <w:name w:val="heading 3"/>
    <w:basedOn w:val="1"/>
    <w:next w:val="1"/>
    <w:link w:val="140"/>
    <w:unhideWhenUsed/>
    <w:qFormat/>
    <w:uiPriority w:val="9"/>
    <w:pPr>
      <w:keepNext/>
      <w:keepLines/>
      <w:spacing w:before="160" w:after="80"/>
      <w:outlineLvl w:val="2"/>
    </w:pPr>
    <w:rPr>
      <w:rFonts w:asciiTheme="majorHAnsi" w:hAnsiTheme="majorHAnsi" w:eastAsiaTheme="majorEastAsia" w:cstheme="majorBidi"/>
      <w:b/>
      <w:bCs/>
      <w:color w:val="1F4D78"/>
      <w:sz w:val="24"/>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590</Words>
  <Characters>3347</Characters>
  <Lines>0</Lines>
  <Paragraphs>0</Paragraphs>
  <TotalTime>0</TotalTime>
  <ScaleCrop>false</ScaleCrop>
  <LinksUpToDate>false</LinksUpToDate>
  <CharactersWithSpaces>3795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win</cp:lastModifiedBy>
  <dcterms:modified xsi:type="dcterms:W3CDTF">2026-08-04T12:46:25Z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eyJoZGlkIjoiMTA4NWQ4MGY1OTE0YTcxYWM4ZTJmZGVlOGI4MjUxZmIiLCJ1c2VySWQiOiIxNjIxNzIwODIyIn0=</vt:lpwstr>
  </property>
  <property fmtid="{D5CDD505-2E9C-101B-9397-08002B2CF9AE}" pid="3" name="KSOProductBuildVer">
    <vt:lpwstr>2052-12.1.0.23542</vt:lpwstr>
  </property>
  <property fmtid="{D5CDD505-2E9C-101B-9397-08002B2CF9AE}" pid="4" name="ICV">
    <vt:lpwstr>65235666BF0E4398BB3E1B771F01EE78_12</vt:lpwstr>
  </property>
</Properties>
</file>