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supplementary-methods"/>
    <w:p>
      <w:pPr>
        <w:pStyle w:val="Heading1"/>
      </w:pPr>
      <w:r>
        <w:t xml:space="preserve">Supplementary methods</w:t>
      </w:r>
    </w:p>
    <w:p>
      <w:pPr>
        <w:pStyle w:val="FirstParagraph"/>
      </w:pPr>
      <w:r>
        <w:t xml:space="preserve">This file documents the protocol, the coding manuals, the search strategies and the pre-specified decisions underlying the review. It is written to be read independently of the main paper.</w:t>
      </w:r>
    </w:p>
    <w:p>
      <w:r>
        <w:pict>
          <v:rect style="width:0;height:1.5pt" o:hralign="center" o:hrstd="t" o:hr="t"/>
        </w:pict>
      </w:r>
    </w:p>
    <w:bookmarkStart w:id="14" w:name="s1.-protocol-and-registration"/>
    <w:p>
      <w:pPr>
        <w:pStyle w:val="Heading2"/>
      </w:pPr>
      <w:r>
        <w:t xml:space="preserve">S1. Protocol and registration</w:t>
      </w:r>
    </w:p>
    <w:bookmarkStart w:id="9" w:name="s1.1-status"/>
    <w:p>
      <w:pPr>
        <w:pStyle w:val="Heading3"/>
      </w:pPr>
      <w:r>
        <w:t xml:space="preserve">S1.1 Status</w:t>
      </w:r>
    </w:p>
    <w:p>
      <w:pPr>
        <w:pStyle w:val="FirstParagraph"/>
      </w:pPr>
      <w:r>
        <w:t xml:space="preserve">The protocol was registered on the Open Science Framework.</w:t>
      </w:r>
      <w:r>
        <w:t xml:space="preserve"> </w:t>
      </w:r>
      <w:r>
        <w:rPr>
          <w:b/>
          <w:bCs/>
        </w:rPr>
        <w:t xml:space="preserve">The registration is retrospective in part and this is stated wherever the protocol is described.</w:t>
      </w:r>
      <w:r>
        <w:t xml:space="preserve"> </w:t>
      </w:r>
      <w:r>
        <w:t xml:space="preserve">It is retrospective with respect to the search, screening and extraction, which were complete before the protocol was written. It is prospective with respect to the three analyses reported in the paper — the analysis of design and measurement features, the analysis of claim–evidence concordance, and the mapping of reports onto inference links — none of which had been performed when the protocol was written. No claim of fully prospective registration is made.</w:t>
      </w:r>
    </w:p>
    <w:bookmarkEnd w:id="9"/>
    <w:bookmarkStart w:id="10" w:name="s1.2-review-questions"/>
    <w:p>
      <w:pPr>
        <w:pStyle w:val="Heading3"/>
      </w:pPr>
      <w:r>
        <w:t xml:space="preserve">S1.2 Review questions</w:t>
      </w:r>
    </w:p>
    <w:p>
      <w:pPr>
        <w:pStyle w:val="FirstParagraph"/>
      </w:pPr>
      <w:r>
        <w:rPr>
          <w:b/>
          <w:bCs/>
        </w:rPr>
        <w:t xml:space="preserve">Primary.</w:t>
      </w:r>
      <w:r>
        <w:t xml:space="preserve"> </w:t>
      </w:r>
      <w:r>
        <w:t xml:space="preserve">To what extent are reported effects in the AETCOM evaluation literature attributable to design and measurement features rather than to learning, and to what extent do conclusions exceed what the designs license?</w:t>
      </w:r>
    </w:p>
    <w:p>
      <w:pPr>
        <w:pStyle w:val="BodyText"/>
      </w:pPr>
      <w:r>
        <w:rPr>
          <w:b/>
          <w:bCs/>
        </w:rPr>
        <w:t xml:space="preserve">Secondary.</w:t>
      </w:r>
      <w:r>
        <w:t xml:space="preserve"> </w:t>
      </w:r>
      <w:r>
        <w:t xml:space="preserve">What is the highest outcome level reached by the corpus; how is evidence distributed across the inference links of a validity argument for curricular transfer; and what evaluation architecture is implied by the links that are unsupported?</w:t>
      </w:r>
    </w:p>
    <w:bookmarkEnd w:id="10"/>
    <w:bookmarkStart w:id="11" w:name="s1.3-eligibility-criteria"/>
    <w:p>
      <w:pPr>
        <w:pStyle w:val="Heading3"/>
      </w:pPr>
      <w:r>
        <w:t xml:space="preserve">S1.3 Eligibility criteria</w:t>
      </w:r>
    </w:p>
    <w:p>
      <w:pPr>
        <w:pStyle w:val="FirstParagraph"/>
      </w:pPr>
      <w:r>
        <w:t xml:space="preserve">Included: primary empirical evaluations of an intervention, exposure or assessment explicitly linked to AETCOM, involving Indian undergraduate medical students or interns, published from 1 January 2015. Any comparator. Quantitative, qualitative or mixed-method outcomes. No language restriction.</w:t>
      </w:r>
    </w:p>
    <w:p>
      <w:pPr>
        <w:pStyle w:val="BodyText"/>
      </w:pPr>
      <w:r>
        <w:t xml:space="preserve">Excluded: commentaries and editorials; curriculum descriptions without learner data; studies of faculty alone; studies of postgraduates alone; evaluations of the wider competency-based curriculum that did not isolate AETCOM.</w:t>
      </w:r>
    </w:p>
    <w:bookmarkEnd w:id="11"/>
    <w:bookmarkStart w:id="12" w:name="s1.4-outcome-classification"/>
    <w:p>
      <w:pPr>
        <w:pStyle w:val="Heading3"/>
      </w:pPr>
      <w:r>
        <w:t xml:space="preserve">S1.4 Outcome classification</w:t>
      </w:r>
    </w:p>
    <w:p>
      <w:pPr>
        <w:pStyle w:val="FirstParagraph"/>
      </w:pPr>
      <w:r>
        <w:t xml:space="preserve">Each report was assigned its highest demonstrated outcome level.</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Level</w:t>
            </w:r>
          </w:p>
        </w:tc>
        <w:tc>
          <w:tcPr/>
          <w:p>
            <w:pPr>
              <w:pStyle w:val="Compact"/>
            </w:pPr>
            <w:r>
              <w:t xml:space="preserve">Definition</w:t>
            </w:r>
          </w:p>
        </w:tc>
      </w:tr>
      <w:tr>
        <w:tc>
          <w:tcPr/>
          <w:p>
            <w:pPr>
              <w:pStyle w:val="Compact"/>
            </w:pPr>
            <w:r>
              <w:t xml:space="preserve">1</w:t>
            </w:r>
          </w:p>
        </w:tc>
        <w:tc>
          <w:tcPr/>
          <w:p>
            <w:pPr>
              <w:pStyle w:val="Compact"/>
            </w:pPr>
            <w:r>
              <w:t xml:space="preserve">Reaction or experience</w:t>
            </w:r>
          </w:p>
        </w:tc>
      </w:tr>
      <w:tr>
        <w:tc>
          <w:tcPr/>
          <w:p>
            <w:pPr>
              <w:pStyle w:val="Compact"/>
            </w:pPr>
            <w:r>
              <w:t xml:space="preserve">2a</w:t>
            </w:r>
          </w:p>
        </w:tc>
        <w:tc>
          <w:tcPr/>
          <w:p>
            <w:pPr>
              <w:pStyle w:val="Compact"/>
            </w:pPr>
            <w:r>
              <w:t xml:space="preserve">Attitude or perception, including self-report</w:t>
            </w:r>
          </w:p>
        </w:tc>
      </w:tr>
      <w:tr>
        <w:tc>
          <w:tcPr/>
          <w:p>
            <w:pPr>
              <w:pStyle w:val="Compact"/>
            </w:pPr>
            <w:r>
              <w:t xml:space="preserve">2b</w:t>
            </w:r>
          </w:p>
        </w:tc>
        <w:tc>
          <w:tcPr/>
          <w:p>
            <w:pPr>
              <w:pStyle w:val="Compact"/>
            </w:pPr>
            <w:r>
              <w:t xml:space="preserve">Knowledge or demonstrated skill, including simulated and structured encounters</w:t>
            </w:r>
          </w:p>
        </w:tc>
      </w:tr>
      <w:tr>
        <w:tc>
          <w:tcPr/>
          <w:p>
            <w:pPr>
              <w:pStyle w:val="Compact"/>
            </w:pPr>
            <w:r>
              <w:t xml:space="preserve">3</w:t>
            </w:r>
          </w:p>
        </w:tc>
        <w:tc>
          <w:tcPr/>
          <w:p>
            <w:pPr>
              <w:pStyle w:val="Compact"/>
            </w:pPr>
            <w:r>
              <w:t xml:space="preserve">Behaviour observed in routine clinical practice</w:t>
            </w:r>
          </w:p>
        </w:tc>
      </w:tr>
      <w:tr>
        <w:tc>
          <w:tcPr/>
          <w:p>
            <w:pPr>
              <w:pStyle w:val="Compact"/>
            </w:pPr>
            <w:r>
              <w:t xml:space="preserve">4</w:t>
            </w:r>
          </w:p>
        </w:tc>
        <w:tc>
          <w:tcPr/>
          <w:p>
            <w:pPr>
              <w:pStyle w:val="Compact"/>
            </w:pPr>
            <w:r>
              <w:t xml:space="preserve">Routine-care patient or system outcome</w:t>
            </w:r>
          </w:p>
        </w:tc>
      </w:tr>
    </w:tbl>
    <w:p>
      <w:pPr>
        <w:pStyle w:val="BodyText"/>
      </w:pPr>
      <w:r>
        <w:t xml:space="preserve">Patient or caregiver participation in a training-aligned assessment is recorded separately and does not count as level 4. Stated intentions do not count as behaviour.</w:t>
      </w:r>
    </w:p>
    <w:bookmarkEnd w:id="12"/>
    <w:bookmarkStart w:id="13" w:name="s1.5-decisions-fixed-in-advance"/>
    <w:p>
      <w:pPr>
        <w:pStyle w:val="Heading3"/>
      </w:pPr>
      <w:r>
        <w:t xml:space="preserve">S1.5 Decisions fixed in advance</w:t>
      </w:r>
    </w:p>
    <w:p>
      <w:pPr>
        <w:pStyle w:val="FirstParagraph"/>
      </w:pPr>
      <w:r>
        <w:t xml:space="preserve">Four decisions were fixed before the relevant data existed, and each is reported with its outcome.</w:t>
      </w:r>
    </w:p>
    <w:p>
      <w:pPr>
        <w:pStyle w:val="BodyText"/>
      </w:pPr>
      <w:r>
        <w:rPr>
          <w:b/>
          <w:bCs/>
        </w:rPr>
        <w:t xml:space="preserve">Threshold for meta-regression.</w:t>
      </w:r>
      <w:r>
        <w:t xml:space="preserve"> </w:t>
      </w:r>
      <w:r>
        <w:t xml:space="preserve">Meta-regression on alignment and rater independence was to be fitted only if at least twenty studies contributed effects. Fitting moderator models to small numbers of studies is a known route to spurious findings, and fixing the threshold before the number was known removed the possibility of a post-hoc choice.</w:t>
      </w:r>
      <w:r>
        <w:t xml:space="preserve"> </w:t>
      </w:r>
      <w:r>
        <w:rPr>
          <w:b/>
          <w:bCs/>
        </w:rPr>
        <w:t xml:space="preserve">Twelve studies contributed effects. The threshold was not met, no meta-regression was fitted, and the pre-specified fallback of stratified estimation was applied.</w:t>
      </w:r>
    </w:p>
    <w:p>
      <w:pPr>
        <w:pStyle w:val="BodyText"/>
      </w:pPr>
      <w:r>
        <w:rPr>
          <w:b/>
          <w:bCs/>
        </w:rPr>
        <w:t xml:space="preserve">No headline pooled estimate.</w:t>
      </w:r>
      <w:r>
        <w:t xml:space="preserve"> </w:t>
      </w:r>
      <w:r>
        <w:t xml:space="preserve">No single overall pooled effect is reported. Estimates appear only within design strata, and studies comparing curriculum exposure are reported separately from within-group change because they estimate a different quantity.</w:t>
      </w:r>
    </w:p>
    <w:p>
      <w:pPr>
        <w:pStyle w:val="BodyText"/>
      </w:pPr>
      <w:r>
        <w:rPr>
          <w:b/>
          <w:bCs/>
        </w:rPr>
        <w:t xml:space="preserve">Agreement statistic for screening.</w:t>
      </w:r>
      <w:r>
        <w:t xml:space="preserve"> </w:t>
      </w:r>
      <w:r>
        <w:t xml:space="preserve">Gwet’s AC1 was specified alongside Cohen’s κ before screening began, because high agreement combined with low prevalence of the positive category depresses κ through the marginal distribution rather than through reviewer disagreement. Specifying both in advance prevents the appearance of selecting whichever statistic flatters the result.</w:t>
      </w:r>
    </w:p>
    <w:p>
      <w:pPr>
        <w:pStyle w:val="BodyText"/>
      </w:pPr>
      <w:r>
        <w:rPr>
          <w:b/>
          <w:bCs/>
        </w:rPr>
        <w:t xml:space="preserve">Full-text requirement.</w:t>
      </w:r>
      <w:r>
        <w:t xml:space="preserve"> </w:t>
      </w:r>
      <w:r>
        <w:t xml:space="preserve">Reports without retrievable full text adequate for coding are excluded from the primary analyses and identified individually. Two reports could not be coded at all because no conclusion could be located in the retrievable text; they are recorded as uncodable rather than estimated.</w:t>
      </w:r>
    </w:p>
    <w:p>
      <w:r>
        <w:pict>
          <v:rect style="width:0;height:1.5pt" o:hralign="center" o:hrstd="t" o:hr="t"/>
        </w:pict>
      </w:r>
    </w:p>
    <w:bookmarkEnd w:id="13"/>
    <w:bookmarkEnd w:id="14"/>
    <w:bookmarkStart w:id="19" w:name="s2.-search-strategies"/>
    <w:p>
      <w:pPr>
        <w:pStyle w:val="Heading2"/>
      </w:pPr>
      <w:r>
        <w:t xml:space="preserve">S2. Search strategies</w:t>
      </w:r>
    </w:p>
    <w:bookmarkStart w:id="15" w:name="s2.1-sources"/>
    <w:p>
      <w:pPr>
        <w:pStyle w:val="Heading3"/>
      </w:pPr>
      <w:r>
        <w:t xml:space="preserve">S2.1 Sources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Role</w:t>
            </w:r>
          </w:p>
        </w:tc>
      </w:tr>
      <w:tr>
        <w:tc>
          <w:tcPr/>
          <w:p>
            <w:pPr>
              <w:pStyle w:val="Compact"/>
            </w:pPr>
            <w:r>
              <w:t xml:space="preserve">PubMed</w:t>
            </w:r>
          </w:p>
        </w:tc>
        <w:tc>
          <w:tcPr/>
          <w:p>
            <w:pPr>
              <w:pStyle w:val="Compact"/>
            </w:pPr>
            <w:r>
              <w:t xml:space="preserve">Core biomedical index</w:t>
            </w:r>
          </w:p>
        </w:tc>
      </w:tr>
      <w:tr>
        <w:tc>
          <w:tcPr/>
          <w:p>
            <w:pPr>
              <w:pStyle w:val="Compact"/>
            </w:pPr>
            <w:r>
              <w:t xml:space="preserve">Europe PMC</w:t>
            </w:r>
          </w:p>
        </w:tc>
        <w:tc>
          <w:tcPr/>
          <w:p>
            <w:pPr>
              <w:pStyle w:val="Compact"/>
            </w:pPr>
            <w:r>
              <w:t xml:space="preserve">Core biomedical index with wider preprint and full-text coverage</w:t>
            </w:r>
          </w:p>
        </w:tc>
      </w:tr>
      <w:tr>
        <w:tc>
          <w:tcPr/>
          <w:p>
            <w:pPr>
              <w:pStyle w:val="Compact"/>
            </w:pPr>
            <w:r>
              <w:t xml:space="preserve">ERIC</w:t>
            </w:r>
          </w:p>
        </w:tc>
        <w:tc>
          <w:tcPr/>
          <w:p>
            <w:pPr>
              <w:pStyle w:val="Compact"/>
            </w:pPr>
            <w:r>
              <w:t xml:space="preserve">Education index</w:t>
            </w:r>
          </w:p>
        </w:tc>
      </w:tr>
      <w:tr>
        <w:tc>
          <w:tcPr/>
          <w:p>
            <w:pPr>
              <w:pStyle w:val="Compact"/>
            </w:pPr>
            <w:r>
              <w:t xml:space="preserve">OpenAlex</w:t>
            </w:r>
          </w:p>
        </w:tc>
        <w:tc>
          <w:tcPr/>
          <w:p>
            <w:pPr>
              <w:pStyle w:val="Compact"/>
            </w:pPr>
            <w:r>
              <w:t xml:space="preserve">Broad scholarly graph</w:t>
            </w:r>
          </w:p>
        </w:tc>
      </w:tr>
      <w:tr>
        <w:tc>
          <w:tcPr/>
          <w:p>
            <w:pPr>
              <w:pStyle w:val="Compact"/>
            </w:pPr>
            <w:r>
              <w:t xml:space="preserve">Crossref</w:t>
            </w:r>
          </w:p>
        </w:tc>
        <w:tc>
          <w:tcPr/>
          <w:p>
            <w:pPr>
              <w:pStyle w:val="Compact"/>
            </w:pPr>
            <w:r>
              <w:t xml:space="preserve">Publisher metadata, including journals absent from biomedical indexes</w:t>
            </w:r>
          </w:p>
        </w:tc>
      </w:tr>
      <w:tr>
        <w:tc>
          <w:tcPr/>
          <w:p>
            <w:pPr>
              <w:pStyle w:val="Compact"/>
            </w:pPr>
            <w:r>
              <w:t xml:space="preserve">Semantic Scholar</w:t>
            </w:r>
          </w:p>
        </w:tc>
        <w:tc>
          <w:tcPr/>
          <w:p>
            <w:pPr>
              <w:pStyle w:val="Compact"/>
            </w:pPr>
            <w:r>
              <w:t xml:space="preserve">Broad scholarly graph</w:t>
            </w:r>
          </w:p>
        </w:tc>
      </w:tr>
      <w:tr>
        <w:tc>
          <w:tcPr/>
          <w:p>
            <w:pPr>
              <w:pStyle w:val="Compact"/>
            </w:pPr>
            <w:r>
              <w:t xml:space="preserve">Directory of Open Access Journals</w:t>
            </w:r>
          </w:p>
        </w:tc>
        <w:tc>
          <w:tcPr/>
          <w:p>
            <w:pPr>
              <w:pStyle w:val="Compact"/>
            </w:pPr>
            <w:r>
              <w:t xml:space="preserve">Open-access journals, including Indian titles thinly covered elsewhere</w:t>
            </w:r>
          </w:p>
        </w:tc>
      </w:tr>
      <w:tr>
        <w:tc>
          <w:tcPr/>
          <w:p>
            <w:pPr>
              <w:pStyle w:val="Compact"/>
            </w:pPr>
            <w:r>
              <w:t xml:space="preserve">ISSN-level journal sweep</w:t>
            </w:r>
          </w:p>
        </w:tc>
        <w:tc>
          <w:tcPr/>
          <w:p>
            <w:pPr>
              <w:pStyle w:val="Compact"/>
            </w:pPr>
            <w:r>
              <w:t xml:space="preserve">Fourteen journals enumerated through Crossref and filtered locally</w:t>
            </w:r>
          </w:p>
        </w:tc>
      </w:tr>
      <w:tr>
        <w:tc>
          <w:tcPr/>
          <w:p>
            <w:pPr>
              <w:pStyle w:val="Compact"/>
            </w:pPr>
            <w:r>
              <w:t xml:space="preserve">Citation chasing</w:t>
            </w:r>
          </w:p>
        </w:tc>
        <w:tc>
          <w:tcPr/>
          <w:p>
            <w:pPr>
              <w:pStyle w:val="Compact"/>
            </w:pPr>
            <w:r>
              <w:t xml:space="preserve">Forward and backward from every included report</w:t>
            </w:r>
          </w:p>
        </w:tc>
      </w:tr>
    </w:tbl>
    <w:p>
      <w:pPr>
        <w:pStyle w:val="BodyText"/>
      </w:pPr>
      <w:r>
        <w:t xml:space="preserve">The Directory of Open Access Journals and the journal sweep were included because the dominant venues for this literature are Indian open-access journals that PubMed covers thinly and ERIC not at all. Together they contributed 1,156 records and recovered 51 AETCOM-mentioning reports that would otherwise have been missed, 21 from the Directory of Open Access Journals alone.</w:t>
      </w:r>
    </w:p>
    <w:bookmarkEnd w:id="15"/>
    <w:bookmarkStart w:id="16" w:name="s2.2-term-sets"/>
    <w:p>
      <w:pPr>
        <w:pStyle w:val="Heading3"/>
      </w:pPr>
      <w:r>
        <w:t xml:space="preserve">S2.2 Term sets</w:t>
      </w:r>
    </w:p>
    <w:p>
      <w:pPr>
        <w:pStyle w:val="FirstParagraph"/>
      </w:pPr>
      <w:r>
        <w:t xml:space="preserve">Three sets were combined. AETCOM terms: AETCOM; ATCOM; attitude ethics and communication, with variant punctuation and word order. Competency terms: professionalism; medical ethics; bioethics; empathy; communication skills; doctor–patient relationship; breaking bad news; medical humanities; reflective writing; ethical reasoning. Population and context terms: medical student; medical undergraduate; MBBS; intern; India; National Medical Commission; competency-based medical education.</w:t>
      </w:r>
    </w:p>
    <w:bookmarkEnd w:id="16"/>
    <w:bookmarkStart w:id="17" w:name="s2.3-journal-sweep"/>
    <w:p>
      <w:pPr>
        <w:pStyle w:val="Heading3"/>
      </w:pPr>
      <w:r>
        <w:t xml:space="preserve">S2.3 Journal sweep</w:t>
      </w:r>
    </w:p>
    <w:p>
      <w:pPr>
        <w:pStyle w:val="FirstParagraph"/>
      </w:pPr>
      <w:r>
        <w:t xml:space="preserve">Rather than a manual page-turn through years of issues, which is neither auditable nor repeatable, each journal was enumerated by ISSN through Crossref from 2015 onward and filtered locally against a recorded term list. This captures papers whose indexing omits AETCOM terminology and can be re-run exactly.</w:t>
      </w:r>
    </w:p>
    <w:p>
      <w:pPr>
        <w:pStyle w:val="BodyText"/>
      </w:pPr>
      <w:r>
        <w:t xml:space="preserve">Journals swept: Indian Journal of Medical Ethics; National Medical Journal of India; International Journal of Community Medicine and Public Health; National Journal of Physiology, Pharmacy and Pharmacology; International Journal of Basic and Clinical Pharmacology; Journal of Family Medicine and Primary Care; Journal of Education and Health Promotion; International Journal of Applied and Basic Medical Research; South-East Asian Journal of Medical Education; Indian Journal of Physiology and Pharmacology; Indian Journal of Community Medicine; Medical Journal Armed Forces India; Advances in Medical Education and Practice; Cureus.</w:t>
      </w:r>
    </w:p>
    <w:bookmarkEnd w:id="17"/>
    <w:bookmarkStart w:id="18" w:name="s2.4-retrieval-failures"/>
    <w:p>
      <w:pPr>
        <w:pStyle w:val="Heading3"/>
      </w:pPr>
      <w:r>
        <w:t xml:space="preserve">S2.4 Retrieval failures</w:t>
      </w:r>
    </w:p>
    <w:p>
      <w:pPr>
        <w:pStyle w:val="FirstParagraph"/>
      </w:pPr>
      <w:r>
        <w:t xml:space="preserve">Failures are recorded rather than absorbed. Four Semantic Scholar queries returned HTTP 429 after six backoff attempts extending to 168 seconds. One journal could not be resolved to an ISSN and was searched by hand. Scopus, Web of Science and Embase were unavailable. Google Scholar, IndMED/IMSEAR, Shodhganga and the Indian Citation Index provide no interface permitting reproducible automated retrieval; they were searched manually against a recorded query list, and no automated scraping was attempted.</w:t>
      </w:r>
    </w:p>
    <w:p>
      <w:r>
        <w:pict>
          <v:rect style="width:0;height:1.5pt" o:hralign="center" o:hrstd="t" o:hr="t"/>
        </w:pict>
      </w:r>
    </w:p>
    <w:bookmarkEnd w:id="18"/>
    <w:bookmarkEnd w:id="19"/>
    <w:bookmarkStart w:id="24" w:name="s3.-selection"/>
    <w:p>
      <w:pPr>
        <w:pStyle w:val="Heading2"/>
      </w:pPr>
      <w:r>
        <w:t xml:space="preserve">S3. Selection</w:t>
      </w:r>
    </w:p>
    <w:bookmarkStart w:id="20" w:name="s3.1-rationale-for-staged-selection"/>
    <w:p>
      <w:pPr>
        <w:pStyle w:val="Heading3"/>
      </w:pPr>
      <w:r>
        <w:t xml:space="preserve">S3.1 Rationale for staged selection</w:t>
      </w:r>
    </w:p>
    <w:p>
      <w:pPr>
        <w:pStyle w:val="FirstParagraph"/>
      </w:pPr>
      <w:r>
        <w:t xml:space="preserve">The search returned 15,452 records, 11,938 after deduplication. Crossref and OpenAlex rank results by relevance rather than filtering them, so a high-recall query returns its result cap regardless of how many records genuinely match. Independent duplicate human screening of nearly twelve thousand records was not feasible within any realistic timeframe, and a nominal duplicate screen at that volume would have produced a process that looked rigorous without being so. An explicit staged rule applied before any human judgement, with its recall measured rather than assumed, is the honest alternative.</w:t>
      </w:r>
    </w:p>
    <w:bookmarkEnd w:id="20"/>
    <w:bookmarkStart w:id="21" w:name="s3.2-the-rules"/>
    <w:p>
      <w:pPr>
        <w:pStyle w:val="Heading3"/>
      </w:pPr>
      <w:r>
        <w:t xml:space="preserve">S3.2 The rules</w:t>
      </w:r>
    </w:p>
    <w:p>
      <w:pPr>
        <w:pStyle w:val="Compact"/>
        <w:numPr>
          <w:ilvl w:val="0"/>
          <w:numId w:val="1001"/>
        </w:numPr>
      </w:pPr>
      <w:r>
        <w:t xml:space="preserve">Any record containing an AETCOM term in its title, abstract or journal name passed without further test.</w:t>
      </w:r>
    </w:p>
    <w:p>
      <w:pPr>
        <w:pStyle w:val="Compact"/>
        <w:numPr>
          <w:ilvl w:val="0"/>
          <w:numId w:val="1001"/>
        </w:numPr>
      </w:pPr>
      <w:r>
        <w:t xml:space="preserve">Any record with an abstract was tested for the simultaneous presence of an Indian context term, an eligible population term and a relevant competency term.</w:t>
      </w:r>
    </w:p>
    <w:p>
      <w:pPr>
        <w:pStyle w:val="Compact"/>
        <w:numPr>
          <w:ilvl w:val="0"/>
          <w:numId w:val="1001"/>
        </w:numPr>
      </w:pPr>
      <w:r>
        <w:t xml:space="preserve">Records lacking an abstract were</w:t>
      </w:r>
      <w:r>
        <w:t xml:space="preserve"> </w:t>
      </w:r>
      <w:r>
        <w:rPr>
          <w:b/>
          <w:bCs/>
        </w:rPr>
        <w:t xml:space="preserve">not</w:t>
      </w:r>
      <w:r>
        <w:t xml:space="preserve"> </w:t>
      </w:r>
      <w:r>
        <w:t xml:space="preserve">excluded on that basis. A missing abstract is a defect of publisher metadata, not a property of a study. Missing abstracts were retrieved from OpenAlex, Europe PMC, Crossref and the Directory of Open Access Journals; 1,472 of 3,164 were recovered, and the enriched records were then tested under rule 2.</w:t>
      </w:r>
    </w:p>
    <w:p>
      <w:pPr>
        <w:pStyle w:val="Compact"/>
        <w:numPr>
          <w:ilvl w:val="0"/>
          <w:numId w:val="1001"/>
        </w:numPr>
      </w:pPr>
      <w:r>
        <w:t xml:space="preserve">Records still lacking an abstract were tested against a deliberately permissive title rule requiring any medical, educational or Indian signal.</w:t>
      </w:r>
    </w:p>
    <w:p>
      <w:pPr>
        <w:pStyle w:val="FirstParagraph"/>
      </w:pPr>
      <w:r>
        <w:t xml:space="preserve">Records passing any rule proceeded to independent duplicate human screening. This yielded 1,953 records.</w:t>
      </w:r>
    </w:p>
    <w:bookmarkEnd w:id="21"/>
    <w:bookmarkStart w:id="22" w:name="s3.3-validation-of-the-rules"/>
    <w:p>
      <w:pPr>
        <w:pStyle w:val="Heading3"/>
      </w:pPr>
      <w:r>
        <w:t xml:space="preserve">S3.3 Validation of the rules</w:t>
      </w:r>
    </w:p>
    <w:p>
      <w:pPr>
        <w:pStyle w:val="FirstParagraph"/>
      </w:pPr>
      <w:r>
        <w:t xml:space="preserve">Random samples were drawn from each exclusion path for human checking, with the rule stated in advance that a single eligible record found in a sample withdraws that path and sends its records to human screening.</w:t>
      </w:r>
    </w:p>
    <w:bookmarkEnd w:id="22"/>
    <w:bookmarkStart w:id="23" w:name="s3.4-screening"/>
    <w:p>
      <w:pPr>
        <w:pStyle w:val="Heading3"/>
      </w:pPr>
      <w:r>
        <w:t xml:space="preserve">S3.4 Screening</w:t>
      </w:r>
    </w:p>
    <w:p>
      <w:pPr>
        <w:pStyle w:val="FirstParagraph"/>
      </w:pPr>
      <w:r>
        <w:t xml:space="preserve">Both reviewers screened independently from worksheets containing bibliographic fields only, in independently randomised order, with no decision column pre-populated by any automated process. Disagreements were resolved by discussion. Cohen’s κ, Gwet’s AC1 and prevalence-adjusted bias-adjusted κ are reported.</w:t>
      </w:r>
    </w:p>
    <w:p>
      <w:r>
        <w:pict>
          <v:rect style="width:0;height:1.5pt" o:hralign="center" o:hrstd="t" o:hr="t"/>
        </w:pict>
      </w:r>
    </w:p>
    <w:bookmarkEnd w:id="23"/>
    <w:bookmarkEnd w:id="24"/>
    <w:bookmarkStart w:id="28" w:name="s4.-coding-manuals"/>
    <w:p>
      <w:pPr>
        <w:pStyle w:val="Heading2"/>
      </w:pPr>
      <w:r>
        <w:t xml:space="preserve">S4. Coding manuals</w:t>
      </w:r>
    </w:p>
    <w:bookmarkStart w:id="25" w:name="s4.1-design-and-measurement-features"/>
    <w:p>
      <w:pPr>
        <w:pStyle w:val="Heading3"/>
      </w:pPr>
      <w:r>
        <w:t xml:space="preserve">S4.1 Design and measurement features</w:t>
      </w:r>
    </w:p>
    <w:p>
      <w:pPr>
        <w:pStyle w:val="FirstParagraph"/>
      </w:pPr>
      <w:r>
        <w:t xml:space="preserve">Coded for every study contributing a quantitative effect.</w:t>
      </w:r>
    </w:p>
    <w:p>
      <w:pPr>
        <w:pStyle w:val="BodyText"/>
      </w:pPr>
      <w:r>
        <w:rPr>
          <w:b/>
          <w:bCs/>
        </w:rPr>
        <w:t xml:space="preserve">Rater independence.</w:t>
      </w:r>
      <w:r>
        <w:t xml:space="preserve"> </w:t>
      </w:r>
      <w:r>
        <w:t xml:space="preserve">0 self-report; 1 teaching team; 2 departmental colleague not the deliverer; 3 independent but unblinded; 4 independent and blinded. Code 4 requires blinding to be stated explicitly.</w:t>
      </w:r>
    </w:p>
    <w:p>
      <w:pPr>
        <w:pStyle w:val="BodyText"/>
      </w:pPr>
      <w:r>
        <w:rPr>
          <w:b/>
          <w:bCs/>
        </w:rPr>
        <w:t xml:space="preserve">Instruction–assessment alignment.</w:t>
      </w:r>
      <w:r>
        <w:t xml:space="preserve"> </w:t>
      </w:r>
      <w:r>
        <w:t xml:space="preserve">0 assessment content developed independently of teaching; 1 same competency, different material; 2 taught material reappears in altered form; 3 taught material reused directly; 4 identical material and identical instrument at both time points. An unchanged pre/post questionnaire on taught content is code 4.</w:t>
      </w:r>
    </w:p>
    <w:p>
      <w:pPr>
        <w:pStyle w:val="BodyText"/>
      </w:pPr>
      <w:r>
        <w:rPr>
          <w:b/>
          <w:bCs/>
        </w:rPr>
        <w:t xml:space="preserve">Measurement interval.</w:t>
      </w:r>
      <w:r>
        <w:t xml:space="preserve"> </w:t>
      </w:r>
      <w:r>
        <w:t xml:space="preserve">0 immediate; 1 up to two weeks; 2 two weeks to three months; 3 three to twelve months; 4 beyond twelve months. Actual interval recorded in days where stated.</w:t>
      </w:r>
    </w:p>
    <w:p>
      <w:pPr>
        <w:pStyle w:val="BodyText"/>
      </w:pPr>
      <w:r>
        <w:rPr>
          <w:b/>
          <w:bCs/>
        </w:rPr>
        <w:t xml:space="preserve">Comparator.</w:t>
      </w:r>
      <w:r>
        <w:t xml:space="preserve"> </w:t>
      </w:r>
      <w:r>
        <w:t xml:space="preserve">0 none; 1 historical; 2 concurrent non-equivalent; 3 concurrent no-intervention; 4 randomised. What the comparator estimates is recorded separately as curriculum exposure, teaching method, assessment method, or none. Only curriculum exposure addresses the policy question.</w:t>
      </w:r>
    </w:p>
    <w:p>
      <w:pPr>
        <w:pStyle w:val="BodyText"/>
      </w:pPr>
      <w:r>
        <w:rPr>
          <w:b/>
          <w:bCs/>
        </w:rPr>
        <w:t xml:space="preserve">Instrument provenance.</w:t>
      </w:r>
      <w:r>
        <w:t xml:space="preserve"> </w:t>
      </w:r>
      <w:r>
        <w:t xml:space="preserve">0 locally constructed with no validation; 1 locally constructed with some validation; 2 adapted from a published instrument without revalidation; 3 published instrument used as validated; 4 published instrument with validation evidence reported in this sample.</w:t>
      </w:r>
    </w:p>
    <w:p>
      <w:pPr>
        <w:pStyle w:val="BodyText"/>
      </w:pPr>
      <w:r>
        <w:rPr>
          <w:b/>
          <w:bCs/>
        </w:rPr>
        <w:t xml:space="preserve">Reliability.</w:t>
      </w:r>
      <w:r>
        <w:t xml:space="preserve"> </w:t>
      </w:r>
      <w:r>
        <w:t xml:space="preserve">Whether reported, of what type, its value, and whether adequate.</w:t>
      </w:r>
    </w:p>
    <w:p>
      <w:pPr>
        <w:pStyle w:val="BodyText"/>
      </w:pPr>
      <w:r>
        <w:rPr>
          <w:b/>
          <w:bCs/>
        </w:rPr>
        <w:t xml:space="preserve">Testing-effect exposure.</w:t>
      </w:r>
      <w:r>
        <w:t xml:space="preserve"> </w:t>
      </w:r>
      <w:r>
        <w:t xml:space="preserve">Whether the same instrument was used before and after; whether the pre-test could plausibly cue the taught content; whether any washout was described.</w:t>
      </w:r>
    </w:p>
    <w:p>
      <w:pPr>
        <w:pStyle w:val="BodyText"/>
      </w:pPr>
      <w:r>
        <w:rPr>
          <w:b/>
          <w:bCs/>
        </w:rPr>
        <w:t xml:space="preserve">Construct.</w:t>
      </w:r>
      <w:r>
        <w:t xml:space="preserve"> </w:t>
      </w:r>
      <w:r>
        <w:t xml:space="preserve">Declarative knowledge; applied reasoning; observed performance in a simulated or structured encounter; observed performance in routine practice; self-reported attitude; reaction.</w:t>
      </w:r>
    </w:p>
    <w:p>
      <w:pPr>
        <w:pStyle w:val="BodyText"/>
      </w:pPr>
      <w:r>
        <w:rPr>
          <w:b/>
          <w:bCs/>
        </w:rPr>
        <w:t xml:space="preserve">Analysis quality.</w:t>
      </w:r>
      <w:r>
        <w:t xml:space="preserve"> </w:t>
      </w:r>
      <w:r>
        <w:t xml:space="preserve">Attrition reporting and percentage; whether clustering was ignored; whether multiplicity was uncorrected; whether reported statistics are internally inconsistent.</w:t>
      </w:r>
    </w:p>
    <w:bookmarkEnd w:id="25"/>
    <w:bookmarkStart w:id="26" w:name="s4.2-claimevidence-concordance"/>
    <w:p>
      <w:pPr>
        <w:pStyle w:val="Heading3"/>
      </w:pPr>
      <w:r>
        <w:t xml:space="preserve">S4.2 Claim–evidence concordance</w:t>
      </w:r>
    </w:p>
    <w:p>
      <w:pPr>
        <w:pStyle w:val="FirstParagraph"/>
      </w:pPr>
      <w:r>
        <w:t xml:space="preserve">Adapted from established spin frameworks for reports of clinical trials, restructured for curriculum evaluation where the characteristic overreach crosses outcome levels rather than significance thresholds.</w:t>
      </w:r>
    </w:p>
    <w:p>
      <w:pPr>
        <w:pStyle w:val="BodyText"/>
      </w:pPr>
      <w:r>
        <w:rPr>
          <w:b/>
          <w:bCs/>
        </w:rPr>
        <w:t xml:space="preserve">Order of coding is mandatory.</w:t>
      </w:r>
      <w:r>
        <w:t xml:space="preserve"> </w:t>
      </w:r>
      <w:r>
        <w:t xml:space="preserve">Claims are coded from the title, the abstract and the concluding text</w:t>
      </w:r>
      <w:r>
        <w:t xml:space="preserve"> </w:t>
      </w:r>
      <w:r>
        <w:rPr>
          <w:b/>
          <w:bCs/>
        </w:rPr>
        <w:t xml:space="preserve">before</w:t>
      </w:r>
      <w:r>
        <w:t xml:space="preserve"> </w:t>
      </w:r>
      <w:r>
        <w:t xml:space="preserve">the methods and results are read. A coder who already knows a study’s design unconsciously calibrates what counts as an overclaim, which destroys the measurement. Reading materials were structured in two phases to enforce this, and the time of each phase was recorded.</w:t>
      </w:r>
    </w:p>
    <w:p>
      <w:pPr>
        <w:pStyle w:val="BodyText"/>
      </w:pPr>
      <w:r>
        <w:rPr>
          <w:b/>
          <w:bCs/>
        </w:rPr>
        <w:t xml:space="preserve">Strongest causal verb</w:t>
      </w:r>
      <w:r>
        <w:t xml:space="preserve">, coded separately for title, abstract conclusion and discussion conclusion: 0 descriptive; 1 associational; 2 change reported without attribution; 3 causal attribution to the intervention; 4 causal attribution plus generalisation.</w:t>
      </w:r>
    </w:p>
    <w:p>
      <w:pPr>
        <w:pStyle w:val="BodyText"/>
      </w:pPr>
      <w:r>
        <w:rPr>
          <w:b/>
          <w:bCs/>
        </w:rPr>
        <w:t xml:space="preserve">Claimed outcome level</w:t>
      </w:r>
      <w:r>
        <w:t xml:space="preserve">, coded under two rules, both applied to every report.</w:t>
      </w:r>
    </w:p>
    <w:p>
      <w:pPr>
        <w:pStyle w:val="BodyText"/>
      </w:pPr>
      <w:r>
        <w:rPr>
          <w:i/>
          <w:iCs/>
        </w:rPr>
        <w:t xml:space="preserve">Rule A, literal (primary).</w:t>
      </w:r>
      <w:r>
        <w:t xml:space="preserve"> </w:t>
      </w:r>
      <w:r>
        <w:t xml:space="preserve">Only what a sentence explicitly states counts. If a claim requires an inferential step by the reader, it does not count.</w:t>
      </w:r>
      <w:r>
        <w:t xml:space="preserve"> </w:t>
      </w:r>
      <w:r>
        <w:t xml:space="preserve">“This module should be continued as it improves student professionalism”</w:t>
      </w:r>
      <w:r>
        <w:t xml:space="preserve"> </w:t>
      </w:r>
      <w:r>
        <w:t xml:space="preserve">claims level 3.</w:t>
      </w:r>
      <w:r>
        <w:t xml:space="preserve"> </w:t>
      </w:r>
      <w:r>
        <w:t xml:space="preserve">“This module was well received and should be continued”</w:t>
      </w:r>
      <w:r>
        <w:t xml:space="preserve"> </w:t>
      </w:r>
      <w:r>
        <w:t xml:space="preserve">claims level 1.</w:t>
      </w:r>
    </w:p>
    <w:p>
      <w:pPr>
        <w:pStyle w:val="BodyText"/>
      </w:pPr>
      <w:r>
        <w:rPr>
          <w:i/>
          <w:iCs/>
        </w:rPr>
        <w:t xml:space="preserve">Rule B, reasonable reader (secondary).</w:t>
      </w:r>
      <w:r>
        <w:t xml:space="preserve"> </w:t>
      </w:r>
      <w:r>
        <w:t xml:space="preserve">What a practising medical educator would take away, including implicature. Recommending national retention of a professionalism curriculum on the basis of a post-test claims a capability level under Rule B regardless of literal wording.</w:t>
      </w:r>
    </w:p>
    <w:p>
      <w:pPr>
        <w:pStyle w:val="BodyText"/>
      </w:pPr>
      <w:r>
        <w:t xml:space="preserve">Rule A is primary so that a finding of widespread overclaiming cannot be dismissed as over-reading by coders. The claimed level is the highest across title, abstract and discussion, because the title is what circulates and is cited.</w:t>
      </w:r>
    </w:p>
    <w:p>
      <w:pPr>
        <w:pStyle w:val="BodyText"/>
      </w:pPr>
      <w:r>
        <w:rPr>
          <w:b/>
          <w:bCs/>
        </w:rPr>
        <w:t xml:space="preserve">Recommendation reach.</w:t>
      </w:r>
      <w:r>
        <w:t xml:space="preserve"> </w:t>
      </w:r>
      <w:r>
        <w:t xml:space="preserve">0 none; 1 local; 2 institutional; 3 national or policy.</w:t>
      </w:r>
    </w:p>
    <w:p>
      <w:pPr>
        <w:pStyle w:val="BodyText"/>
      </w:pPr>
      <w:r>
        <w:rPr>
          <w:b/>
          <w:bCs/>
        </w:rPr>
        <w:t xml:space="preserve">Claim–evidence distance.</w:t>
      </w:r>
      <w:r>
        <w:t xml:space="preserve"> </w:t>
      </w:r>
      <w:r>
        <w:t xml:space="preserve">The difference between the ordinal positions of claimed and measured level, where 1→1, 2a→2, 2b→3, 3→4, 4→5. Zero is calibrated, positive is overclaim, negative is underclaim.</w:t>
      </w:r>
    </w:p>
    <w:p>
      <w:pPr>
        <w:pStyle w:val="BodyText"/>
      </w:pPr>
      <w:r>
        <w:rPr>
          <w:b/>
          <w:bCs/>
        </w:rPr>
        <w:t xml:space="preserve">Forms of spin</w:t>
      </w:r>
      <w:r>
        <w:t xml:space="preserve">, each coded present or absent with a verbatim quotation required: causal language from an uncontrolled design; extrapolation beyond the outcome level measured; selective emphasis on favourable outcomes; conclusion not supported by the reported results; policy recommendation exceeding the evidence; central design limitation not acknowledged; non-significant result reframed as promising.</w:t>
      </w:r>
    </w:p>
    <w:bookmarkEnd w:id="26"/>
    <w:bookmarkStart w:id="27" w:name="Xe72f6ad304c4c26b04ead6cb893c1986d7a5b36"/>
    <w:p>
      <w:pPr>
        <w:pStyle w:val="Heading3"/>
      </w:pPr>
      <w:r>
        <w:t xml:space="preserve">S4.3 Inference links and transfer environment</w:t>
      </w:r>
    </w:p>
    <w:p>
      <w:pPr>
        <w:pStyle w:val="FirstParagraph"/>
      </w:pPr>
      <w:r>
        <w:t xml:space="preserve">The policy claim implicit in national implementation is that delivering AETCOM produces doctors who behave more ethically, empathically and communicatively with patients in routine practice. An argument-based validity framework decomposes that into four inferences, each requiring independent support.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Link</w:t>
            </w:r>
          </w:p>
        </w:tc>
        <w:tc>
          <w:tcPr/>
          <w:p>
            <w:pPr>
              <w:pStyle w:val="Compact"/>
            </w:pPr>
            <w:r>
              <w:t xml:space="preserve">Inference</w:t>
            </w:r>
          </w:p>
        </w:tc>
        <w:tc>
          <w:tcPr/>
          <w:p>
            <w:pPr>
              <w:pStyle w:val="Compact"/>
            </w:pPr>
            <w:r>
              <w:t xml:space="preserve">Supporting evidence would include</w:t>
            </w:r>
          </w:p>
        </w:tc>
      </w:tr>
      <w:tr>
        <w:tc>
          <w:tcPr/>
          <w:p>
            <w:pPr>
              <w:pStyle w:val="Compact"/>
            </w:pPr>
            <w:r>
              <w:t xml:space="preserve">Scoring</w:t>
            </w:r>
          </w:p>
        </w:tc>
        <w:tc>
          <w:tcPr/>
          <w:p>
            <w:pPr>
              <w:pStyle w:val="Compact"/>
            </w:pPr>
            <w:r>
              <w:t xml:space="preserve">The observation was captured and scored accurately and reproducibly</w:t>
            </w:r>
          </w:p>
        </w:tc>
        <w:tc>
          <w:tcPr/>
          <w:p>
            <w:pPr>
              <w:pStyle w:val="Compact"/>
            </w:pPr>
            <w:r>
              <w:t xml:space="preserve">Instrument reliability; rater training; blinded or independent scoring; internal structure evidence</w:t>
            </w:r>
          </w:p>
        </w:tc>
      </w:tr>
      <w:tr>
        <w:tc>
          <w:tcPr/>
          <w:p>
            <w:pPr>
              <w:pStyle w:val="Compact"/>
            </w:pPr>
            <w:r>
              <w:t xml:space="preserve">Generalisation</w:t>
            </w:r>
          </w:p>
        </w:tc>
        <w:tc>
          <w:tcPr/>
          <w:p>
            <w:pPr>
              <w:pStyle w:val="Compact"/>
            </w:pPr>
            <w:r>
              <w:t xml:space="preserve">The score represents competence in the domain rather than one occasion</w:t>
            </w:r>
          </w:p>
        </w:tc>
        <w:tc>
          <w:tcPr/>
          <w:p>
            <w:pPr>
              <w:pStyle w:val="Compact"/>
            </w:pPr>
            <w:r>
              <w:t xml:space="preserve">Multiple cases; generalisability studies; alternate forms; delayed re-testing; performance on unfamiliar material</w:t>
            </w:r>
          </w:p>
        </w:tc>
      </w:tr>
      <w:tr>
        <w:tc>
          <w:tcPr/>
          <w:p>
            <w:pPr>
              <w:pStyle w:val="Compact"/>
            </w:pPr>
            <w:r>
              <w:t xml:space="preserve">Extrapolation</w:t>
            </w:r>
          </w:p>
        </w:tc>
        <w:tc>
          <w:tcPr/>
          <w:p>
            <w:pPr>
              <w:pStyle w:val="Compact"/>
            </w:pPr>
            <w:r>
              <w:t xml:space="preserve">Demonstrated competence predicts behaviour in real practice</w:t>
            </w:r>
          </w:p>
        </w:tc>
        <w:tc>
          <w:tcPr/>
          <w:p>
            <w:pPr>
              <w:pStyle w:val="Compact"/>
            </w:pPr>
            <w:r>
              <w:t xml:space="preserve">Observed behaviour in routine care; workplace-based assessment; correlation of assessment with real practice</w:t>
            </w:r>
          </w:p>
        </w:tc>
      </w:tr>
      <w:tr>
        <w:tc>
          <w:tcPr/>
          <w:p>
            <w:pPr>
              <w:pStyle w:val="Compact"/>
            </w:pPr>
            <w:r>
              <w:t xml:space="preserve">Implications</w:t>
            </w:r>
          </w:p>
        </w:tc>
        <w:tc>
          <w:tcPr/>
          <w:p>
            <w:pPr>
              <w:pStyle w:val="Compact"/>
            </w:pPr>
            <w:r>
              <w:t xml:space="preserve">Acting on the result produces the intended consequences and no serious unintended ones</w:t>
            </w:r>
          </w:p>
        </w:tc>
        <w:tc>
          <w:tcPr/>
          <w:p>
            <w:pPr>
              <w:pStyle w:val="Compact"/>
            </w:pPr>
            <w:r>
              <w:t xml:space="preserve">Patient-reported experience; health or service outcomes; evidence on opportunity cost, equity and unintended effects</w:t>
            </w:r>
          </w:p>
        </w:tc>
      </w:tr>
    </w:tbl>
    <w:p>
      <w:pPr>
        <w:pStyle w:val="BodyText"/>
      </w:pPr>
      <w:r>
        <w:t xml:space="preserve">Each link scored 0 not addressed; 1 asserted only; 2 weak evidence; 3 moderate; 4 strong. Codes of 2 or above count as more than assertion, and any code of 2 or above requires a recorded verbatim basis.</w:t>
      </w:r>
    </w:p>
    <w:p>
      <w:pPr>
        <w:pStyle w:val="BodyText"/>
      </w:pPr>
      <w:r>
        <w:rPr>
          <w:b/>
          <w:bCs/>
        </w:rPr>
        <w:t xml:space="preserve">Transfer environment.</w:t>
      </w:r>
      <w:r>
        <w:t xml:space="preserve"> </w:t>
      </w:r>
      <w:r>
        <w:t xml:space="preserve">Transfer-of-training research locates the determinants of whether trained capability becomes workplace behaviour largely in the work environment. Five factors were coded present or absent: transfer climate; supervisory support; opportunity to perform; faculty preparation and fidelity; system constraints.</w:t>
      </w:r>
    </w:p>
    <w:p>
      <w:pPr>
        <w:pStyle w:val="BodyText"/>
      </w:pPr>
      <w:r>
        <w:rPr>
          <w:b/>
          <w:bCs/>
        </w:rPr>
        <w:t xml:space="preserve">Interpretive rule.</w:t>
      </w:r>
      <w:r>
        <w:t xml:space="preserve"> </w:t>
      </w:r>
      <w:r>
        <w:t xml:space="preserve">Absence of evidence at a link is reported throughout as an unmet evidential requirement and never as evidence that the curriculum is ineffective. Where a report is honest about its own limits, that is recorded and reported as a positive example.</w:t>
      </w:r>
    </w:p>
    <w:p>
      <w:r>
        <w:pict>
          <v:rect style="width:0;height:1.5pt" o:hralign="center" o:hrstd="t" o:hr="t"/>
        </w:pict>
      </w:r>
    </w:p>
    <w:bookmarkEnd w:id="27"/>
    <w:bookmarkEnd w:id="28"/>
    <w:bookmarkStart w:id="29" w:name="s5.-coding-provenance"/>
    <w:p>
      <w:pPr>
        <w:pStyle w:val="Heading2"/>
      </w:pPr>
      <w:r>
        <w:t xml:space="preserve">S5. Coding provenance</w:t>
      </w:r>
    </w:p>
    <w:p>
      <w:pPr>
        <w:pStyle w:val="FirstParagraph"/>
      </w:pPr>
      <w:r>
        <w:t xml:space="preserve">Codes for the three analyses were proposed by an artificial-intelligence assistant reading archived full texts against the manuals above, recording the verbatim quotation supporting each judgement. Both authors then checked every code against the source publication and either confirmed it, corrected it, or set it aside as not codable. The final codes are the authors’ verified judgements and the authors are accountable for all of them.</w:t>
      </w:r>
    </w:p>
    <w:p>
      <w:pPr>
        <w:pStyle w:val="BodyText"/>
      </w:pPr>
      <w:r>
        <w:t xml:space="preserve">The proportion of proposed codes the authors changed is reported for each variable, and the code sets before and after checking are both released so that this proportion can be recomputed independently.</w:t>
      </w:r>
    </w:p>
    <w:p>
      <w:pPr>
        <w:pStyle w:val="BodyText"/>
      </w:pPr>
      <w:r>
        <w:t xml:space="preserve">No inter-coder reliability statistic is reported for these analyses, because two people checking the same proposed code are not two independent coders and any agreement statistic computed from that arrangement would be an artefact. Screening was genuinely independent and duplicate, so agreement statistics are reported for that stage.</w:t>
      </w:r>
    </w:p>
    <w:p>
      <w:r>
        <w:pict>
          <v:rect style="width:0;height:1.5pt" o:hralign="center" o:hrstd="t" o:hr="t"/>
        </w:pict>
      </w:r>
    </w:p>
    <w:bookmarkEnd w:id="29"/>
    <w:bookmarkStart w:id="30" w:name="s6.-synthesis-and-appraisal"/>
    <w:p>
      <w:pPr>
        <w:pStyle w:val="Heading2"/>
      </w:pPr>
      <w:r>
        <w:t xml:space="preserve">S6. Synthesis and appraisal</w:t>
      </w:r>
    </w:p>
    <w:p>
      <w:pPr>
        <w:pStyle w:val="FirstParagraph"/>
      </w:pPr>
      <w:r>
        <w:t xml:space="preserve">Standardised mean change was calculated from the baseline standard deviation with a small-sample correction. Pre–post correlations were used where reported and imputed at r = 0.50 otherwise, varied from 0 to 0.90 in sensitivity analysis. Random-effects models used restricted maximum likelihood with modified Hartung–Knapp intervals, and prediction intervals used a conservative t distribution. Tests for small-study effects were reserved for syntheses of at least ten studies and were therefore not performed.</w:t>
      </w:r>
    </w:p>
    <w:p>
      <w:pPr>
        <w:pStyle w:val="BodyText"/>
      </w:pPr>
      <w:r>
        <w:t xml:space="preserve">Quality was appraised with the Medical Education Research Study Quality Instrument, the JBI critical appraisal checklist for quasi-experimental studies, ROBINS-I for the comparative studies estimating curriculum exposure, and a COSMIN-informed appraisal of outcome instruments reported as the measurement evidence that exists rather than as a numerical score.</w:t>
      </w:r>
    </w:p>
    <w:p>
      <w:r>
        <w:pict>
          <v:rect style="width:0;height:1.5pt" o:hralign="center" o:hrstd="t" o:hr="t"/>
        </w:pict>
      </w:r>
    </w:p>
    <w:bookmarkEnd w:id="30"/>
    <w:bookmarkStart w:id="31" w:name="s7.-record-of-changes-to-the-protocol"/>
    <w:p>
      <w:pPr>
        <w:pStyle w:val="Heading2"/>
      </w:pPr>
      <w:r>
        <w:t xml:space="preserve">S7. Record of changes to the protocol</w:t>
      </w:r>
    </w:p>
    <w:p>
      <w:pPr>
        <w:pStyle w:val="FirstParagraph"/>
      </w:pPr>
      <w:r>
        <w:t xml:space="preserve">No silent changes were made. Every change is listed with its reason and the stage at which it was made.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Change</w:t>
            </w:r>
          </w:p>
        </w:tc>
        <w:tc>
          <w:tcPr/>
          <w:p>
            <w:pPr>
              <w:pStyle w:val="Compact"/>
            </w:pPr>
            <w:r>
              <w:t xml:space="preserve">Reason</w:t>
            </w:r>
          </w:p>
        </w:tc>
        <w:tc>
          <w:tcPr/>
          <w:p>
            <w:pPr>
              <w:pStyle w:val="Compact"/>
            </w:pPr>
            <w:r>
              <w:t xml:space="preserve">Stage</w:t>
            </w:r>
          </w:p>
        </w:tc>
      </w:tr>
      <w:tr>
        <w:tc>
          <w:tcPr/>
          <w:p>
            <w:pPr>
              <w:pStyle w:val="Compact"/>
            </w:pPr>
            <w:r>
              <w:t xml:space="preserve">Added the analysis of design and measurement features</w:t>
            </w:r>
          </w:p>
        </w:tc>
        <w:tc>
          <w:tcPr/>
          <w:p>
            <w:pPr>
              <w:pStyle w:val="Compact"/>
            </w:pPr>
            <w:r>
              <w:t xml:space="preserve">To treat heterogeneity as an explanatory finding rather than a caveat</w:t>
            </w:r>
          </w:p>
        </w:tc>
        <w:tc>
          <w:tcPr/>
          <w:p>
            <w:pPr>
              <w:pStyle w:val="Compact"/>
            </w:pPr>
            <w:r>
              <w:t xml:space="preserve">Before any coding</w:t>
            </w:r>
          </w:p>
        </w:tc>
      </w:tr>
      <w:tr>
        <w:tc>
          <w:tcPr/>
          <w:p>
            <w:pPr>
              <w:pStyle w:val="Compact"/>
            </w:pPr>
            <w:r>
              <w:t xml:space="preserve">Added the analysis of claim–evidence concordance</w:t>
            </w:r>
          </w:p>
        </w:tc>
        <w:tc>
          <w:tcPr/>
          <w:p>
            <w:pPr>
              <w:pStyle w:val="Compact"/>
            </w:pPr>
            <w:r>
              <w:t xml:space="preserve">To characterise how the literature converts weak evidence into strong claims</w:t>
            </w:r>
          </w:p>
        </w:tc>
        <w:tc>
          <w:tcPr/>
          <w:p>
            <w:pPr>
              <w:pStyle w:val="Compact"/>
            </w:pPr>
            <w:r>
              <w:t xml:space="preserve">Before any coding</w:t>
            </w:r>
          </w:p>
        </w:tc>
      </w:tr>
      <w:tr>
        <w:tc>
          <w:tcPr/>
          <w:p>
            <w:pPr>
              <w:pStyle w:val="Compact"/>
            </w:pPr>
            <w:r>
              <w:t xml:space="preserve">Added the mapping onto inference links with a transfer overlay</w:t>
            </w:r>
          </w:p>
        </w:tc>
        <w:tc>
          <w:tcPr/>
          <w:p>
            <w:pPr>
              <w:pStyle w:val="Compact"/>
            </w:pPr>
            <w:r>
              <w:t xml:space="preserve">To locate the failure within an explicit argument and explain it theoretically</w:t>
            </w:r>
          </w:p>
        </w:tc>
        <w:tc>
          <w:tcPr/>
          <w:p>
            <w:pPr>
              <w:pStyle w:val="Compact"/>
            </w:pPr>
            <w:r>
              <w:t xml:space="preserve">Before any coding</w:t>
            </w:r>
          </w:p>
        </w:tc>
      </w:tr>
      <w:tr>
        <w:tc>
          <w:tcPr/>
          <w:p>
            <w:pPr>
              <w:pStyle w:val="Compact"/>
            </w:pPr>
            <w:r>
              <w:t xml:space="preserve">Adopted MERSQI, JBI, ROBINS-I and COSMIN</w:t>
            </w:r>
          </w:p>
        </w:tc>
        <w:tc>
          <w:tcPr/>
          <w:p>
            <w:pPr>
              <w:pStyle w:val="Compact"/>
            </w:pPr>
            <w:r>
              <w:t xml:space="preserve">Named, published instruments are required for defensible appraisal</w:t>
            </w:r>
          </w:p>
        </w:tc>
        <w:tc>
          <w:tcPr/>
          <w:p>
            <w:pPr>
              <w:pStyle w:val="Compact"/>
            </w:pPr>
            <w:r>
              <w:t xml:space="preserve">Before appraisal</w:t>
            </w:r>
          </w:p>
        </w:tc>
      </w:tr>
      <w:tr>
        <w:tc>
          <w:tcPr/>
          <w:p>
            <w:pPr>
              <w:pStyle w:val="Compact"/>
            </w:pPr>
            <w:r>
              <w:t xml:space="preserve">Adopted independent duplicate human screening from blank worksheets</w:t>
            </w:r>
          </w:p>
        </w:tc>
        <w:tc>
          <w:tcPr/>
          <w:p>
            <w:pPr>
              <w:pStyle w:val="Compact"/>
            </w:pPr>
            <w:r>
              <w:t xml:space="preserve">To permit a meaningful estimate of inter-reviewer agreement</w:t>
            </w:r>
          </w:p>
        </w:tc>
        <w:tc>
          <w:tcPr/>
          <w:p>
            <w:pPr>
              <w:pStyle w:val="Compact"/>
            </w:pPr>
            <w:r>
              <w:t xml:space="preserve">Before screening</w:t>
            </w:r>
          </w:p>
        </w:tc>
      </w:tr>
      <w:tr>
        <w:tc>
          <w:tcPr/>
          <w:p>
            <w:pPr>
              <w:pStyle w:val="Compact"/>
            </w:pPr>
            <w:r>
              <w:t xml:space="preserve">Specified Gwet’s AC1 alongside Cohen’s κ</w:t>
            </w:r>
          </w:p>
        </w:tc>
        <w:tc>
          <w:tcPr/>
          <w:p>
            <w:pPr>
              <w:pStyle w:val="Compact"/>
            </w:pPr>
            <w:r>
              <w:t xml:space="preserve">Low prevalence of the positive category depresses κ through the marginals</w:t>
            </w:r>
          </w:p>
        </w:tc>
        <w:tc>
          <w:tcPr/>
          <w:p>
            <w:pPr>
              <w:pStyle w:val="Compact"/>
            </w:pPr>
            <w:r>
              <w:t xml:space="preserve">Before screening</w:t>
            </w:r>
          </w:p>
        </w:tc>
      </w:tr>
      <w:tr>
        <w:tc>
          <w:tcPr/>
          <w:p>
            <w:pPr>
              <w:pStyle w:val="Compact"/>
            </w:pPr>
            <w:r>
              <w:t xml:space="preserve">Required retrievable full text for inclusion in primary analyses</w:t>
            </w:r>
          </w:p>
        </w:tc>
        <w:tc>
          <w:tcPr/>
          <w:p>
            <w:pPr>
              <w:pStyle w:val="Compact"/>
            </w:pPr>
            <w:r>
              <w:t xml:space="preserve">Claim and inference coding are impossible without full text</w:t>
            </w:r>
          </w:p>
        </w:tc>
        <w:tc>
          <w:tcPr/>
          <w:p>
            <w:pPr>
              <w:pStyle w:val="Compact"/>
            </w:pPr>
            <w:r>
              <w:t xml:space="preserve">Before screening</w:t>
            </w:r>
          </w:p>
        </w:tc>
      </w:tr>
      <w:tr>
        <w:tc>
          <w:tcPr/>
          <w:p>
            <w:pPr>
              <w:pStyle w:val="Compact"/>
            </w:pPr>
            <w:r>
              <w:t xml:space="preserve">Expanded sources to include the Directory of Open Access Journals, an ISSN-level journal sweep, full citation chasing and author contact</w:t>
            </w:r>
          </w:p>
        </w:tc>
        <w:tc>
          <w:tcPr/>
          <w:p>
            <w:pPr>
              <w:pStyle w:val="Compact"/>
            </w:pPr>
            <w:r>
              <w:t xml:space="preserve">Most of this literature is published outside conventionally searched indexes</w:t>
            </w:r>
          </w:p>
        </w:tc>
        <w:tc>
          <w:tcPr/>
          <w:p>
            <w:pPr>
              <w:pStyle w:val="Compact"/>
            </w:pPr>
            <w:r>
              <w:t xml:space="preserve">Before searching</w:t>
            </w:r>
          </w:p>
        </w:tc>
      </w:tr>
      <w:tr>
        <w:tc>
          <w:tcPr/>
          <w:p>
            <w:pPr>
              <w:pStyle w:val="Compact"/>
            </w:pPr>
            <w:r>
              <w:t xml:space="preserve">Fixed the meta-regression threshold at twenty studies</w:t>
            </w:r>
          </w:p>
        </w:tc>
        <w:tc>
          <w:tcPr/>
          <w:p>
            <w:pPr>
              <w:pStyle w:val="Compact"/>
            </w:pPr>
            <w:r>
              <w:t xml:space="preserve">To remove any post-hoc choice about fitting moderator models</w:t>
            </w:r>
          </w:p>
        </w:tc>
        <w:tc>
          <w:tcPr/>
          <w:p>
            <w:pPr>
              <w:pStyle w:val="Compact"/>
            </w:pPr>
            <w:r>
              <w:t xml:space="preserve">Before extraction</w:t>
            </w:r>
          </w:p>
        </w:tc>
      </w:tr>
      <w:tr>
        <w:tc>
          <w:tcPr/>
          <w:p>
            <w:pPr>
              <w:pStyle w:val="Compact"/>
            </w:pPr>
            <w:r>
              <w:t xml:space="preserve">Barred any single headline pooled estimate</w:t>
            </w:r>
          </w:p>
        </w:tc>
        <w:tc>
          <w:tcPr/>
          <w:p>
            <w:pPr>
              <w:pStyle w:val="Compact"/>
            </w:pPr>
            <w:r>
              <w:t xml:space="preserve">Reporting an estimate while disclaiming its meaning is indefensible</w:t>
            </w:r>
          </w:p>
        </w:tc>
        <w:tc>
          <w:tcPr/>
          <w:p>
            <w:pPr>
              <w:pStyle w:val="Compact"/>
            </w:pPr>
            <w:r>
              <w:t xml:space="preserve">Before analysis</w:t>
            </w:r>
          </w:p>
        </w:tc>
      </w:tr>
      <w:tr>
        <w:tc>
          <w:tcPr/>
          <w:p>
            <w:pPr>
              <w:pStyle w:val="Compact"/>
            </w:pPr>
            <w:r>
              <w:t xml:space="preserve">Applied staged automated triage before human screening, each stage validated on a random sample</w:t>
            </w:r>
          </w:p>
        </w:tc>
        <w:tc>
          <w:tcPr/>
          <w:p>
            <w:pPr>
              <w:pStyle w:val="Compact"/>
            </w:pPr>
            <w:r>
              <w:t xml:space="preserve">The retrieved volume made duplicate screening of every record infeasible</w:t>
            </w:r>
          </w:p>
        </w:tc>
        <w:tc>
          <w:tcPr/>
          <w:p>
            <w:pPr>
              <w:pStyle w:val="Compact"/>
            </w:pPr>
            <w:r>
              <w:t xml:space="preserve">Before screening</w:t>
            </w:r>
          </w:p>
        </w:tc>
      </w:tr>
      <w:tr>
        <w:tc>
          <w:tcPr/>
          <w:p>
            <w:pPr>
              <w:pStyle w:val="Compact"/>
            </w:pPr>
            <w:r>
              <w:t xml:space="preserve">Adopted assistant-proposed, author-verified coding</w:t>
            </w:r>
          </w:p>
        </w:tc>
        <w:tc>
          <w:tcPr/>
          <w:p>
            <w:pPr>
              <w:pStyle w:val="Compact"/>
            </w:pPr>
            <w:r>
              <w:t xml:space="preserve">Author decision on workflow; the disclosure in S5 states exactly what may and may not be claimed</w:t>
            </w:r>
          </w:p>
        </w:tc>
        <w:tc>
          <w:tcPr/>
          <w:p>
            <w:pPr>
              <w:pStyle w:val="Compact"/>
            </w:pPr>
            <w:r>
              <w:t xml:space="preserve">Before coding</w:t>
            </w:r>
          </w:p>
        </w:tc>
      </w:tr>
      <w:tr>
        <w:tc>
          <w:tcPr/>
          <w:p>
            <w:pPr>
              <w:pStyle w:val="Compact"/>
            </w:pPr>
            <w:r>
              <w:t xml:space="preserve">Retrieved missing abstracts before applying the triage rules</w:t>
            </w:r>
          </w:p>
        </w:tc>
        <w:tc>
          <w:tcPr/>
          <w:p>
            <w:pPr>
              <w:pStyle w:val="Compact"/>
            </w:pPr>
            <w:r>
              <w:t xml:space="preserve">To reduce the screening burden by knowing more about each record rather than by excluding records known about less</w:t>
            </w:r>
          </w:p>
        </w:tc>
        <w:tc>
          <w:tcPr/>
          <w:p>
            <w:pPr>
              <w:pStyle w:val="Compact"/>
            </w:pPr>
            <w:r>
              <w:t xml:space="preserve">Before screening</w:t>
            </w:r>
          </w:p>
        </w:tc>
      </w:tr>
    </w:tbl>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2026-07-27T04:51:37Z</dcterms:created>
  <dcterms:modified xsi:type="dcterms:W3CDTF">2026-07-27T04:51:37Z</dcterms:modified>
</cp:coreProperties>
</file>

<file path=docProps/custom.xml><?xml version="1.0" encoding="utf-8"?>
<Properties xmlns="http://schemas.openxmlformats.org/officeDocument/2006/custom-properties" xmlns:vt="http://schemas.openxmlformats.org/officeDocument/2006/docPropsVTypes"/>
</file>