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2C8A" w14:textId="77777777" w:rsidR="00D75DE3" w:rsidRPr="006042F7" w:rsidRDefault="00D75DE3" w:rsidP="00D75DE3">
      <w:pPr>
        <w:widowControl/>
        <w:shd w:val="clear" w:color="auto" w:fill="FFFFFF"/>
        <w:spacing w:after="0" w:line="276" w:lineRule="auto"/>
        <w:outlineLvl w:val="2"/>
        <w:rPr>
          <w:rFonts w:ascii="Times New Roman" w:eastAsia="宋体" w:hAnsi="Times New Roman" w:cs="Times New Roman"/>
          <w:b/>
          <w:bCs/>
          <w:color w:val="000000" w:themeColor="text1"/>
          <w:spacing w:val="3"/>
          <w:kern w:val="0"/>
          <w:szCs w:val="22"/>
          <w14:ligatures w14:val="none"/>
        </w:rPr>
      </w:pPr>
      <w:r w:rsidRPr="006042F7">
        <w:rPr>
          <w:rFonts w:ascii="Times New Roman" w:eastAsia="宋体" w:hAnsi="Times New Roman" w:cs="Times New Roman"/>
          <w:b/>
          <w:bCs/>
          <w:color w:val="000000" w:themeColor="text1"/>
          <w:spacing w:val="3"/>
          <w:kern w:val="0"/>
          <w:szCs w:val="22"/>
          <w14:ligatures w14:val="none"/>
        </w:rPr>
        <w:t>Table S1: Summary of Clinical Assessment Tools and Scoring Criteria</w:t>
      </w:r>
    </w:p>
    <w:tbl>
      <w:tblPr>
        <w:tblW w:w="0" w:type="auto"/>
        <w:jc w:val="center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783"/>
        <w:gridCol w:w="1708"/>
        <w:gridCol w:w="3747"/>
      </w:tblGrid>
      <w:tr w:rsidR="00D75DE3" w:rsidRPr="006042F7" w14:paraId="2CFF5FFE" w14:textId="77777777" w:rsidTr="00A72D7B">
        <w:trPr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67E707E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  <w:t>Variable Scale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7BAE5AC0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  <w:t>Construct Measured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6ADC74CE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  <w:t>Score Range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2679E2D2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2"/>
                <w14:ligatures w14:val="none"/>
              </w:rPr>
              <w:t>Clinical Cut-off</w:t>
            </w:r>
          </w:p>
        </w:tc>
      </w:tr>
      <w:tr w:rsidR="00D75DE3" w:rsidRPr="006042F7" w14:paraId="27F2F4B7" w14:textId="77777777" w:rsidTr="00A72D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C12549C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SDS</w:t>
            </w:r>
          </w:p>
        </w:tc>
        <w:tc>
          <w:tcPr>
            <w:tcW w:w="0" w:type="auto"/>
            <w:vAlign w:val="center"/>
            <w:hideMark/>
          </w:tcPr>
          <w:p w14:paraId="4644CD7F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Depression severity</w:t>
            </w:r>
          </w:p>
        </w:tc>
        <w:tc>
          <w:tcPr>
            <w:tcW w:w="0" w:type="auto"/>
            <w:vAlign w:val="center"/>
            <w:hideMark/>
          </w:tcPr>
          <w:p w14:paraId="588C5F65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20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1C3492DD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53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62 mild, 63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72 moderate, ≥73 severe</w:t>
            </w:r>
          </w:p>
        </w:tc>
      </w:tr>
      <w:tr w:rsidR="00D75DE3" w:rsidRPr="006042F7" w14:paraId="4123A461" w14:textId="77777777" w:rsidTr="00A72D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EA2CE73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DSRSC</w:t>
            </w:r>
          </w:p>
        </w:tc>
        <w:tc>
          <w:tcPr>
            <w:tcW w:w="0" w:type="auto"/>
            <w:vAlign w:val="center"/>
            <w:hideMark/>
          </w:tcPr>
          <w:p w14:paraId="36D6CD92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Childhood depressive symptoms</w:t>
            </w:r>
          </w:p>
        </w:tc>
        <w:tc>
          <w:tcPr>
            <w:tcW w:w="0" w:type="auto"/>
            <w:vAlign w:val="center"/>
            <w:hideMark/>
          </w:tcPr>
          <w:p w14:paraId="699931EE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0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351D53C6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≥13 indicates depression risk</w:t>
            </w:r>
          </w:p>
        </w:tc>
      </w:tr>
      <w:tr w:rsidR="00D75DE3" w:rsidRPr="006042F7" w14:paraId="246C4DDD" w14:textId="77777777" w:rsidTr="00A72D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65E1BA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SAS</w:t>
            </w:r>
          </w:p>
        </w:tc>
        <w:tc>
          <w:tcPr>
            <w:tcW w:w="0" w:type="auto"/>
            <w:vAlign w:val="center"/>
            <w:hideMark/>
          </w:tcPr>
          <w:p w14:paraId="529150CB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Anxiety severity</w:t>
            </w:r>
          </w:p>
        </w:tc>
        <w:tc>
          <w:tcPr>
            <w:tcW w:w="0" w:type="auto"/>
            <w:vAlign w:val="center"/>
            <w:hideMark/>
          </w:tcPr>
          <w:p w14:paraId="2BD56CBD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20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35B96534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Standard score ≥50 indicates anxiety</w:t>
            </w:r>
          </w:p>
        </w:tc>
      </w:tr>
      <w:tr w:rsidR="00D75DE3" w:rsidRPr="006042F7" w14:paraId="32C535F3" w14:textId="77777777" w:rsidTr="00A72D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F3E62F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SCARED</w:t>
            </w:r>
          </w:p>
        </w:tc>
        <w:tc>
          <w:tcPr>
            <w:tcW w:w="0" w:type="auto"/>
            <w:vAlign w:val="center"/>
            <w:hideMark/>
          </w:tcPr>
          <w:p w14:paraId="4CD27D2E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Childhood anxiety symptoms</w:t>
            </w:r>
          </w:p>
        </w:tc>
        <w:tc>
          <w:tcPr>
            <w:tcW w:w="0" w:type="auto"/>
            <w:vAlign w:val="center"/>
            <w:hideMark/>
          </w:tcPr>
          <w:p w14:paraId="42191AF6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0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582C339F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Total ≥25 suggests anxiety disorder</w:t>
            </w:r>
          </w:p>
        </w:tc>
      </w:tr>
      <w:tr w:rsidR="00D75DE3" w:rsidRPr="006042F7" w14:paraId="226B73E5" w14:textId="77777777" w:rsidTr="00A72D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2B3874A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IVA-CPT</w:t>
            </w:r>
          </w:p>
        </w:tc>
        <w:tc>
          <w:tcPr>
            <w:tcW w:w="0" w:type="auto"/>
            <w:vAlign w:val="center"/>
            <w:hideMark/>
          </w:tcPr>
          <w:p w14:paraId="4C59FDD2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Attentional function and response inhibition</w:t>
            </w:r>
          </w:p>
        </w:tc>
        <w:tc>
          <w:tcPr>
            <w:tcW w:w="0" w:type="auto"/>
            <w:vAlign w:val="center"/>
            <w:hideMark/>
          </w:tcPr>
          <w:p w14:paraId="336B3642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Standard Quotient: 45</w:t>
            </w:r>
            <w:r w:rsidRPr="006042F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2"/>
                <w14:ligatures w14:val="none"/>
              </w:rPr>
              <w:t>-</w:t>
            </w: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155+ (M=100, SD=15)</w:t>
            </w:r>
          </w:p>
        </w:tc>
        <w:tc>
          <w:tcPr>
            <w:tcW w:w="0" w:type="auto"/>
            <w:vAlign w:val="center"/>
            <w:hideMark/>
          </w:tcPr>
          <w:p w14:paraId="330D5B11" w14:textId="77777777" w:rsidR="00D75DE3" w:rsidRPr="006042F7" w:rsidRDefault="00D75DE3" w:rsidP="00A72D7B">
            <w:pPr>
              <w:widowControl/>
              <w:spacing w:after="0" w:line="276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</w:pPr>
            <w:r w:rsidRPr="006042F7">
              <w:rPr>
                <w:rFonts w:ascii="Times New Roman" w:eastAsia="宋体" w:hAnsi="Times New Roman" w:cs="Times New Roman"/>
                <w:color w:val="000000" w:themeColor="text1"/>
                <w:kern w:val="0"/>
                <w:szCs w:val="22"/>
                <w14:ligatures w14:val="none"/>
              </w:rPr>
              <w:t>Full Scale Response Control Quotient &lt;85 indicates clinically significant deficit; ≥85 suggests normalization post-treatment</w:t>
            </w:r>
          </w:p>
        </w:tc>
      </w:tr>
    </w:tbl>
    <w:p w14:paraId="0F49CE11" w14:textId="77777777" w:rsidR="00D75DE3" w:rsidRPr="006042F7" w:rsidRDefault="00D75DE3" w:rsidP="00D75DE3">
      <w:pPr>
        <w:spacing w:line="276" w:lineRule="auto"/>
        <w:rPr>
          <w:rFonts w:ascii="Times New Roman" w:hAnsi="Times New Roman" w:cs="Times New Roman"/>
          <w:color w:val="000000" w:themeColor="text1"/>
          <w:szCs w:val="22"/>
        </w:rPr>
      </w:pPr>
    </w:p>
    <w:p w14:paraId="01A77544" w14:textId="77777777" w:rsidR="00C60C44" w:rsidRPr="00D75DE3" w:rsidRDefault="00C60C44"/>
    <w:sectPr w:rsidR="00C60C44" w:rsidRPr="00D75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F"/>
    <w:rsid w:val="004B6DD1"/>
    <w:rsid w:val="009E6682"/>
    <w:rsid w:val="00C60C44"/>
    <w:rsid w:val="00D37FAD"/>
    <w:rsid w:val="00D656FF"/>
    <w:rsid w:val="00D75DE3"/>
    <w:rsid w:val="00E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EC3A7"/>
  <w15:chartTrackingRefBased/>
  <w15:docId w15:val="{B4C1F4C5-890B-5B4C-943F-1A242DD0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DE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56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6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6F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6F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6F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6F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6F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6F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6F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5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5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56F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56F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656F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56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56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56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56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5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56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56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5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65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56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56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5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56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5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t62972</dc:creator>
  <cp:keywords/>
  <dc:description/>
  <cp:lastModifiedBy>t62972</cp:lastModifiedBy>
  <cp:revision>2</cp:revision>
  <dcterms:created xsi:type="dcterms:W3CDTF">2026-07-29T07:32:00Z</dcterms:created>
  <dcterms:modified xsi:type="dcterms:W3CDTF">2026-07-29T07:32:00Z</dcterms:modified>
</cp:coreProperties>
</file>