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C0FC3" w14:textId="77777777" w:rsidR="0075117D" w:rsidRPr="00917E66" w:rsidRDefault="0075117D" w:rsidP="00917E6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17E66">
        <w:rPr>
          <w:rFonts w:asciiTheme="majorBidi" w:hAnsiTheme="majorBidi" w:cstheme="majorBidi"/>
          <w:b/>
          <w:bCs/>
          <w:lang w:val="en-GB"/>
        </w:rPr>
        <w:t>Additional File 1</w:t>
      </w:r>
    </w:p>
    <w:p w14:paraId="0C5590D9" w14:textId="77777777" w:rsidR="0075117D" w:rsidRPr="00917E66" w:rsidRDefault="0075117D" w:rsidP="00917E6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17E66">
        <w:rPr>
          <w:rFonts w:asciiTheme="majorBidi" w:hAnsiTheme="majorBidi" w:cstheme="majorBidi"/>
          <w:b/>
          <w:bCs/>
          <w:lang w:val="en-GB"/>
        </w:rPr>
        <w:t>Conception-Related Sexual Misconceptions Scale (CRSMS): English Version</w:t>
      </w:r>
    </w:p>
    <w:p w14:paraId="7FDB0DAE" w14:textId="5C203F2D" w:rsidR="00F424FF" w:rsidRDefault="00F424FF" w:rsidP="00683F52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917E66">
        <w:rPr>
          <w:rFonts w:asciiTheme="majorBidi" w:hAnsiTheme="majorBidi" w:cstheme="majorBidi"/>
          <w:lang w:val="en-GB"/>
        </w:rPr>
        <w:t xml:space="preserve">The following statements concern beliefs and perceptions regarding conception, fertility, and reproductive health. Please read each statement carefully and indicate </w:t>
      </w:r>
      <w:r w:rsidR="00683F52" w:rsidRPr="00683F52">
        <w:rPr>
          <w:rFonts w:asciiTheme="majorBidi" w:hAnsiTheme="majorBidi" w:cstheme="majorBidi"/>
          <w:lang w:val="en-GB"/>
        </w:rPr>
        <w:t>the extent to which you agree or disagree with each statement</w:t>
      </w:r>
      <w:r w:rsidRPr="00683F52">
        <w:rPr>
          <w:rFonts w:asciiTheme="majorBidi" w:hAnsiTheme="majorBidi" w:cstheme="majorBidi"/>
          <w:lang w:val="en-GB"/>
        </w:rPr>
        <w:t>. There are no right or wrong answers. Your responses will be used solely for scienti</w:t>
      </w:r>
      <w:r w:rsidRPr="00917E66">
        <w:rPr>
          <w:rFonts w:asciiTheme="majorBidi" w:hAnsiTheme="majorBidi" w:cstheme="majorBidi"/>
          <w:lang w:val="en-GB"/>
        </w:rPr>
        <w:t>fic research purposes and will be kept strictly confidential.</w:t>
      </w:r>
    </w:p>
    <w:p w14:paraId="076767C7" w14:textId="77777777" w:rsidR="00944437" w:rsidRPr="00917E66" w:rsidRDefault="00944437" w:rsidP="00917E66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</w:p>
    <w:p w14:paraId="11A8BF27" w14:textId="77777777" w:rsidR="00F424FF" w:rsidRPr="00917E66" w:rsidRDefault="00F424FF" w:rsidP="00917E66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917E66">
        <w:rPr>
          <w:rFonts w:asciiTheme="majorBidi" w:hAnsiTheme="majorBidi" w:cstheme="majorBidi"/>
          <w:lang w:val="en-GB"/>
        </w:rPr>
        <w:t>Please select one response for each statement using the following scale: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44"/>
      </w:tblGrid>
      <w:tr w:rsidR="00F424FF" w:rsidRPr="00917E66" w14:paraId="16536991" w14:textId="77777777" w:rsidTr="00DA2574">
        <w:trPr>
          <w:tblHeader/>
          <w:tblCellSpacing w:w="15" w:type="dxa"/>
        </w:trPr>
        <w:tc>
          <w:tcPr>
            <w:tcW w:w="2649" w:type="dxa"/>
            <w:vAlign w:val="center"/>
            <w:hideMark/>
          </w:tcPr>
          <w:p w14:paraId="11BA0739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917E66">
              <w:rPr>
                <w:rFonts w:asciiTheme="majorBidi" w:hAnsiTheme="majorBidi" w:cstheme="majorBidi"/>
                <w:b/>
                <w:bCs/>
                <w:lang w:val="en-GB"/>
              </w:rPr>
              <w:t>Response</w:t>
            </w:r>
          </w:p>
        </w:tc>
        <w:tc>
          <w:tcPr>
            <w:tcW w:w="0" w:type="auto"/>
            <w:vAlign w:val="center"/>
            <w:hideMark/>
          </w:tcPr>
          <w:p w14:paraId="28B3D732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917E66">
              <w:rPr>
                <w:rFonts w:asciiTheme="majorBidi" w:hAnsiTheme="majorBidi" w:cstheme="majorBidi"/>
                <w:b/>
                <w:bCs/>
                <w:lang w:val="en-GB"/>
              </w:rPr>
              <w:t>Score</w:t>
            </w:r>
          </w:p>
        </w:tc>
      </w:tr>
      <w:tr w:rsidR="00F424FF" w:rsidRPr="00917E66" w14:paraId="2DEAC913" w14:textId="77777777" w:rsidTr="00DA2574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19058F55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Strongly disagree</w:t>
            </w:r>
          </w:p>
        </w:tc>
        <w:tc>
          <w:tcPr>
            <w:tcW w:w="0" w:type="auto"/>
            <w:vAlign w:val="center"/>
            <w:hideMark/>
          </w:tcPr>
          <w:p w14:paraId="05587770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1</w:t>
            </w:r>
          </w:p>
        </w:tc>
      </w:tr>
      <w:tr w:rsidR="00F424FF" w:rsidRPr="00917E66" w14:paraId="1EB87FE2" w14:textId="77777777" w:rsidTr="00DA2574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3309906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Disagree</w:t>
            </w:r>
          </w:p>
        </w:tc>
        <w:tc>
          <w:tcPr>
            <w:tcW w:w="0" w:type="auto"/>
            <w:vAlign w:val="center"/>
            <w:hideMark/>
          </w:tcPr>
          <w:p w14:paraId="1A6B3AB9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2</w:t>
            </w:r>
          </w:p>
        </w:tc>
      </w:tr>
      <w:tr w:rsidR="00F424FF" w:rsidRPr="00917E66" w14:paraId="65C27043" w14:textId="77777777" w:rsidTr="00DA2574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270ECF2E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Neither agree nor disagree</w:t>
            </w:r>
          </w:p>
        </w:tc>
        <w:tc>
          <w:tcPr>
            <w:tcW w:w="0" w:type="auto"/>
            <w:vAlign w:val="center"/>
            <w:hideMark/>
          </w:tcPr>
          <w:p w14:paraId="7E2ED586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3</w:t>
            </w:r>
          </w:p>
        </w:tc>
      </w:tr>
      <w:tr w:rsidR="00F424FF" w:rsidRPr="00917E66" w14:paraId="08FC99F6" w14:textId="77777777" w:rsidTr="00DA2574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6F599A78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Agree</w:t>
            </w:r>
          </w:p>
        </w:tc>
        <w:tc>
          <w:tcPr>
            <w:tcW w:w="0" w:type="auto"/>
            <w:vAlign w:val="center"/>
            <w:hideMark/>
          </w:tcPr>
          <w:p w14:paraId="5B87EF85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4</w:t>
            </w:r>
          </w:p>
        </w:tc>
      </w:tr>
      <w:tr w:rsidR="00F424FF" w:rsidRPr="00917E66" w14:paraId="69868023" w14:textId="77777777" w:rsidTr="00DA2574">
        <w:trPr>
          <w:tblCellSpacing w:w="15" w:type="dxa"/>
        </w:trPr>
        <w:tc>
          <w:tcPr>
            <w:tcW w:w="2649" w:type="dxa"/>
            <w:vAlign w:val="center"/>
            <w:hideMark/>
          </w:tcPr>
          <w:p w14:paraId="5DAB2145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Strongly agree</w:t>
            </w:r>
          </w:p>
        </w:tc>
        <w:tc>
          <w:tcPr>
            <w:tcW w:w="0" w:type="auto"/>
            <w:vAlign w:val="center"/>
            <w:hideMark/>
          </w:tcPr>
          <w:p w14:paraId="09284908" w14:textId="77777777" w:rsidR="00F424FF" w:rsidRPr="00917E66" w:rsidRDefault="00F424FF" w:rsidP="00917E66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GB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>5</w:t>
            </w:r>
          </w:p>
        </w:tc>
      </w:tr>
    </w:tbl>
    <w:p w14:paraId="38C1963A" w14:textId="77777777" w:rsidR="00367F85" w:rsidRPr="00917E66" w:rsidRDefault="00367F85" w:rsidP="00917E66">
      <w:pPr>
        <w:spacing w:after="0" w:line="240" w:lineRule="auto"/>
        <w:rPr>
          <w:rFonts w:asciiTheme="majorBidi" w:hAnsiTheme="majorBidi" w:cstheme="majorBidi"/>
          <w:lang w:val="en-GB"/>
        </w:rPr>
      </w:pPr>
    </w:p>
    <w:tbl>
      <w:tblPr>
        <w:tblStyle w:val="KlavuzuTablo4-Vurgu5"/>
        <w:tblW w:w="10906" w:type="dxa"/>
        <w:tblInd w:w="-998" w:type="dxa"/>
        <w:tblLook w:val="04A0" w:firstRow="1" w:lastRow="0" w:firstColumn="1" w:lastColumn="0" w:noHBand="0" w:noVBand="1"/>
      </w:tblPr>
      <w:tblGrid>
        <w:gridCol w:w="993"/>
        <w:gridCol w:w="5534"/>
        <w:gridCol w:w="850"/>
        <w:gridCol w:w="851"/>
        <w:gridCol w:w="850"/>
        <w:gridCol w:w="846"/>
        <w:gridCol w:w="982"/>
      </w:tblGrid>
      <w:tr w:rsidR="007D2131" w:rsidRPr="00917E66" w14:paraId="1E6670F7" w14:textId="77777777" w:rsidTr="00383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4D812CBD" w14:textId="7C050956" w:rsidR="007D2131" w:rsidRPr="00917E66" w:rsidRDefault="007D2131" w:rsidP="00917E66">
            <w:pPr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Times New Roman" w:hAnsiTheme="majorBidi" w:cstheme="majorBidi"/>
                <w:lang w:val="en-GB" w:eastAsia="tr-TR"/>
              </w:rPr>
              <w:t>No</w:t>
            </w:r>
          </w:p>
        </w:tc>
        <w:tc>
          <w:tcPr>
            <w:tcW w:w="5534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noWrap/>
            <w:vAlign w:val="center"/>
            <w:hideMark/>
          </w:tcPr>
          <w:p w14:paraId="661F1591" w14:textId="1D4D6C9B" w:rsidR="007D2131" w:rsidRPr="00917E66" w:rsidRDefault="005B1D95" w:rsidP="00321B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Times New Roman" w:hAnsiTheme="majorBidi" w:cstheme="majorBidi"/>
                <w:lang w:val="en-GB" w:eastAsia="tr-TR"/>
              </w:rPr>
              <w:t>Items</w:t>
            </w:r>
          </w:p>
        </w:tc>
        <w:tc>
          <w:tcPr>
            <w:tcW w:w="85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noWrap/>
            <w:textDirection w:val="btLr"/>
            <w:vAlign w:val="center"/>
          </w:tcPr>
          <w:p w14:paraId="518B38A9" w14:textId="60D55EDA" w:rsidR="007D2131" w:rsidRPr="00917E66" w:rsidRDefault="00611035" w:rsidP="00944437">
            <w:pPr>
              <w:pStyle w:val="ListeParagraf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Arial" w:hAnsiTheme="majorBidi" w:cstheme="majorBidi"/>
                <w:kern w:val="0"/>
                <w:sz w:val="22"/>
                <w:szCs w:val="22"/>
                <w:lang w:val="en-GB"/>
                <w14:ligatures w14:val="none"/>
              </w:rPr>
              <w:t>Strongly disagree</w:t>
            </w:r>
          </w:p>
        </w:tc>
        <w:tc>
          <w:tcPr>
            <w:tcW w:w="851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noWrap/>
            <w:textDirection w:val="btLr"/>
            <w:vAlign w:val="center"/>
          </w:tcPr>
          <w:p w14:paraId="65099531" w14:textId="7CBF3830" w:rsidR="007D2131" w:rsidRPr="00917E66" w:rsidRDefault="00611035" w:rsidP="00944437">
            <w:pPr>
              <w:pStyle w:val="ListeParagraf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lang w:val="en-GB" w:eastAsia="tr-TR"/>
              </w:rPr>
            </w:pPr>
            <w:r w:rsidRPr="00917E66">
              <w:rPr>
                <w:rFonts w:asciiTheme="majorBidi" w:eastAsia="Arial" w:hAnsiTheme="majorBidi" w:cstheme="majorBidi"/>
                <w:b w:val="0"/>
                <w:bCs w:val="0"/>
                <w:kern w:val="0"/>
                <w:sz w:val="22"/>
                <w:szCs w:val="22"/>
                <w:lang w:val="en-GB"/>
                <w14:ligatures w14:val="none"/>
              </w:rPr>
              <w:t>Disagree</w:t>
            </w:r>
          </w:p>
        </w:tc>
        <w:tc>
          <w:tcPr>
            <w:tcW w:w="85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noWrap/>
            <w:textDirection w:val="btLr"/>
            <w:vAlign w:val="center"/>
          </w:tcPr>
          <w:p w14:paraId="0F85CCF2" w14:textId="4EDB9541" w:rsidR="007D2131" w:rsidRPr="00917E66" w:rsidRDefault="00611035" w:rsidP="00944437">
            <w:pPr>
              <w:pStyle w:val="ListeParagraf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Arial" w:hAnsiTheme="majorBidi" w:cstheme="majorBidi"/>
                <w:kern w:val="0"/>
                <w:sz w:val="22"/>
                <w:szCs w:val="22"/>
                <w:lang w:val="en-GB"/>
                <w14:ligatures w14:val="none"/>
              </w:rPr>
              <w:t>Neither agree nor disagree</w:t>
            </w:r>
          </w:p>
        </w:tc>
        <w:tc>
          <w:tcPr>
            <w:tcW w:w="846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textDirection w:val="btLr"/>
            <w:vAlign w:val="center"/>
          </w:tcPr>
          <w:p w14:paraId="3BAD64EC" w14:textId="58F9B65A" w:rsidR="007D2131" w:rsidRPr="00917E66" w:rsidRDefault="00611035" w:rsidP="00944437">
            <w:pPr>
              <w:pStyle w:val="ListeParagraf"/>
              <w:numPr>
                <w:ilvl w:val="0"/>
                <w:numId w:val="2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Arial" w:hAnsiTheme="majorBidi" w:cstheme="majorBidi"/>
                <w:kern w:val="0"/>
                <w:sz w:val="22"/>
                <w:szCs w:val="22"/>
                <w:lang w:val="en-GB"/>
                <w14:ligatures w14:val="none"/>
              </w:rPr>
              <w:t>Agree</w:t>
            </w:r>
          </w:p>
        </w:tc>
        <w:tc>
          <w:tcPr>
            <w:tcW w:w="982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noWrap/>
            <w:textDirection w:val="btLr"/>
            <w:vAlign w:val="center"/>
          </w:tcPr>
          <w:p w14:paraId="06058FB3" w14:textId="63542CAD" w:rsidR="007D2131" w:rsidRPr="00917E66" w:rsidRDefault="007D2131" w:rsidP="009444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eastAsia="Arial" w:hAnsiTheme="majorBidi" w:cstheme="majorBidi"/>
                <w:kern w:val="0"/>
                <w:sz w:val="22"/>
                <w:szCs w:val="22"/>
                <w:lang w:val="en-GB"/>
                <w14:ligatures w14:val="none"/>
              </w:rPr>
              <w:t>5</w:t>
            </w:r>
            <w:r w:rsidR="00611035" w:rsidRPr="00917E66">
              <w:rPr>
                <w:rFonts w:asciiTheme="majorBidi" w:hAnsiTheme="majorBidi" w:cstheme="majorBidi"/>
                <w:lang w:val="en-GB"/>
              </w:rPr>
              <w:t xml:space="preserve"> </w:t>
            </w:r>
            <w:r w:rsidR="00611035" w:rsidRPr="00917E66">
              <w:rPr>
                <w:rFonts w:asciiTheme="majorBidi" w:eastAsia="Arial" w:hAnsiTheme="majorBidi" w:cstheme="majorBidi"/>
                <w:kern w:val="0"/>
                <w:sz w:val="22"/>
                <w:szCs w:val="22"/>
                <w:lang w:val="en-GB"/>
                <w14:ligatures w14:val="none"/>
              </w:rPr>
              <w:t>Strongly agree</w:t>
            </w:r>
          </w:p>
        </w:tc>
      </w:tr>
      <w:tr w:rsidR="00420B5A" w:rsidRPr="00917E66" w14:paraId="5FE1F804" w14:textId="77777777" w:rsidTr="006438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4472C4" w:themeColor="accent1"/>
            </w:tcBorders>
          </w:tcPr>
          <w:p w14:paraId="2AFB59CA" w14:textId="77777777" w:rsidR="00420B5A" w:rsidRPr="00917E66" w:rsidRDefault="00420B5A" w:rsidP="00917E66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tcBorders>
              <w:top w:val="single" w:sz="4" w:space="0" w:color="4472C4" w:themeColor="accent1"/>
            </w:tcBorders>
            <w:noWrap/>
            <w:hideMark/>
          </w:tcPr>
          <w:p w14:paraId="5B086A47" w14:textId="1EC1EB3D" w:rsidR="00420B5A" w:rsidRPr="00917E66" w:rsidRDefault="00420B5A" w:rsidP="0094443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Pregnancy can occur through kissing or touching without sexual intercourse. </w:t>
            </w:r>
          </w:p>
        </w:tc>
        <w:tc>
          <w:tcPr>
            <w:tcW w:w="850" w:type="dxa"/>
            <w:tcBorders>
              <w:top w:val="single" w:sz="4" w:space="0" w:color="4472C4" w:themeColor="accent1"/>
            </w:tcBorders>
            <w:noWrap/>
            <w:vAlign w:val="center"/>
          </w:tcPr>
          <w:p w14:paraId="6CE2089F" w14:textId="191F958C" w:rsidR="00420B5A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tcBorders>
              <w:top w:val="single" w:sz="4" w:space="0" w:color="4472C4" w:themeColor="accent1"/>
            </w:tcBorders>
            <w:noWrap/>
            <w:vAlign w:val="center"/>
          </w:tcPr>
          <w:p w14:paraId="3671AC01" w14:textId="6BB8E18B" w:rsidR="00420B5A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tcBorders>
              <w:top w:val="single" w:sz="4" w:space="0" w:color="4472C4" w:themeColor="accent1"/>
            </w:tcBorders>
            <w:noWrap/>
            <w:vAlign w:val="center"/>
            <w:hideMark/>
          </w:tcPr>
          <w:p w14:paraId="0DC1CA07" w14:textId="2EB17F7E" w:rsidR="00420B5A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tcBorders>
              <w:top w:val="single" w:sz="4" w:space="0" w:color="4472C4" w:themeColor="accent1"/>
            </w:tcBorders>
            <w:vAlign w:val="center"/>
          </w:tcPr>
          <w:p w14:paraId="41E08019" w14:textId="6A74D120" w:rsidR="00420B5A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tcBorders>
              <w:top w:val="single" w:sz="4" w:space="0" w:color="4472C4" w:themeColor="accent1"/>
            </w:tcBorders>
            <w:noWrap/>
            <w:vAlign w:val="center"/>
            <w:hideMark/>
          </w:tcPr>
          <w:p w14:paraId="5C9F21D6" w14:textId="1E8795FD" w:rsidR="00420B5A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3543BEE5" w14:textId="77777777" w:rsidTr="009802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74C5E81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7AF49328" w14:textId="66D3D0D3" w:rsidR="009802D7" w:rsidRPr="00917E66" w:rsidRDefault="009802D7" w:rsidP="009802D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Different sexual positions during intercourse can influence the baby's sex. </w:t>
            </w:r>
          </w:p>
        </w:tc>
        <w:tc>
          <w:tcPr>
            <w:tcW w:w="850" w:type="dxa"/>
            <w:noWrap/>
            <w:vAlign w:val="center"/>
          </w:tcPr>
          <w:p w14:paraId="13BE6057" w14:textId="3DB64930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982B85C" w14:textId="15227DD9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04C6932D" w14:textId="6742A547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76E75139" w14:textId="02CB7E85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2323F391" w14:textId="53C1731B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52DCF991" w14:textId="77777777" w:rsidTr="00980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C5E1339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02FF1A08" w14:textId="17FA439B" w:rsidR="009802D7" w:rsidRPr="00917E66" w:rsidRDefault="009802D7" w:rsidP="009802D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The most suitable sexual position for conception is the man-on-top position. </w:t>
            </w:r>
          </w:p>
        </w:tc>
        <w:tc>
          <w:tcPr>
            <w:tcW w:w="850" w:type="dxa"/>
            <w:noWrap/>
            <w:vAlign w:val="center"/>
          </w:tcPr>
          <w:p w14:paraId="0F965949" w14:textId="3F69B4E4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15EBF7BA" w14:textId="554D76C1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392DC4A5" w14:textId="17D1A17C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188B5983" w14:textId="602CBD94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34F5C03F" w14:textId="2F71C510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4BA34D79" w14:textId="77777777" w:rsidTr="009802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E348877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025F10DD" w14:textId="7B4CF3C8" w:rsidR="009802D7" w:rsidRPr="00917E66" w:rsidRDefault="009802D7" w:rsidP="009802D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Pregnancy cannot occur during menstruation. </w:t>
            </w:r>
          </w:p>
        </w:tc>
        <w:tc>
          <w:tcPr>
            <w:tcW w:w="850" w:type="dxa"/>
            <w:noWrap/>
            <w:vAlign w:val="center"/>
          </w:tcPr>
          <w:p w14:paraId="141691F4" w14:textId="3AA1B8AD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40EA02CD" w14:textId="693691B9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167E5A1B" w14:textId="6D814DFB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6C7A560D" w14:textId="149985FB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2C4419EC" w14:textId="60B5A1F5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6E54F474" w14:textId="77777777" w:rsidTr="00980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64ED020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52DFF385" w14:textId="433D1EA7" w:rsidR="009802D7" w:rsidRPr="00917E66" w:rsidRDefault="009802D7" w:rsidP="009802D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Pregnancy cannot occur during the first sexual intercourse. </w:t>
            </w:r>
          </w:p>
        </w:tc>
        <w:tc>
          <w:tcPr>
            <w:tcW w:w="850" w:type="dxa"/>
            <w:noWrap/>
            <w:vAlign w:val="center"/>
          </w:tcPr>
          <w:p w14:paraId="748E29FA" w14:textId="3313218D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CED54E8" w14:textId="7FFAE720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5674DAE8" w14:textId="5781ACB6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07DF1024" w14:textId="24CBA626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137AEFFA" w14:textId="33B1C617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6CD8F270" w14:textId="77777777" w:rsidTr="009802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FA21CD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4C32ED8B" w14:textId="0F19DA19" w:rsidR="009802D7" w:rsidRPr="00917E66" w:rsidRDefault="009802D7" w:rsidP="009802D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 </w:t>
            </w:r>
            <w:r w:rsidR="00EE02FA" w:rsidRPr="00EE02FA">
              <w:rPr>
                <w:rFonts w:asciiTheme="majorBidi" w:hAnsiTheme="majorBidi" w:cstheme="majorBidi"/>
                <w:lang w:val="en-GB"/>
              </w:rPr>
              <w:t>Using lubricants increases the chance of becoming pregnant.</w:t>
            </w:r>
          </w:p>
        </w:tc>
        <w:tc>
          <w:tcPr>
            <w:tcW w:w="850" w:type="dxa"/>
            <w:noWrap/>
            <w:vAlign w:val="center"/>
          </w:tcPr>
          <w:p w14:paraId="58CFBA72" w14:textId="4609225E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4309629" w14:textId="67784AF6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314B011C" w14:textId="0CE09EE7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46FD6834" w14:textId="203CCE19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02936D68" w14:textId="57BB682D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7C25FFB3" w14:textId="77777777" w:rsidTr="00980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D2DB9B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59D9B3B7" w14:textId="4A661589" w:rsidR="009802D7" w:rsidRPr="00917E66" w:rsidRDefault="009802D7" w:rsidP="009802D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Using oral contraceptive pills has a long-term negative effect on fertility. </w:t>
            </w:r>
          </w:p>
        </w:tc>
        <w:tc>
          <w:tcPr>
            <w:tcW w:w="850" w:type="dxa"/>
            <w:noWrap/>
            <w:vAlign w:val="center"/>
          </w:tcPr>
          <w:p w14:paraId="0FD05C29" w14:textId="4B98710C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476C3ADB" w14:textId="3235A603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6A15D761" w14:textId="4F2E93F6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1E1AB29C" w14:textId="48EF1A29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0142D65B" w14:textId="17CB6FEA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67A03D82" w14:textId="77777777" w:rsidTr="009802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8DDFA88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58CF8165" w14:textId="2B421CAE" w:rsidR="009802D7" w:rsidRPr="00917E66" w:rsidRDefault="009802D7" w:rsidP="009802D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Having sexual intercourse every day increases the chance of becoming pregnant. </w:t>
            </w:r>
          </w:p>
        </w:tc>
        <w:tc>
          <w:tcPr>
            <w:tcW w:w="850" w:type="dxa"/>
            <w:noWrap/>
            <w:vAlign w:val="center"/>
          </w:tcPr>
          <w:p w14:paraId="2BA3DF60" w14:textId="72910F63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48BD3DFE" w14:textId="42084FB0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4E47770A" w14:textId="53E5DD31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1F000421" w14:textId="34637ADE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5EAB2B12" w14:textId="676D56DC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79458DE0" w14:textId="77777777" w:rsidTr="00980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3856338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09649A9E" w14:textId="6B1CF8AB" w:rsidR="009802D7" w:rsidRPr="00917E66" w:rsidRDefault="009802D7" w:rsidP="009802D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Raising your legs for about 20 minutes after sexual intercourse increases the chance of becoming pregnant. </w:t>
            </w:r>
          </w:p>
        </w:tc>
        <w:tc>
          <w:tcPr>
            <w:tcW w:w="850" w:type="dxa"/>
            <w:noWrap/>
            <w:vAlign w:val="center"/>
          </w:tcPr>
          <w:p w14:paraId="738C5292" w14:textId="68AA294F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6948AD90" w14:textId="62FFB169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4CD5F5C3" w14:textId="0645F0B3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24375757" w14:textId="442FB78D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7A1E58E7" w14:textId="75A182B9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2F1BBAD6" w14:textId="77777777" w:rsidTr="009802D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49FE9E7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7C60C33B" w14:textId="0433BDB4" w:rsidR="009802D7" w:rsidRPr="00917E66" w:rsidRDefault="009802D7" w:rsidP="009802D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17E66">
              <w:rPr>
                <w:rFonts w:asciiTheme="majorBidi" w:hAnsiTheme="majorBidi" w:cstheme="majorBidi"/>
                <w:lang w:val="en-GB"/>
              </w:rPr>
              <w:t xml:space="preserve">A woman must experience orgasm </w:t>
            </w:r>
            <w:proofErr w:type="gramStart"/>
            <w:r w:rsidRPr="00917E66">
              <w:rPr>
                <w:rFonts w:asciiTheme="majorBidi" w:hAnsiTheme="majorBidi" w:cstheme="majorBidi"/>
                <w:lang w:val="en-GB"/>
              </w:rPr>
              <w:t>in order to</w:t>
            </w:r>
            <w:proofErr w:type="gramEnd"/>
            <w:r w:rsidRPr="00917E66">
              <w:rPr>
                <w:rFonts w:asciiTheme="majorBidi" w:hAnsiTheme="majorBidi" w:cstheme="majorBidi"/>
                <w:lang w:val="en-GB"/>
              </w:rPr>
              <w:t xml:space="preserve"> become pregnant. </w:t>
            </w:r>
          </w:p>
        </w:tc>
        <w:tc>
          <w:tcPr>
            <w:tcW w:w="850" w:type="dxa"/>
            <w:noWrap/>
            <w:vAlign w:val="center"/>
          </w:tcPr>
          <w:p w14:paraId="272EAE30" w14:textId="5020DFA1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44DD35BD" w14:textId="182FF709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372A29C9" w14:textId="0324DC0E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75636661" w14:textId="381AB903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015B8576" w14:textId="74387D35" w:rsidR="009802D7" w:rsidRPr="00917E66" w:rsidRDefault="009802D7" w:rsidP="009802D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  <w:tr w:rsidR="009802D7" w:rsidRPr="00917E66" w14:paraId="63296687" w14:textId="77777777" w:rsidTr="00980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67CB522" w14:textId="77777777" w:rsidR="009802D7" w:rsidRPr="00917E66" w:rsidRDefault="009802D7" w:rsidP="009802D7">
            <w:pPr>
              <w:pStyle w:val="ListeParagraf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lang w:val="en-GB" w:eastAsia="tr-TR"/>
              </w:rPr>
            </w:pPr>
          </w:p>
        </w:tc>
        <w:tc>
          <w:tcPr>
            <w:tcW w:w="5534" w:type="dxa"/>
            <w:noWrap/>
            <w:hideMark/>
          </w:tcPr>
          <w:p w14:paraId="55DB7BB5" w14:textId="762EE0DF" w:rsidR="009802D7" w:rsidRPr="00917E66" w:rsidRDefault="009F488F" w:rsidP="009802D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 w:rsidRPr="009F488F">
              <w:rPr>
                <w:rFonts w:asciiTheme="majorBidi" w:hAnsiTheme="majorBidi" w:cstheme="majorBidi"/>
                <w:lang w:val="en-GB"/>
              </w:rPr>
              <w:t>To increase the chance of becoming pregnant, sexual intercourse should occur only on the day of ovulation.</w:t>
            </w:r>
          </w:p>
        </w:tc>
        <w:tc>
          <w:tcPr>
            <w:tcW w:w="850" w:type="dxa"/>
            <w:noWrap/>
            <w:vAlign w:val="center"/>
          </w:tcPr>
          <w:p w14:paraId="6025BD89" w14:textId="36285849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22E50CC9" w14:textId="44CFB013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2</w:t>
            </w:r>
          </w:p>
        </w:tc>
        <w:tc>
          <w:tcPr>
            <w:tcW w:w="850" w:type="dxa"/>
            <w:vAlign w:val="center"/>
            <w:hideMark/>
          </w:tcPr>
          <w:p w14:paraId="685ABDB5" w14:textId="6EA2B4A6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3</w:t>
            </w:r>
          </w:p>
        </w:tc>
        <w:tc>
          <w:tcPr>
            <w:tcW w:w="846" w:type="dxa"/>
            <w:vAlign w:val="center"/>
          </w:tcPr>
          <w:p w14:paraId="48283098" w14:textId="72F925C9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4</w:t>
            </w:r>
          </w:p>
        </w:tc>
        <w:tc>
          <w:tcPr>
            <w:tcW w:w="982" w:type="dxa"/>
            <w:vAlign w:val="center"/>
            <w:hideMark/>
          </w:tcPr>
          <w:p w14:paraId="48DD0C30" w14:textId="5B2B75FF" w:rsidR="009802D7" w:rsidRPr="00917E66" w:rsidRDefault="009802D7" w:rsidP="009802D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GB" w:eastAsia="tr-TR"/>
              </w:rPr>
            </w:pPr>
            <w:r>
              <w:rPr>
                <w:rFonts w:asciiTheme="majorBidi" w:eastAsia="Times New Roman" w:hAnsiTheme="majorBidi" w:cstheme="majorBidi"/>
                <w:lang w:val="en-GB" w:eastAsia="tr-TR"/>
              </w:rPr>
              <w:t>5</w:t>
            </w:r>
          </w:p>
        </w:tc>
      </w:tr>
    </w:tbl>
    <w:p w14:paraId="763D9D31" w14:textId="77777777" w:rsidR="00141056" w:rsidRPr="00917E66" w:rsidRDefault="00141056" w:rsidP="00917E66">
      <w:pPr>
        <w:spacing w:after="0" w:line="240" w:lineRule="auto"/>
        <w:rPr>
          <w:rFonts w:asciiTheme="majorBidi" w:hAnsiTheme="majorBidi" w:cstheme="majorBidi"/>
          <w:lang w:val="en-GB"/>
        </w:rPr>
      </w:pPr>
    </w:p>
    <w:p w14:paraId="54789E26" w14:textId="77777777" w:rsidR="003908C5" w:rsidRPr="00917E66" w:rsidRDefault="003908C5" w:rsidP="00917E66">
      <w:pPr>
        <w:spacing w:after="0" w:line="24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917E66">
        <w:rPr>
          <w:rFonts w:asciiTheme="majorBidi" w:hAnsiTheme="majorBidi" w:cstheme="majorBidi"/>
          <w:b/>
          <w:bCs/>
          <w:lang w:val="en-GB"/>
        </w:rPr>
        <w:t>Scoring and Interpretation</w:t>
      </w:r>
    </w:p>
    <w:p w14:paraId="5C054880" w14:textId="580B4B0A" w:rsidR="0013579E" w:rsidRPr="00917E66" w:rsidRDefault="003908C5" w:rsidP="00974A23">
      <w:pPr>
        <w:spacing w:after="0" w:line="240" w:lineRule="auto"/>
        <w:jc w:val="both"/>
        <w:rPr>
          <w:rFonts w:asciiTheme="majorBidi" w:hAnsiTheme="majorBidi" w:cstheme="majorBidi"/>
          <w:lang w:val="en-GB"/>
        </w:rPr>
      </w:pPr>
      <w:r w:rsidRPr="00917E66">
        <w:rPr>
          <w:rFonts w:asciiTheme="majorBidi" w:hAnsiTheme="majorBidi" w:cstheme="majorBidi"/>
          <w:lang w:val="en-GB"/>
        </w:rPr>
        <w:t>The Conception-Related Sexual Misconceptions Scale (CRSMS) consists of 11 items rated on a five-point Likert scale ranging from 1 (Strongly disagree) to 5 (Strongly agree).</w:t>
      </w:r>
      <w:r w:rsidR="005B16F9" w:rsidRPr="00917E66">
        <w:rPr>
          <w:rFonts w:asciiTheme="majorBidi" w:hAnsiTheme="majorBidi" w:cstheme="majorBidi"/>
          <w:lang w:val="en-GB"/>
        </w:rPr>
        <w:t xml:space="preserve"> </w:t>
      </w:r>
      <w:r w:rsidRPr="00917E66">
        <w:rPr>
          <w:rFonts w:asciiTheme="majorBidi" w:hAnsiTheme="majorBidi" w:cstheme="majorBidi"/>
          <w:lang w:val="en-GB"/>
        </w:rPr>
        <w:t>The total score is calculated by summing the responses to all items. Possible total scores range from 11 to 55.</w:t>
      </w:r>
      <w:r w:rsidR="005B16F9" w:rsidRPr="00917E66">
        <w:rPr>
          <w:rFonts w:asciiTheme="majorBidi" w:hAnsiTheme="majorBidi" w:cstheme="majorBidi"/>
          <w:lang w:val="en-GB"/>
        </w:rPr>
        <w:t xml:space="preserve"> </w:t>
      </w:r>
      <w:r w:rsidRPr="00917E66">
        <w:rPr>
          <w:rFonts w:asciiTheme="majorBidi" w:hAnsiTheme="majorBidi" w:cstheme="majorBidi"/>
          <w:lang w:val="en-GB"/>
        </w:rPr>
        <w:t>Higher total scores indicate a greater level of conception-related sexual misconceptions.</w:t>
      </w:r>
      <w:r w:rsidR="005B16F9" w:rsidRPr="00917E66">
        <w:rPr>
          <w:rFonts w:asciiTheme="majorBidi" w:hAnsiTheme="majorBidi" w:cstheme="majorBidi"/>
          <w:lang w:val="en-GB"/>
        </w:rPr>
        <w:t xml:space="preserve"> </w:t>
      </w:r>
      <w:r w:rsidRPr="00917E66">
        <w:rPr>
          <w:rFonts w:asciiTheme="majorBidi" w:hAnsiTheme="majorBidi" w:cstheme="majorBidi"/>
          <w:lang w:val="en-GB"/>
        </w:rPr>
        <w:t>The scale contains no reverse-scored items.</w:t>
      </w:r>
      <w:r w:rsidR="005B16F9" w:rsidRPr="00917E66">
        <w:rPr>
          <w:rFonts w:asciiTheme="majorBidi" w:hAnsiTheme="majorBidi" w:cstheme="majorBidi"/>
          <w:lang w:val="en-GB"/>
        </w:rPr>
        <w:t xml:space="preserve"> </w:t>
      </w:r>
      <w:r w:rsidRPr="00917E66">
        <w:rPr>
          <w:rFonts w:asciiTheme="majorBidi" w:hAnsiTheme="majorBidi" w:cstheme="majorBidi"/>
          <w:lang w:val="en-GB"/>
        </w:rPr>
        <w:t xml:space="preserve">No specific cut-off score is recommended. </w:t>
      </w:r>
      <w:r w:rsidR="00974A23" w:rsidRPr="00974A23">
        <w:rPr>
          <w:rFonts w:asciiTheme="majorBidi" w:hAnsiTheme="majorBidi" w:cstheme="majorBidi"/>
          <w:lang w:val="en-GB"/>
        </w:rPr>
        <w:t>The CRSMS is intended for research and clinical use to assess the level of conception-related sexual misconceptions. Higher scores indicate stronger endorsement of scientifically unsupported beliefs regarding conception.</w:t>
      </w:r>
    </w:p>
    <w:sectPr w:rsidR="0013579E" w:rsidRPr="00917E66" w:rsidSect="00643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A1489"/>
    <w:multiLevelType w:val="hybridMultilevel"/>
    <w:tmpl w:val="204C56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67A4E"/>
    <w:multiLevelType w:val="hybridMultilevel"/>
    <w:tmpl w:val="9D205A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66846"/>
    <w:multiLevelType w:val="hybridMultilevel"/>
    <w:tmpl w:val="D040BAAC"/>
    <w:lvl w:ilvl="0" w:tplc="FFFFFFFF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551114433">
    <w:abstractNumId w:val="0"/>
  </w:num>
  <w:num w:numId="2" w16cid:durableId="455562575">
    <w:abstractNumId w:val="2"/>
  </w:num>
  <w:num w:numId="3" w16cid:durableId="2147047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DB"/>
    <w:rsid w:val="000A6A2A"/>
    <w:rsid w:val="000E6206"/>
    <w:rsid w:val="00114D24"/>
    <w:rsid w:val="0012066C"/>
    <w:rsid w:val="0013579E"/>
    <w:rsid w:val="00141056"/>
    <w:rsid w:val="0016083B"/>
    <w:rsid w:val="001679B6"/>
    <w:rsid w:val="002A4E2C"/>
    <w:rsid w:val="00321B6B"/>
    <w:rsid w:val="00367F85"/>
    <w:rsid w:val="00383B41"/>
    <w:rsid w:val="003908C5"/>
    <w:rsid w:val="003C3F63"/>
    <w:rsid w:val="00420B5A"/>
    <w:rsid w:val="00471A74"/>
    <w:rsid w:val="00530F09"/>
    <w:rsid w:val="005408F1"/>
    <w:rsid w:val="00571C23"/>
    <w:rsid w:val="005B16F9"/>
    <w:rsid w:val="005B1D95"/>
    <w:rsid w:val="005C46A5"/>
    <w:rsid w:val="00611035"/>
    <w:rsid w:val="0064380B"/>
    <w:rsid w:val="006514F4"/>
    <w:rsid w:val="00661DBC"/>
    <w:rsid w:val="00683F52"/>
    <w:rsid w:val="006957DB"/>
    <w:rsid w:val="00702B7D"/>
    <w:rsid w:val="0075117D"/>
    <w:rsid w:val="007D2131"/>
    <w:rsid w:val="00917E66"/>
    <w:rsid w:val="00944437"/>
    <w:rsid w:val="00974A23"/>
    <w:rsid w:val="009802D7"/>
    <w:rsid w:val="009D58F7"/>
    <w:rsid w:val="009F488F"/>
    <w:rsid w:val="00A01992"/>
    <w:rsid w:val="00A14284"/>
    <w:rsid w:val="00AB5687"/>
    <w:rsid w:val="00B01885"/>
    <w:rsid w:val="00B34B6C"/>
    <w:rsid w:val="00BF3B9B"/>
    <w:rsid w:val="00C1405B"/>
    <w:rsid w:val="00CD7BC2"/>
    <w:rsid w:val="00D533FB"/>
    <w:rsid w:val="00DA1D11"/>
    <w:rsid w:val="00DA2574"/>
    <w:rsid w:val="00DA39B8"/>
    <w:rsid w:val="00EE02FA"/>
    <w:rsid w:val="00F424FF"/>
    <w:rsid w:val="00F7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5E58"/>
  <w15:chartTrackingRefBased/>
  <w15:docId w15:val="{B5548E77-D9C2-4316-83C1-2748EE91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5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5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5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5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5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5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5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5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5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5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5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5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57D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57D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57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57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57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57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5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5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5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5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5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57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57D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57D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5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57D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57DB"/>
    <w:rPr>
      <w:b/>
      <w:bCs/>
      <w:smallCaps/>
      <w:color w:val="2F5496" w:themeColor="accent1" w:themeShade="BF"/>
      <w:spacing w:val="5"/>
    </w:rPr>
  </w:style>
  <w:style w:type="table" w:styleId="KlavuzuTablo4-Vurgu6">
    <w:name w:val="Grid Table 4 Accent 6"/>
    <w:basedOn w:val="NormalTablo"/>
    <w:uiPriority w:val="49"/>
    <w:rsid w:val="00DA39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avuzuTablo4-Vurgu5">
    <w:name w:val="Grid Table 4 Accent 5"/>
    <w:basedOn w:val="NormalTablo"/>
    <w:uiPriority w:val="49"/>
    <w:rsid w:val="00DA39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Öztürk</dc:creator>
  <cp:keywords/>
  <dc:description/>
  <cp:lastModifiedBy>Melike Öztürk</cp:lastModifiedBy>
  <cp:revision>48</cp:revision>
  <dcterms:created xsi:type="dcterms:W3CDTF">2026-07-27T02:03:00Z</dcterms:created>
  <dcterms:modified xsi:type="dcterms:W3CDTF">2026-08-03T18:45:00Z</dcterms:modified>
</cp:coreProperties>
</file>