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991" w:rsidRDefault="006A7991"/>
    <w:p w:rsidR="00FD0CD2" w:rsidRPr="00FD0CD2" w:rsidRDefault="00FD0CD2" w:rsidP="00FD0C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FD0CD2">
        <w:rPr>
          <w:rFonts w:ascii="Times New Roman" w:eastAsia="Times New Roman" w:hAnsi="Times New Roman" w:cs="Times New Roman"/>
          <w:b/>
          <w:bCs/>
          <w:sz w:val="28"/>
          <w:szCs w:val="28"/>
        </w:rPr>
        <w:t>Supplementary Table S3.</w:t>
      </w:r>
      <w:proofErr w:type="gramEnd"/>
    </w:p>
    <w:p w:rsidR="00FD0CD2" w:rsidRPr="00FD0CD2" w:rsidRDefault="00FD0CD2" w:rsidP="00FD0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0CD2">
        <w:rPr>
          <w:rFonts w:ascii="Times New Roman" w:eastAsia="Times New Roman" w:hAnsi="Times New Roman" w:cs="Times New Roman"/>
          <w:b/>
          <w:bCs/>
          <w:sz w:val="28"/>
          <w:szCs w:val="28"/>
        </w:rPr>
        <w:t>Screening process used for selecting the final Harmonization Index indicators.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6"/>
        <w:gridCol w:w="2149"/>
        <w:gridCol w:w="1056"/>
        <w:gridCol w:w="3714"/>
      </w:tblGrid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D0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Candidate indicator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Regulatory dimension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Selected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Justification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Sector-specific ELVs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Stringency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Core technical indicator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Technology-based regulation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Stringency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BAT/MACT philosophy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PM fraction coverage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Stringency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Engineering comparability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Revision mechanism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Stringency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Regulatory adaptability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 methods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Stringency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Standardization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 conditions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Stringency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Engineering consistency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Sectoral</w:t>
            </w:r>
            <w:proofErr w:type="spellEnd"/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applicability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Stringency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Cross-sector comparability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Integrated permitting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Administrative structure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Mandatory permit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Core legal requirement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Permit renewal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Adaptive management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Reporting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Accountability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Public accessibility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Transparency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Digital environmental management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Modern governance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 coordination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Governance efficiency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CEMS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Enforcement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Compliance monitoring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 testing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Enforcement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Technical verification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Inspection </w:t>
            </w:r>
            <w:proofErr w:type="spellStart"/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Enforcement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Enforcement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Independent verification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Enforcement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Quality assurance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Administrative penalties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Enforcement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Regulatory deterrence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Operational suspension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Enforcement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Legal authority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Corrective actions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Enforcement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Compliance improvement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Emission inventory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Overlaps with reporting requirements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Permit validity period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Low international comparability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Public participation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relation to PM regulation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Voluntary EMS (ISO 14001)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Not legally mandatory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taxes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Economic instrument outside study scope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Carbon pricing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Climate policy rather than PM regulation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Fuel quality regulation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source control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Ambient AQ standards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Receptor-oriented, outside source regulation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Health-risk assessment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outcome rather than regulation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Emission trading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Not PM-specific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Green procurement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governance measure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Corporate sustainability reporting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Weak direct linkage to industrial PM control</w:t>
            </w:r>
          </w:p>
        </w:tc>
      </w:tr>
      <w:tr w:rsidR="00FD0CD2" w:rsidRPr="00FD0CD2" w:rsidTr="00FD0CD2"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Voluntary agreements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MS Gothic" w:eastAsia="MS Gothic" w:hAnsi="MS Gothic" w:cs="MS Gothic" w:hint="eastAsia"/>
                <w:sz w:val="24"/>
                <w:szCs w:val="24"/>
              </w:rPr>
              <w:t>✗</w:t>
            </w:r>
          </w:p>
        </w:tc>
        <w:tc>
          <w:tcPr>
            <w:tcW w:w="0" w:type="auto"/>
            <w:hideMark/>
          </w:tcPr>
          <w:p w:rsidR="00FD0CD2" w:rsidRPr="00FD0CD2" w:rsidRDefault="00FD0CD2" w:rsidP="00FD0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CD2">
              <w:rPr>
                <w:rFonts w:ascii="Times New Roman" w:eastAsia="Times New Roman" w:hAnsi="Times New Roman" w:cs="Times New Roman"/>
                <w:sz w:val="24"/>
                <w:szCs w:val="24"/>
              </w:rPr>
              <w:t>Lack of regulatory consistency</w:t>
            </w:r>
          </w:p>
        </w:tc>
      </w:tr>
    </w:tbl>
    <w:p w:rsidR="00FD0CD2" w:rsidRDefault="00FD0CD2"/>
    <w:sectPr w:rsidR="00FD0CD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D2"/>
    <w:rsid w:val="006A7991"/>
    <w:rsid w:val="00FD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2026-07-15T01:15:00Z</dcterms:created>
  <dcterms:modified xsi:type="dcterms:W3CDTF">2026-07-15T01:16:00Z</dcterms:modified>
</cp:coreProperties>
</file>