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2EB8" w:rsidRDefault="002F42CB" w:rsidP="002F42CB">
      <w:pPr>
        <w:jc w:val="center"/>
        <w:rPr>
          <w:rFonts w:ascii="Times New Roman" w:hAnsi="Times New Roman" w:cs="Times New Roman"/>
          <w:b/>
          <w:sz w:val="28"/>
          <w:szCs w:val="28"/>
        </w:rPr>
      </w:pPr>
      <w:proofErr w:type="gramStart"/>
      <w:r w:rsidRPr="002F42CB">
        <w:rPr>
          <w:rFonts w:ascii="Times New Roman" w:hAnsi="Times New Roman" w:cs="Times New Roman"/>
          <w:b/>
          <w:sz w:val="28"/>
          <w:szCs w:val="28"/>
        </w:rPr>
        <w:t>Supplementary Table S</w:t>
      </w:r>
      <w:r w:rsidR="009D2EB8">
        <w:rPr>
          <w:rFonts w:ascii="Times New Roman" w:hAnsi="Times New Roman" w:cs="Times New Roman"/>
          <w:b/>
          <w:sz w:val="28"/>
          <w:szCs w:val="28"/>
        </w:rPr>
        <w:t>4</w:t>
      </w:r>
      <w:r w:rsidRPr="002F42CB">
        <w:rPr>
          <w:rFonts w:ascii="Times New Roman" w:hAnsi="Times New Roman" w:cs="Times New Roman"/>
          <w:b/>
          <w:sz w:val="28"/>
          <w:szCs w:val="28"/>
        </w:rPr>
        <w:t>.</w:t>
      </w:r>
      <w:proofErr w:type="gramEnd"/>
      <w:r w:rsidRPr="002F42CB">
        <w:rPr>
          <w:rFonts w:ascii="Times New Roman" w:hAnsi="Times New Roman" w:cs="Times New Roman"/>
          <w:b/>
          <w:sz w:val="28"/>
          <w:szCs w:val="28"/>
        </w:rPr>
        <w:t xml:space="preserve"> </w:t>
      </w:r>
    </w:p>
    <w:p w:rsidR="007B7DAC" w:rsidRPr="002F42CB" w:rsidRDefault="002F42CB" w:rsidP="002F42CB">
      <w:pPr>
        <w:jc w:val="center"/>
        <w:rPr>
          <w:rFonts w:ascii="Times New Roman" w:hAnsi="Times New Roman" w:cs="Times New Roman"/>
          <w:b/>
          <w:sz w:val="28"/>
          <w:szCs w:val="28"/>
        </w:rPr>
      </w:pPr>
      <w:bookmarkStart w:id="0" w:name="_GoBack"/>
      <w:bookmarkEnd w:id="0"/>
      <w:r w:rsidRPr="002F42CB">
        <w:rPr>
          <w:rFonts w:ascii="Times New Roman" w:hAnsi="Times New Roman" w:cs="Times New Roman"/>
          <w:b/>
          <w:sz w:val="28"/>
          <w:szCs w:val="28"/>
        </w:rPr>
        <w:t>Detailed comparison of industrial particulate matter regulatory systems, including legal instruments, permitting approaches, monitoring requirements, enforcement mechanisms, strengths, limitations, and implications for harmonization.</w:t>
      </w:r>
    </w:p>
    <w:p w:rsidR="002F42CB" w:rsidRDefault="002F42CB" w:rsidP="002F42CB">
      <w:pPr>
        <w:jc w:val="center"/>
        <w:rPr>
          <w:rFonts w:ascii="Times New Roman" w:hAnsi="Times New Roman" w:cs="Times New Roman"/>
          <w:sz w:val="24"/>
          <w:szCs w:val="24"/>
        </w:rPr>
      </w:pPr>
    </w:p>
    <w:tbl>
      <w:tblPr>
        <w:tblStyle w:val="a3"/>
        <w:tblW w:w="0" w:type="auto"/>
        <w:jc w:val="center"/>
        <w:tblLook w:val="04A0" w:firstRow="1" w:lastRow="0" w:firstColumn="1" w:lastColumn="0" w:noHBand="0" w:noVBand="1"/>
      </w:tblPr>
      <w:tblGrid>
        <w:gridCol w:w="1919"/>
        <w:gridCol w:w="3022"/>
        <w:gridCol w:w="2847"/>
        <w:gridCol w:w="2945"/>
        <w:gridCol w:w="3055"/>
      </w:tblGrid>
      <w:tr w:rsidR="002F42CB" w:rsidRPr="002F42CB" w:rsidTr="00BA4F84">
        <w:trPr>
          <w:jc w:val="center"/>
        </w:trPr>
        <w:tc>
          <w:tcPr>
            <w:tcW w:w="0" w:type="auto"/>
            <w:hideMark/>
          </w:tcPr>
          <w:p w:rsidR="002F42CB" w:rsidRPr="002F42CB" w:rsidRDefault="002F42CB" w:rsidP="00BA4F84">
            <w:pPr>
              <w:spacing w:after="200" w:line="276" w:lineRule="auto"/>
              <w:jc w:val="center"/>
              <w:rPr>
                <w:rFonts w:ascii="Times New Roman" w:hAnsi="Times New Roman" w:cs="Times New Roman"/>
                <w:b/>
                <w:bCs/>
                <w:sz w:val="24"/>
                <w:szCs w:val="24"/>
              </w:rPr>
            </w:pPr>
            <w:r w:rsidRPr="002F42CB">
              <w:rPr>
                <w:rFonts w:ascii="Times New Roman" w:hAnsi="Times New Roman" w:cs="Times New Roman"/>
                <w:b/>
                <w:bCs/>
                <w:sz w:val="24"/>
                <w:szCs w:val="24"/>
              </w:rPr>
              <w:t>Analytical element</w:t>
            </w:r>
          </w:p>
        </w:tc>
        <w:tc>
          <w:tcPr>
            <w:tcW w:w="0" w:type="auto"/>
            <w:hideMark/>
          </w:tcPr>
          <w:p w:rsidR="002F42CB" w:rsidRPr="002F42CB" w:rsidRDefault="002F42CB" w:rsidP="00BA4F84">
            <w:pPr>
              <w:spacing w:after="200" w:line="276" w:lineRule="auto"/>
              <w:jc w:val="center"/>
              <w:rPr>
                <w:rFonts w:ascii="Times New Roman" w:hAnsi="Times New Roman" w:cs="Times New Roman"/>
                <w:b/>
                <w:bCs/>
                <w:sz w:val="24"/>
                <w:szCs w:val="24"/>
              </w:rPr>
            </w:pPr>
            <w:r w:rsidRPr="002F42CB">
              <w:rPr>
                <w:rFonts w:ascii="Times New Roman" w:hAnsi="Times New Roman" w:cs="Times New Roman"/>
                <w:b/>
                <w:bCs/>
                <w:sz w:val="24"/>
                <w:szCs w:val="24"/>
              </w:rPr>
              <w:t>European Union</w:t>
            </w:r>
          </w:p>
        </w:tc>
        <w:tc>
          <w:tcPr>
            <w:tcW w:w="0" w:type="auto"/>
            <w:hideMark/>
          </w:tcPr>
          <w:p w:rsidR="002F42CB" w:rsidRPr="002F42CB" w:rsidRDefault="002F42CB" w:rsidP="00BA4F84">
            <w:pPr>
              <w:spacing w:after="200" w:line="276" w:lineRule="auto"/>
              <w:jc w:val="center"/>
              <w:rPr>
                <w:rFonts w:ascii="Times New Roman" w:hAnsi="Times New Roman" w:cs="Times New Roman"/>
                <w:b/>
                <w:bCs/>
                <w:sz w:val="24"/>
                <w:szCs w:val="24"/>
              </w:rPr>
            </w:pPr>
            <w:r w:rsidRPr="002F42CB">
              <w:rPr>
                <w:rFonts w:ascii="Times New Roman" w:hAnsi="Times New Roman" w:cs="Times New Roman"/>
                <w:b/>
                <w:bCs/>
                <w:sz w:val="24"/>
                <w:szCs w:val="24"/>
              </w:rPr>
              <w:t>United States</w:t>
            </w:r>
          </w:p>
        </w:tc>
        <w:tc>
          <w:tcPr>
            <w:tcW w:w="0" w:type="auto"/>
            <w:hideMark/>
          </w:tcPr>
          <w:p w:rsidR="002F42CB" w:rsidRPr="002F42CB" w:rsidRDefault="002F42CB" w:rsidP="00BA4F84">
            <w:pPr>
              <w:spacing w:after="200" w:line="276" w:lineRule="auto"/>
              <w:jc w:val="center"/>
              <w:rPr>
                <w:rFonts w:ascii="Times New Roman" w:hAnsi="Times New Roman" w:cs="Times New Roman"/>
                <w:b/>
                <w:bCs/>
                <w:sz w:val="24"/>
                <w:szCs w:val="24"/>
              </w:rPr>
            </w:pPr>
            <w:r w:rsidRPr="002F42CB">
              <w:rPr>
                <w:rFonts w:ascii="Times New Roman" w:hAnsi="Times New Roman" w:cs="Times New Roman"/>
                <w:b/>
                <w:bCs/>
                <w:sz w:val="24"/>
                <w:szCs w:val="24"/>
              </w:rPr>
              <w:t>China</w:t>
            </w:r>
          </w:p>
        </w:tc>
        <w:tc>
          <w:tcPr>
            <w:tcW w:w="0" w:type="auto"/>
            <w:hideMark/>
          </w:tcPr>
          <w:p w:rsidR="002F42CB" w:rsidRPr="002F42CB" w:rsidRDefault="002F42CB" w:rsidP="00BA4F84">
            <w:pPr>
              <w:spacing w:after="200" w:line="276" w:lineRule="auto"/>
              <w:jc w:val="center"/>
              <w:rPr>
                <w:rFonts w:ascii="Times New Roman" w:hAnsi="Times New Roman" w:cs="Times New Roman"/>
                <w:b/>
                <w:bCs/>
                <w:sz w:val="24"/>
                <w:szCs w:val="24"/>
              </w:rPr>
            </w:pPr>
            <w:r w:rsidRPr="002F42CB">
              <w:rPr>
                <w:rFonts w:ascii="Times New Roman" w:hAnsi="Times New Roman" w:cs="Times New Roman"/>
                <w:b/>
                <w:bCs/>
                <w:sz w:val="24"/>
                <w:szCs w:val="24"/>
              </w:rPr>
              <w:t>Uzbekistan</w:t>
            </w:r>
          </w:p>
        </w:tc>
      </w:tr>
      <w:tr w:rsidR="002F42CB" w:rsidRPr="002F42CB" w:rsidTr="00BA4F84">
        <w:trPr>
          <w:jc w:val="center"/>
        </w:trPr>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b/>
                <w:bCs/>
                <w:sz w:val="24"/>
                <w:szCs w:val="24"/>
              </w:rPr>
              <w:t>Evolutionary trajectory</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sz w:val="24"/>
                <w:szCs w:val="24"/>
              </w:rPr>
              <w:t>Evolved from media-specific pollution control toward integrated prevention and control, initially under the IPPC framework and subsequently through the Industrial Emissions Directive. The current model links permit conditions to periodically updated BAT conclusions and environmental performance levels.</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sz w:val="24"/>
                <w:szCs w:val="24"/>
              </w:rPr>
              <w:t xml:space="preserve">Evolved from ambient-quality protection and state implementation planning toward nationally applicable, source-category-specific performance and hazardous-air-pollutant standards, supported by federal and state permitting and compliance </w:t>
            </w:r>
            <w:proofErr w:type="spellStart"/>
            <w:r w:rsidRPr="002F42CB">
              <w:rPr>
                <w:rFonts w:ascii="Times New Roman" w:hAnsi="Times New Roman" w:cs="Times New Roman"/>
                <w:sz w:val="24"/>
                <w:szCs w:val="24"/>
              </w:rPr>
              <w:t>programmes</w:t>
            </w:r>
            <w:proofErr w:type="spellEnd"/>
            <w:r w:rsidRPr="002F42CB">
              <w:rPr>
                <w:rFonts w:ascii="Times New Roman" w:hAnsi="Times New Roman" w:cs="Times New Roman"/>
                <w:sz w:val="24"/>
                <w:szCs w:val="24"/>
              </w:rPr>
              <w:t>.</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sz w:val="24"/>
                <w:szCs w:val="24"/>
              </w:rPr>
              <w:t>Progressed from a general concentration-based national standard toward a layered system combining comprehensive emission requirements, sector-specific standards, tighter local standards, continuous monitoring and increasingly digital supervision.</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sz w:val="24"/>
                <w:szCs w:val="24"/>
              </w:rPr>
              <w:t xml:space="preserve">Developed mainly from the former maximum permissible emission approach, under which allowable releases are established for individual sources to prevent </w:t>
            </w:r>
            <w:proofErr w:type="spellStart"/>
            <w:r w:rsidRPr="002F42CB">
              <w:rPr>
                <w:rFonts w:ascii="Times New Roman" w:hAnsi="Times New Roman" w:cs="Times New Roman"/>
                <w:sz w:val="24"/>
                <w:szCs w:val="24"/>
              </w:rPr>
              <w:t>exceedance</w:t>
            </w:r>
            <w:proofErr w:type="spellEnd"/>
            <w:r w:rsidRPr="002F42CB">
              <w:rPr>
                <w:rFonts w:ascii="Times New Roman" w:hAnsi="Times New Roman" w:cs="Times New Roman"/>
                <w:sz w:val="24"/>
                <w:szCs w:val="24"/>
              </w:rPr>
              <w:t xml:space="preserve"> of ambient air-quality standards. Recent reforms increasingly emphasize environmental assessment, permitting, monitoring and regulatory modernization.</w:t>
            </w:r>
          </w:p>
        </w:tc>
      </w:tr>
      <w:tr w:rsidR="002F42CB" w:rsidRPr="002F42CB" w:rsidTr="00BA4F84">
        <w:trPr>
          <w:jc w:val="center"/>
        </w:trPr>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b/>
                <w:bCs/>
                <w:sz w:val="24"/>
                <w:szCs w:val="24"/>
              </w:rPr>
              <w:t>Primary regulatory objective</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sz w:val="24"/>
                <w:szCs w:val="24"/>
              </w:rPr>
              <w:t xml:space="preserve">Integrated prevention and reduction of pollution through the application of Best Available Techniques, while avoiding the transfer </w:t>
            </w:r>
            <w:r w:rsidRPr="002F42CB">
              <w:rPr>
                <w:rFonts w:ascii="Times New Roman" w:hAnsi="Times New Roman" w:cs="Times New Roman"/>
                <w:sz w:val="24"/>
                <w:szCs w:val="24"/>
              </w:rPr>
              <w:lastRenderedPageBreak/>
              <w:t>of pollution between environmental media.</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sz w:val="24"/>
                <w:szCs w:val="24"/>
              </w:rPr>
              <w:lastRenderedPageBreak/>
              <w:t xml:space="preserve">Attainment and maintenance of air-quality objectives by requiring demonstrated control performance for listed </w:t>
            </w:r>
            <w:r w:rsidRPr="002F42CB">
              <w:rPr>
                <w:rFonts w:ascii="Times New Roman" w:hAnsi="Times New Roman" w:cs="Times New Roman"/>
                <w:sz w:val="24"/>
                <w:szCs w:val="24"/>
              </w:rPr>
              <w:lastRenderedPageBreak/>
              <w:t>source categories and regulating hazardous air pollutants.</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sz w:val="24"/>
                <w:szCs w:val="24"/>
              </w:rPr>
              <w:lastRenderedPageBreak/>
              <w:t xml:space="preserve">Reduction of industrial pollution through nationally applicable and sector-differentiated emission </w:t>
            </w:r>
            <w:proofErr w:type="gramStart"/>
            <w:r w:rsidRPr="002F42CB">
              <w:rPr>
                <w:rFonts w:ascii="Times New Roman" w:hAnsi="Times New Roman" w:cs="Times New Roman"/>
                <w:sz w:val="24"/>
                <w:szCs w:val="24"/>
              </w:rPr>
              <w:t>limits,</w:t>
            </w:r>
            <w:proofErr w:type="gramEnd"/>
            <w:r w:rsidRPr="002F42CB">
              <w:rPr>
                <w:rFonts w:ascii="Times New Roman" w:hAnsi="Times New Roman" w:cs="Times New Roman"/>
                <w:sz w:val="24"/>
                <w:szCs w:val="24"/>
              </w:rPr>
              <w:t xml:space="preserve"> reinforced by </w:t>
            </w:r>
            <w:r w:rsidRPr="002F42CB">
              <w:rPr>
                <w:rFonts w:ascii="Times New Roman" w:hAnsi="Times New Roman" w:cs="Times New Roman"/>
                <w:sz w:val="24"/>
                <w:szCs w:val="24"/>
              </w:rPr>
              <w:lastRenderedPageBreak/>
              <w:t>pollution-control targets and enhanced regulatory supervision.</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sz w:val="24"/>
                <w:szCs w:val="24"/>
              </w:rPr>
              <w:lastRenderedPageBreak/>
              <w:t xml:space="preserve">Protection of ambient air quality by limiting the emissions of individual installations according to their predicted contribution </w:t>
            </w:r>
            <w:r w:rsidRPr="002F42CB">
              <w:rPr>
                <w:rFonts w:ascii="Times New Roman" w:hAnsi="Times New Roman" w:cs="Times New Roman"/>
                <w:sz w:val="24"/>
                <w:szCs w:val="24"/>
              </w:rPr>
              <w:lastRenderedPageBreak/>
              <w:t>to ground-level pollutant concentrations.</w:t>
            </w:r>
          </w:p>
        </w:tc>
      </w:tr>
      <w:tr w:rsidR="002F42CB" w:rsidRPr="002F42CB" w:rsidTr="00BA4F84">
        <w:trPr>
          <w:jc w:val="center"/>
        </w:trPr>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b/>
                <w:bCs/>
                <w:sz w:val="24"/>
                <w:szCs w:val="24"/>
              </w:rPr>
              <w:lastRenderedPageBreak/>
              <w:t>Dominant regulatory philosophy</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b/>
                <w:bCs/>
                <w:sz w:val="24"/>
                <w:szCs w:val="24"/>
              </w:rPr>
              <w:t>Technology- and performance-based integrated regulation.</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b/>
                <w:bCs/>
                <w:sz w:val="24"/>
                <w:szCs w:val="24"/>
              </w:rPr>
              <w:t>Source-category- and performance-based regulation.</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b/>
                <w:bCs/>
                <w:sz w:val="24"/>
                <w:szCs w:val="24"/>
              </w:rPr>
              <w:t>Hybrid general, sector-specific and locally differentiated regulation.</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b/>
                <w:bCs/>
                <w:sz w:val="24"/>
                <w:szCs w:val="24"/>
              </w:rPr>
              <w:t>Source-specific and dispersion-based regulation.</w:t>
            </w:r>
          </w:p>
        </w:tc>
      </w:tr>
      <w:tr w:rsidR="002F42CB" w:rsidRPr="002F42CB" w:rsidTr="00BA4F84">
        <w:trPr>
          <w:jc w:val="center"/>
        </w:trPr>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b/>
                <w:bCs/>
                <w:sz w:val="24"/>
                <w:szCs w:val="24"/>
              </w:rPr>
              <w:t>Primary unit of regulation</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sz w:val="24"/>
                <w:szCs w:val="24"/>
              </w:rPr>
              <w:t>Installation and industrial activity covered by the Industrial Emissions Directive and the relevant BAT Reference Document.</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sz w:val="24"/>
                <w:szCs w:val="24"/>
              </w:rPr>
              <w:t>New, modified, reconstructed or major stationary source belonging to a regulated industrial category.</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sz w:val="24"/>
                <w:szCs w:val="24"/>
              </w:rPr>
              <w:t>Existing or new industrial source covered by either a national comprehensive standard or a sector-specific emission standard.</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sz w:val="24"/>
                <w:szCs w:val="24"/>
              </w:rPr>
              <w:t>Individual stationary source or enterprise for which maximum permissible emissions are calculated and approved.</w:t>
            </w:r>
          </w:p>
        </w:tc>
      </w:tr>
      <w:tr w:rsidR="002F42CB" w:rsidRPr="002F42CB" w:rsidTr="00BA4F84">
        <w:trPr>
          <w:jc w:val="center"/>
        </w:trPr>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b/>
                <w:bCs/>
                <w:sz w:val="24"/>
                <w:szCs w:val="24"/>
              </w:rPr>
              <w:t>Principal legal and technical instruments</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sz w:val="24"/>
                <w:szCs w:val="24"/>
              </w:rPr>
              <w:t>Directive 2010/75/EU on industrial emissions, as amended; BAT Reference Documents; BAT conclusions; BAT-associated emission levels; national implementing legislation and installation permits.</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sz w:val="24"/>
                <w:szCs w:val="24"/>
              </w:rPr>
              <w:t>Clean Air Act; New Source Performance Standards under Section 111; National Emission Standards for Hazardous Air Pollutants under Section 112; Title V operating permits; Prevention of Significant Deterioration and non-attainment permitting requirements.</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sz w:val="24"/>
                <w:szCs w:val="24"/>
              </w:rPr>
              <w:t>Air Pollution Prevention and Control Law; GB 16297-1996 Integrated Emission Standard of Air Pollutants; national sector-specific GB standards; local emission standards; environmental impact assessment and pollutant-discharge permitting requirements.</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sz w:val="24"/>
                <w:szCs w:val="24"/>
              </w:rPr>
              <w:t>Law on the Protection of Atmospheric Air; environmental assessment and permitting legislation; procedures for developing and approving environmental standards; maximum permissible emission documentation and atmospheric-dispersion calculations.</w:t>
            </w:r>
          </w:p>
        </w:tc>
      </w:tr>
      <w:tr w:rsidR="002F42CB" w:rsidRPr="002F42CB" w:rsidTr="00BA4F84">
        <w:trPr>
          <w:jc w:val="center"/>
        </w:trPr>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b/>
                <w:bCs/>
                <w:sz w:val="24"/>
                <w:szCs w:val="24"/>
              </w:rPr>
              <w:t xml:space="preserve">Method of establishing particulate emission </w:t>
            </w:r>
            <w:r w:rsidRPr="002F42CB">
              <w:rPr>
                <w:rFonts w:ascii="Times New Roman" w:hAnsi="Times New Roman" w:cs="Times New Roman"/>
                <w:b/>
                <w:bCs/>
                <w:sz w:val="24"/>
                <w:szCs w:val="24"/>
              </w:rPr>
              <w:lastRenderedPageBreak/>
              <w:t>requirements</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sz w:val="24"/>
                <w:szCs w:val="24"/>
              </w:rPr>
              <w:lastRenderedPageBreak/>
              <w:t xml:space="preserve">Permit emission limit values are derived primarily from BAT conclusions and must generally ensure that </w:t>
            </w:r>
            <w:r w:rsidRPr="002F42CB">
              <w:rPr>
                <w:rFonts w:ascii="Times New Roman" w:hAnsi="Times New Roman" w:cs="Times New Roman"/>
                <w:sz w:val="24"/>
                <w:szCs w:val="24"/>
              </w:rPr>
              <w:lastRenderedPageBreak/>
              <w:t>emissions do not exceed the applicable BAT-associated emission levels. Limited derogations require justification.</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sz w:val="24"/>
                <w:szCs w:val="24"/>
              </w:rPr>
              <w:lastRenderedPageBreak/>
              <w:t xml:space="preserve">Standards are established separately for source categories on the basis of demonstrated control </w:t>
            </w:r>
            <w:r w:rsidRPr="002F42CB">
              <w:rPr>
                <w:rFonts w:ascii="Times New Roman" w:hAnsi="Times New Roman" w:cs="Times New Roman"/>
                <w:sz w:val="24"/>
                <w:szCs w:val="24"/>
              </w:rPr>
              <w:lastRenderedPageBreak/>
              <w:t>technology, maximum achievable control technology or other statutory criteria. Requirements may include concentration limits, mass rates, opacity limits or work-practice standards.</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sz w:val="24"/>
                <w:szCs w:val="24"/>
              </w:rPr>
              <w:lastRenderedPageBreak/>
              <w:t xml:space="preserve">General limits apply where no sector-specific standard governs; industrial standards establish </w:t>
            </w:r>
            <w:r w:rsidRPr="002F42CB">
              <w:rPr>
                <w:rFonts w:ascii="Times New Roman" w:hAnsi="Times New Roman" w:cs="Times New Roman"/>
                <w:sz w:val="24"/>
                <w:szCs w:val="24"/>
              </w:rPr>
              <w:lastRenderedPageBreak/>
              <w:t xml:space="preserve">differentiated limits according to sector, process, facility age and, in some cases, region or control zone. General and </w:t>
            </w:r>
            <w:proofErr w:type="spellStart"/>
            <w:r w:rsidRPr="002F42CB">
              <w:rPr>
                <w:rFonts w:ascii="Times New Roman" w:hAnsi="Times New Roman" w:cs="Times New Roman"/>
                <w:sz w:val="24"/>
                <w:szCs w:val="24"/>
              </w:rPr>
              <w:t>sectoral</w:t>
            </w:r>
            <w:proofErr w:type="spellEnd"/>
            <w:r w:rsidRPr="002F42CB">
              <w:rPr>
                <w:rFonts w:ascii="Times New Roman" w:hAnsi="Times New Roman" w:cs="Times New Roman"/>
                <w:sz w:val="24"/>
                <w:szCs w:val="24"/>
              </w:rPr>
              <w:t xml:space="preserve"> standards are not normally applied simultaneously to the same regulated source.</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sz w:val="24"/>
                <w:szCs w:val="24"/>
              </w:rPr>
              <w:lastRenderedPageBreak/>
              <w:t xml:space="preserve">Maximum permissible emissions are calculated for each source using emission inventory information, stack </w:t>
            </w:r>
            <w:r w:rsidRPr="002F42CB">
              <w:rPr>
                <w:rFonts w:ascii="Times New Roman" w:hAnsi="Times New Roman" w:cs="Times New Roman"/>
                <w:sz w:val="24"/>
                <w:szCs w:val="24"/>
              </w:rPr>
              <w:lastRenderedPageBreak/>
              <w:t xml:space="preserve">parameters, background pollution and atmospheric-dispersion </w:t>
            </w:r>
            <w:proofErr w:type="spellStart"/>
            <w:r w:rsidRPr="002F42CB">
              <w:rPr>
                <w:rFonts w:ascii="Times New Roman" w:hAnsi="Times New Roman" w:cs="Times New Roman"/>
                <w:sz w:val="24"/>
                <w:szCs w:val="24"/>
              </w:rPr>
              <w:t>modelling</w:t>
            </w:r>
            <w:proofErr w:type="spellEnd"/>
            <w:r w:rsidRPr="002F42CB">
              <w:rPr>
                <w:rFonts w:ascii="Times New Roman" w:hAnsi="Times New Roman" w:cs="Times New Roman"/>
                <w:sz w:val="24"/>
                <w:szCs w:val="24"/>
              </w:rPr>
              <w:t xml:space="preserve"> so that applicable ambient concentration standards are not exceeded.</w:t>
            </w:r>
          </w:p>
        </w:tc>
      </w:tr>
      <w:tr w:rsidR="002F42CB" w:rsidRPr="002F42CB" w:rsidTr="00BA4F84">
        <w:trPr>
          <w:jc w:val="center"/>
        </w:trPr>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b/>
                <w:bCs/>
                <w:sz w:val="24"/>
                <w:szCs w:val="24"/>
              </w:rPr>
              <w:lastRenderedPageBreak/>
              <w:t>Role of technological performance</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sz w:val="24"/>
                <w:szCs w:val="24"/>
              </w:rPr>
              <w:t>Central. BAT is a legally embedded reference for permit conditions, emission levels, monitoring and periodic regulatory updating.</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sz w:val="24"/>
                <w:szCs w:val="24"/>
              </w:rPr>
              <w:t>Central but category-specific. NSPS and NESHAP requirements are connected to demonstrated or achievable control technologies for particular source categories.</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sz w:val="24"/>
                <w:szCs w:val="24"/>
              </w:rPr>
              <w:t xml:space="preserve">Increasingly important. Sector-specific standards and ultra-low-emission </w:t>
            </w:r>
            <w:proofErr w:type="spellStart"/>
            <w:r w:rsidRPr="002F42CB">
              <w:rPr>
                <w:rFonts w:ascii="Times New Roman" w:hAnsi="Times New Roman" w:cs="Times New Roman"/>
                <w:sz w:val="24"/>
                <w:szCs w:val="24"/>
              </w:rPr>
              <w:t>programmes</w:t>
            </w:r>
            <w:proofErr w:type="spellEnd"/>
            <w:r w:rsidRPr="002F42CB">
              <w:rPr>
                <w:rFonts w:ascii="Times New Roman" w:hAnsi="Times New Roman" w:cs="Times New Roman"/>
                <w:sz w:val="24"/>
                <w:szCs w:val="24"/>
              </w:rPr>
              <w:t xml:space="preserve"> encourage the application of advanced control technologies, although a single BAT-type framework is not applied uniformly across all sectors.</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sz w:val="24"/>
                <w:szCs w:val="24"/>
              </w:rPr>
              <w:t>Secondary to ambient-impact calculations. Pollution-control technology affects the source inventory and achievable emissions, but allowable emissions are principally determined through source-specific normative calculations.</w:t>
            </w:r>
          </w:p>
        </w:tc>
      </w:tr>
      <w:tr w:rsidR="002F42CB" w:rsidRPr="002F42CB" w:rsidTr="00BA4F84">
        <w:trPr>
          <w:jc w:val="center"/>
        </w:trPr>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b/>
                <w:bCs/>
                <w:sz w:val="24"/>
                <w:szCs w:val="24"/>
              </w:rPr>
              <w:t>Permitting approach</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sz w:val="24"/>
                <w:szCs w:val="24"/>
              </w:rPr>
              <w:t>Integrated installation permit covering emissions to air, water and land, waste generation, resource use, monitoring and operating conditions.</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sz w:val="24"/>
                <w:szCs w:val="24"/>
              </w:rPr>
              <w:t>Construction and operating permits combine applicable federal and state requirements; Title V permits consolidate compliance obligations for major and other designated sources.</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sz w:val="24"/>
                <w:szCs w:val="24"/>
              </w:rPr>
              <w:t>Environmental impact assessment, pollutant-discharge permitting and sector-specific compliance requirements operate within a multi-level national and local administrative system.</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sz w:val="24"/>
                <w:szCs w:val="24"/>
              </w:rPr>
              <w:t>Individual environmental standards and permits are developed for the enterprise or source, generally on the basis of inventory and maximum permissible emission calculations.</w:t>
            </w:r>
          </w:p>
        </w:tc>
      </w:tr>
      <w:tr w:rsidR="002F42CB" w:rsidRPr="002F42CB" w:rsidTr="00BA4F84">
        <w:trPr>
          <w:jc w:val="center"/>
        </w:trPr>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b/>
                <w:bCs/>
                <w:sz w:val="24"/>
                <w:szCs w:val="24"/>
              </w:rPr>
              <w:t>PM differentiation</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sz w:val="24"/>
                <w:szCs w:val="24"/>
              </w:rPr>
              <w:t xml:space="preserve">Usually regulates “dust” or total particulate matter through sector-specific </w:t>
            </w:r>
            <w:r w:rsidRPr="002F42CB">
              <w:rPr>
                <w:rFonts w:ascii="Times New Roman" w:hAnsi="Times New Roman" w:cs="Times New Roman"/>
                <w:sz w:val="24"/>
                <w:szCs w:val="24"/>
              </w:rPr>
              <w:lastRenderedPageBreak/>
              <w:t>BAT-AELs; finer fractions may be addressed through ambient policy, process-specific requirements or associated pollutants rather than through a universally applied stack PM₂.₅ standard.</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sz w:val="24"/>
                <w:szCs w:val="24"/>
              </w:rPr>
              <w:lastRenderedPageBreak/>
              <w:t xml:space="preserve">PM, filterable PM, condensable PM and opacity may be regulated </w:t>
            </w:r>
            <w:r w:rsidRPr="002F42CB">
              <w:rPr>
                <w:rFonts w:ascii="Times New Roman" w:hAnsi="Times New Roman" w:cs="Times New Roman"/>
                <w:sz w:val="24"/>
                <w:szCs w:val="24"/>
              </w:rPr>
              <w:lastRenderedPageBreak/>
              <w:t>differently depending on the source category and applicable test method; PM may also function as a surrogate for certain hazardous pollutants.</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sz w:val="24"/>
                <w:szCs w:val="24"/>
              </w:rPr>
              <w:lastRenderedPageBreak/>
              <w:t>Commonly regulates particulate matter or dust under general and sector-</w:t>
            </w:r>
            <w:r w:rsidRPr="002F42CB">
              <w:rPr>
                <w:rFonts w:ascii="Times New Roman" w:hAnsi="Times New Roman" w:cs="Times New Roman"/>
                <w:sz w:val="24"/>
                <w:szCs w:val="24"/>
              </w:rPr>
              <w:lastRenderedPageBreak/>
              <w:t>specific standards; pollutant terminology, limits and monitoring requirements vary by industrial sector.</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sz w:val="24"/>
                <w:szCs w:val="24"/>
              </w:rPr>
              <w:lastRenderedPageBreak/>
              <w:t xml:space="preserve">Primarily regulates source-specific particulate or dust emissions and their predicted </w:t>
            </w:r>
            <w:r w:rsidRPr="002F42CB">
              <w:rPr>
                <w:rFonts w:ascii="Times New Roman" w:hAnsi="Times New Roman" w:cs="Times New Roman"/>
                <w:sz w:val="24"/>
                <w:szCs w:val="24"/>
              </w:rPr>
              <w:lastRenderedPageBreak/>
              <w:t>contribution to ambient concentrations; explicit stack-based differentiation of PM₂.₅ and PM₁₀ is comparatively limited.</w:t>
            </w:r>
          </w:p>
        </w:tc>
      </w:tr>
      <w:tr w:rsidR="002F42CB" w:rsidRPr="002F42CB" w:rsidTr="00BA4F84">
        <w:trPr>
          <w:jc w:val="center"/>
        </w:trPr>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b/>
                <w:bCs/>
                <w:sz w:val="24"/>
                <w:szCs w:val="24"/>
              </w:rPr>
              <w:lastRenderedPageBreak/>
              <w:t>Compliance monitoring</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sz w:val="24"/>
                <w:szCs w:val="24"/>
              </w:rPr>
              <w:t>Permit-specific monitoring based on BAT conclusions and relevant standards; periodic measurements are common, while continuous monitoring is required for designated sectors and large installations.</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sz w:val="24"/>
                <w:szCs w:val="24"/>
              </w:rPr>
              <w:t>Initial performance testing, periodic compliance tests, continuous emission or opacity monitoring and control-device parameter monitoring are applied according to the relevant source standard and permit.</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sz w:val="24"/>
                <w:szCs w:val="24"/>
              </w:rPr>
              <w:t>Manual testing and CEMS are required for designated sectors and major sources; continuous monitoring and digital reporting have expanded, but requirements remain dependent on source category and regulatory level.</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sz w:val="24"/>
                <w:szCs w:val="24"/>
              </w:rPr>
              <w:t>Periodic inventory, instrumental measurements and compliance reporting are generally used; continuous automatic monitoring is developing but is not yet uniformly required for all particulate-emitting industrial sources.</w:t>
            </w:r>
          </w:p>
        </w:tc>
      </w:tr>
      <w:tr w:rsidR="002F42CB" w:rsidRPr="002F42CB" w:rsidTr="00BA4F84">
        <w:trPr>
          <w:jc w:val="center"/>
        </w:trPr>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b/>
                <w:bCs/>
                <w:sz w:val="24"/>
                <w:szCs w:val="24"/>
              </w:rPr>
              <w:t>Compliance determination</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sz w:val="24"/>
                <w:szCs w:val="24"/>
              </w:rPr>
              <w:t xml:space="preserve">Based on permit conditions, BAT-AEL </w:t>
            </w:r>
            <w:proofErr w:type="gramStart"/>
            <w:r w:rsidRPr="002F42CB">
              <w:rPr>
                <w:rFonts w:ascii="Times New Roman" w:hAnsi="Times New Roman" w:cs="Times New Roman"/>
                <w:sz w:val="24"/>
                <w:szCs w:val="24"/>
              </w:rPr>
              <w:t>compliance,</w:t>
            </w:r>
            <w:proofErr w:type="gramEnd"/>
            <w:r w:rsidRPr="002F42CB">
              <w:rPr>
                <w:rFonts w:ascii="Times New Roman" w:hAnsi="Times New Roman" w:cs="Times New Roman"/>
                <w:sz w:val="24"/>
                <w:szCs w:val="24"/>
              </w:rPr>
              <w:t xml:space="preserve"> standardized monitoring methods, inspection findings and operator reporting.</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sz w:val="24"/>
                <w:szCs w:val="24"/>
              </w:rPr>
              <w:t>Based on performance tests, continuous or parametric monitoring, recordkeeping, periodic reports and inspections conducted by federal, state, local or tribal authorities.</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sz w:val="24"/>
                <w:szCs w:val="24"/>
              </w:rPr>
              <w:t xml:space="preserve">Based on national or </w:t>
            </w:r>
            <w:proofErr w:type="spellStart"/>
            <w:r w:rsidRPr="002F42CB">
              <w:rPr>
                <w:rFonts w:ascii="Times New Roman" w:hAnsi="Times New Roman" w:cs="Times New Roman"/>
                <w:sz w:val="24"/>
                <w:szCs w:val="24"/>
              </w:rPr>
              <w:t>sectoral</w:t>
            </w:r>
            <w:proofErr w:type="spellEnd"/>
            <w:r w:rsidRPr="002F42CB">
              <w:rPr>
                <w:rFonts w:ascii="Times New Roman" w:hAnsi="Times New Roman" w:cs="Times New Roman"/>
                <w:sz w:val="24"/>
                <w:szCs w:val="24"/>
              </w:rPr>
              <w:t xml:space="preserve"> emission standards, self-monitoring, CEMS data, inspections, pollutant-discharge permits and local enforcement requirements.</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sz w:val="24"/>
                <w:szCs w:val="24"/>
              </w:rPr>
              <w:t>Based on conformity with approved maximum permissible emission values, source inventories, monitoring results and predicted compliance with ambient air-quality standards.</w:t>
            </w:r>
          </w:p>
        </w:tc>
      </w:tr>
      <w:tr w:rsidR="002F42CB" w:rsidRPr="002F42CB" w:rsidTr="00BA4F84">
        <w:trPr>
          <w:jc w:val="center"/>
        </w:trPr>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b/>
                <w:bCs/>
                <w:sz w:val="24"/>
                <w:szCs w:val="24"/>
              </w:rPr>
              <w:t>Enforcement structure</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sz w:val="24"/>
                <w:szCs w:val="24"/>
              </w:rPr>
              <w:t xml:space="preserve">Competent authorities conduct risk-based environmental inspections and may require corrective </w:t>
            </w:r>
            <w:r w:rsidRPr="002F42CB">
              <w:rPr>
                <w:rFonts w:ascii="Times New Roman" w:hAnsi="Times New Roman" w:cs="Times New Roman"/>
                <w:sz w:val="24"/>
                <w:szCs w:val="24"/>
              </w:rPr>
              <w:lastRenderedPageBreak/>
              <w:t>measures, permit reconsideration, sanctions or suspension of operations.</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sz w:val="24"/>
                <w:szCs w:val="24"/>
              </w:rPr>
              <w:lastRenderedPageBreak/>
              <w:t xml:space="preserve">EPA and delegated state, local and tribal agencies may use administrative, civil and criminal </w:t>
            </w:r>
            <w:r w:rsidRPr="002F42CB">
              <w:rPr>
                <w:rFonts w:ascii="Times New Roman" w:hAnsi="Times New Roman" w:cs="Times New Roman"/>
                <w:sz w:val="24"/>
                <w:szCs w:val="24"/>
              </w:rPr>
              <w:lastRenderedPageBreak/>
              <w:t>enforcement, monetary penalties, injunctive relief and permit-related actions.</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sz w:val="24"/>
                <w:szCs w:val="24"/>
              </w:rPr>
              <w:lastRenderedPageBreak/>
              <w:t xml:space="preserve">Central and local environmental authorities use inspections, online monitoring, administrative </w:t>
            </w:r>
            <w:r w:rsidRPr="002F42CB">
              <w:rPr>
                <w:rFonts w:ascii="Times New Roman" w:hAnsi="Times New Roman" w:cs="Times New Roman"/>
                <w:sz w:val="24"/>
                <w:szCs w:val="24"/>
              </w:rPr>
              <w:lastRenderedPageBreak/>
              <w:t>penalties, production restrictions, corrective orders and public disclosure mechanisms.</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sz w:val="24"/>
                <w:szCs w:val="24"/>
              </w:rPr>
              <w:lastRenderedPageBreak/>
              <w:t xml:space="preserve">Authorized environmental bodies may impose administrative measures, require corrective action and </w:t>
            </w:r>
            <w:r w:rsidRPr="002F42CB">
              <w:rPr>
                <w:rFonts w:ascii="Times New Roman" w:hAnsi="Times New Roman" w:cs="Times New Roman"/>
                <w:sz w:val="24"/>
                <w:szCs w:val="24"/>
              </w:rPr>
              <w:lastRenderedPageBreak/>
              <w:t>restrict activities for violations, although implementation capacity and monitoring coverage may vary across regions and installations.</w:t>
            </w:r>
          </w:p>
        </w:tc>
      </w:tr>
      <w:tr w:rsidR="002F42CB" w:rsidRPr="002F42CB" w:rsidTr="00BA4F84">
        <w:trPr>
          <w:jc w:val="center"/>
        </w:trPr>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b/>
                <w:bCs/>
                <w:sz w:val="24"/>
                <w:szCs w:val="24"/>
              </w:rPr>
              <w:lastRenderedPageBreak/>
              <w:t>Principal strength</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sz w:val="24"/>
                <w:szCs w:val="24"/>
              </w:rPr>
              <w:t>Strong integration of technological development, permitting, emission performance, monitoring and periodic regulatory review.</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sz w:val="24"/>
                <w:szCs w:val="24"/>
              </w:rPr>
              <w:t>Detailed source-category rules, standardized test methods, consolidated permitting and comparatively mature compliance-assurance mechanisms.</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sz w:val="24"/>
                <w:szCs w:val="24"/>
              </w:rPr>
              <w:t xml:space="preserve">Broad </w:t>
            </w:r>
            <w:proofErr w:type="spellStart"/>
            <w:r w:rsidRPr="002F42CB">
              <w:rPr>
                <w:rFonts w:ascii="Times New Roman" w:hAnsi="Times New Roman" w:cs="Times New Roman"/>
                <w:sz w:val="24"/>
                <w:szCs w:val="24"/>
              </w:rPr>
              <w:t>sectoral</w:t>
            </w:r>
            <w:proofErr w:type="spellEnd"/>
            <w:r w:rsidRPr="002F42CB">
              <w:rPr>
                <w:rFonts w:ascii="Times New Roman" w:hAnsi="Times New Roman" w:cs="Times New Roman"/>
                <w:sz w:val="24"/>
                <w:szCs w:val="24"/>
              </w:rPr>
              <w:t xml:space="preserve"> coverage, rapid tightening of standards and growing use of continuous and digital monitoring for major industrial sources.</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sz w:val="24"/>
                <w:szCs w:val="24"/>
              </w:rPr>
              <w:t>Explicit consideration of local meteorology, background pollution and receptor-level environmental conditions when determining allowable emissions.</w:t>
            </w:r>
          </w:p>
        </w:tc>
      </w:tr>
      <w:tr w:rsidR="002F42CB" w:rsidRPr="002F42CB" w:rsidTr="00BA4F84">
        <w:trPr>
          <w:jc w:val="center"/>
        </w:trPr>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b/>
                <w:bCs/>
                <w:sz w:val="24"/>
                <w:szCs w:val="24"/>
              </w:rPr>
              <w:t>Principal limitation for international comparison</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sz w:val="24"/>
                <w:szCs w:val="24"/>
              </w:rPr>
              <w:t xml:space="preserve">BAT-AEL ranges are </w:t>
            </w:r>
            <w:proofErr w:type="gramStart"/>
            <w:r w:rsidRPr="002F42CB">
              <w:rPr>
                <w:rFonts w:ascii="Times New Roman" w:hAnsi="Times New Roman" w:cs="Times New Roman"/>
                <w:sz w:val="24"/>
                <w:szCs w:val="24"/>
              </w:rPr>
              <w:t>sector- and process-specific</w:t>
            </w:r>
            <w:proofErr w:type="gramEnd"/>
            <w:r w:rsidRPr="002F42CB">
              <w:rPr>
                <w:rFonts w:ascii="Times New Roman" w:hAnsi="Times New Roman" w:cs="Times New Roman"/>
                <w:sz w:val="24"/>
                <w:szCs w:val="24"/>
              </w:rPr>
              <w:t xml:space="preserve"> and may vary according to averaging periods, oxygen reference levels and permit conditions.</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sz w:val="24"/>
                <w:szCs w:val="24"/>
              </w:rPr>
              <w:t>Highly fragmented source-category regulations use different units, test methods, applicability thresholds and compliance formats.</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sz w:val="24"/>
                <w:szCs w:val="24"/>
              </w:rPr>
              <w:t xml:space="preserve">National, industrial and local standards may overlap conceptually, while implementation intensity and source coverage vary geographically and </w:t>
            </w:r>
            <w:proofErr w:type="spellStart"/>
            <w:r w:rsidRPr="002F42CB">
              <w:rPr>
                <w:rFonts w:ascii="Times New Roman" w:hAnsi="Times New Roman" w:cs="Times New Roman"/>
                <w:sz w:val="24"/>
                <w:szCs w:val="24"/>
              </w:rPr>
              <w:t>sectorally</w:t>
            </w:r>
            <w:proofErr w:type="spellEnd"/>
            <w:r w:rsidRPr="002F42CB">
              <w:rPr>
                <w:rFonts w:ascii="Times New Roman" w:hAnsi="Times New Roman" w:cs="Times New Roman"/>
                <w:sz w:val="24"/>
                <w:szCs w:val="24"/>
              </w:rPr>
              <w:t>.</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sz w:val="24"/>
                <w:szCs w:val="24"/>
              </w:rPr>
              <w:t xml:space="preserve">The absence of universally applicable, technology-based </w:t>
            </w:r>
            <w:proofErr w:type="spellStart"/>
            <w:r w:rsidRPr="002F42CB">
              <w:rPr>
                <w:rFonts w:ascii="Times New Roman" w:hAnsi="Times New Roman" w:cs="Times New Roman"/>
                <w:sz w:val="24"/>
                <w:szCs w:val="24"/>
              </w:rPr>
              <w:t>sectoral</w:t>
            </w:r>
            <w:proofErr w:type="spellEnd"/>
            <w:r w:rsidRPr="002F42CB">
              <w:rPr>
                <w:rFonts w:ascii="Times New Roman" w:hAnsi="Times New Roman" w:cs="Times New Roman"/>
                <w:sz w:val="24"/>
                <w:szCs w:val="24"/>
              </w:rPr>
              <w:t xml:space="preserve"> ELVs makes direct numerical comparison with foreign stack-emission standards difficult.</w:t>
            </w:r>
          </w:p>
        </w:tc>
      </w:tr>
      <w:tr w:rsidR="002F42CB" w:rsidRPr="002F42CB" w:rsidTr="00BA4F84">
        <w:trPr>
          <w:jc w:val="center"/>
        </w:trPr>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b/>
                <w:bCs/>
                <w:sz w:val="24"/>
                <w:szCs w:val="24"/>
              </w:rPr>
              <w:t>Implication for cross-jurisdictional harmonization</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sz w:val="24"/>
                <w:szCs w:val="24"/>
              </w:rPr>
              <w:t>Provides a strong reference for technology-based environmental performance, but BAT-AELs must be matched by sector, process and reference conditions before comparison.</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sz w:val="24"/>
                <w:szCs w:val="24"/>
              </w:rPr>
              <w:t>Offers detailed category-specific benchmarks, although comparable source categories and measurement conventions must be carefully aligned.</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sz w:val="24"/>
                <w:szCs w:val="24"/>
              </w:rPr>
              <w:t xml:space="preserve">Provides useful general and </w:t>
            </w:r>
            <w:proofErr w:type="spellStart"/>
            <w:r w:rsidRPr="002F42CB">
              <w:rPr>
                <w:rFonts w:ascii="Times New Roman" w:hAnsi="Times New Roman" w:cs="Times New Roman"/>
                <w:sz w:val="24"/>
                <w:szCs w:val="24"/>
              </w:rPr>
              <w:t>sectoral</w:t>
            </w:r>
            <w:proofErr w:type="spellEnd"/>
            <w:r w:rsidRPr="002F42CB">
              <w:rPr>
                <w:rFonts w:ascii="Times New Roman" w:hAnsi="Times New Roman" w:cs="Times New Roman"/>
                <w:sz w:val="24"/>
                <w:szCs w:val="24"/>
              </w:rPr>
              <w:t xml:space="preserve"> benchmarks, but the applicable national, industrial or local standard must first be identified for each source.</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sz w:val="24"/>
                <w:szCs w:val="24"/>
              </w:rPr>
              <w:t xml:space="preserve">Requires conversion of site-specific MPE values into technically interpretable source-performance metrics; institutional and enforcement indicators are necessary because direct ELV comparison alone is </w:t>
            </w:r>
            <w:r w:rsidRPr="002F42CB">
              <w:rPr>
                <w:rFonts w:ascii="Times New Roman" w:hAnsi="Times New Roman" w:cs="Times New Roman"/>
                <w:sz w:val="24"/>
                <w:szCs w:val="24"/>
              </w:rPr>
              <w:lastRenderedPageBreak/>
              <w:t>insufficient.</w:t>
            </w:r>
          </w:p>
        </w:tc>
      </w:tr>
      <w:tr w:rsidR="002F42CB" w:rsidRPr="002F42CB" w:rsidTr="00BA4F84">
        <w:trPr>
          <w:jc w:val="center"/>
        </w:trPr>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b/>
                <w:bCs/>
                <w:sz w:val="24"/>
                <w:szCs w:val="24"/>
              </w:rPr>
              <w:lastRenderedPageBreak/>
              <w:t>Overall harmonization challenge</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sz w:val="24"/>
                <w:szCs w:val="24"/>
              </w:rPr>
              <w:t>Comparability depends on translating BAT-based permit ranges into standardized source-specific metrics.</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sz w:val="24"/>
                <w:szCs w:val="24"/>
              </w:rPr>
              <w:t>Comparability depends on reconciling multiple category-specific formats and federal–state implementation arrangements.</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sz w:val="24"/>
                <w:szCs w:val="24"/>
              </w:rPr>
              <w:t xml:space="preserve">Comparability depends on distinguishing general, </w:t>
            </w:r>
            <w:proofErr w:type="spellStart"/>
            <w:r w:rsidRPr="002F42CB">
              <w:rPr>
                <w:rFonts w:ascii="Times New Roman" w:hAnsi="Times New Roman" w:cs="Times New Roman"/>
                <w:sz w:val="24"/>
                <w:szCs w:val="24"/>
              </w:rPr>
              <w:t>sectoral</w:t>
            </w:r>
            <w:proofErr w:type="spellEnd"/>
            <w:r w:rsidRPr="002F42CB">
              <w:rPr>
                <w:rFonts w:ascii="Times New Roman" w:hAnsi="Times New Roman" w:cs="Times New Roman"/>
                <w:sz w:val="24"/>
                <w:szCs w:val="24"/>
              </w:rPr>
              <w:t xml:space="preserve"> and local requirements and documenting their actual applicability.</w:t>
            </w:r>
          </w:p>
        </w:tc>
        <w:tc>
          <w:tcPr>
            <w:tcW w:w="0" w:type="auto"/>
            <w:hideMark/>
          </w:tcPr>
          <w:p w:rsidR="002F42CB" w:rsidRPr="002F42CB" w:rsidRDefault="002F42CB" w:rsidP="00BA4F84">
            <w:pPr>
              <w:spacing w:after="200" w:line="276" w:lineRule="auto"/>
              <w:jc w:val="center"/>
              <w:rPr>
                <w:rFonts w:ascii="Times New Roman" w:hAnsi="Times New Roman" w:cs="Times New Roman"/>
                <w:sz w:val="24"/>
                <w:szCs w:val="24"/>
              </w:rPr>
            </w:pPr>
            <w:r w:rsidRPr="002F42CB">
              <w:rPr>
                <w:rFonts w:ascii="Times New Roman" w:hAnsi="Times New Roman" w:cs="Times New Roman"/>
                <w:sz w:val="24"/>
                <w:szCs w:val="24"/>
              </w:rPr>
              <w:t>Comparability depends on bridging a receptor-oriented dispersion model with technology- and source-category-based emission-control systems.</w:t>
            </w:r>
          </w:p>
        </w:tc>
      </w:tr>
    </w:tbl>
    <w:p w:rsidR="002F42CB" w:rsidRPr="002F42CB" w:rsidRDefault="002F42CB" w:rsidP="002F42CB">
      <w:pPr>
        <w:jc w:val="center"/>
        <w:rPr>
          <w:rFonts w:ascii="Times New Roman" w:hAnsi="Times New Roman" w:cs="Times New Roman"/>
          <w:sz w:val="24"/>
          <w:szCs w:val="24"/>
        </w:rPr>
      </w:pPr>
    </w:p>
    <w:sectPr w:rsidR="002F42CB" w:rsidRPr="002F42CB" w:rsidSect="002F42CB">
      <w:pgSz w:w="15840" w:h="12240"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2CB"/>
    <w:rsid w:val="002F42CB"/>
    <w:rsid w:val="007B7DAC"/>
    <w:rsid w:val="009D2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42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42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139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1806</Words>
  <Characters>10297</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2026-07-14T16:41:00Z</dcterms:created>
  <dcterms:modified xsi:type="dcterms:W3CDTF">2026-07-15T05:32:00Z</dcterms:modified>
</cp:coreProperties>
</file>