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B0BBA">
      <w:pPr>
        <w:pStyle w:val="3"/>
      </w:pPr>
      <w:r>
        <w:t>2  Methods</w:t>
      </w:r>
    </w:p>
    <w:p w14:paraId="18B82C40">
      <w:pPr>
        <w:pStyle w:val="4"/>
      </w:pPr>
      <w:r>
        <w:t>2.3  Valuation of welfare loss (VLW framework)</w:t>
      </w:r>
    </w:p>
    <w:p w14:paraId="6C864D9E">
      <w:pPr>
        <w:spacing w:after="120" w:line="360" w:lineRule="auto"/>
      </w:pPr>
      <w:r>
        <w:t>The macroeconomic burden was quantified using the value of lost welfare (VLW) framework, which monetises health loss by translating DALYs into welfare-equivalent losses through the value of a statistical life-year (VSLY). In contrast to conventional cost-of-illness approaches, which capture only direct medical expenditure and productivity losses, the VLW framework incorporates individuals’ willingness to pay to avoid mortality and morbidity risk, thereby reflecting the intrinsic welfare value of health. The estimation proceeded in five steps.</w:t>
      </w:r>
    </w:p>
    <w:p w14:paraId="775C9357">
      <w:pPr>
        <w:pStyle w:val="5"/>
      </w:pPr>
      <w:r>
        <w:t>2.3.1  Country-specific value of a statistical life</w:t>
      </w:r>
    </w:p>
    <w:p w14:paraId="358D7501">
      <w:pPr>
        <w:spacing w:after="120" w:line="360" w:lineRule="auto"/>
      </w:pPr>
      <w:r>
        <w:t>A country-specific value of a statistical life (VSL) was obtained from a United States reference value using an income-adjusted benefit-transfer approach:</w:t>
      </w:r>
    </w:p>
    <w:p w14:paraId="0ECE7FB5">
      <w:pPr>
        <w:spacing w:before="80" w:after="80"/>
        <w:jc w:val="center"/>
      </w:pPr>
      <w:r>
        <w:rPr>
          <w:i/>
        </w:rPr>
        <w:t>VSLᵢ = VSL_US × (GDPpcᵢ / GDPpc_US)^ε</w:t>
      </w:r>
    </w:p>
    <w:p w14:paraId="2305FC27">
      <w:pPr>
        <w:spacing w:after="120" w:line="360" w:lineRule="auto"/>
      </w:pPr>
      <w:r>
        <w:t>In this formulation, the United States base value VSL_US was anchored at US$13.2 million (U.S. Department of Transportation), following the mortality-risk valuation guidance of the U.S, obtained from the World Bank database; both quantities are expressed in 2023 purchasing-power-parity international dollars. The parameter ε denotes the income elasticity of the VSL, which we fixed at 1.0 in the base case, consistent with the value, and varied between 0.5 and 1.5 in sensitivity analyses.</w:t>
      </w:r>
    </w:p>
    <w:p w14:paraId="37A71CE4">
      <w:pPr>
        <w:pStyle w:val="5"/>
      </w:pPr>
      <w:r>
        <w:t>2.3.2  Value of a statistical life-year</w:t>
      </w:r>
    </w:p>
    <w:p w14:paraId="210C1D90">
      <w:pPr>
        <w:spacing w:after="120" w:line="360" w:lineRule="auto"/>
      </w:pPr>
      <w:r>
        <w:t>The VSL for each country was annuitised into a VSLY using country-specific, sex-averaged HALE for 2023:</w:t>
      </w:r>
    </w:p>
    <w:p w14:paraId="68D6E2C5">
      <w:pPr>
        <w:spacing w:before="80" w:after="80"/>
        <w:jc w:val="center"/>
      </w:pPr>
      <w:r>
        <w:rPr>
          <w:i/>
        </w:rPr>
        <w:t>VSLYᵢ = VSLᵢ / (HALEᵢ / 2)</w:t>
      </w:r>
    </w:p>
    <w:p w14:paraId="16C68805">
      <w:pPr>
        <w:pStyle w:val="5"/>
      </w:pPr>
      <w:r>
        <w:t>2.3.3  Welfare loss and uncertainty</w:t>
      </w:r>
    </w:p>
    <w:p w14:paraId="595CE33C">
      <w:pPr>
        <w:spacing w:after="120" w:line="360" w:lineRule="auto"/>
      </w:pPr>
      <w:r>
        <w:t>The welfare loss for each country i, disease d, sex s and year t was computed as the product of DALYs and the country-specific VSLY, expressed in billions of US dollars:</w:t>
      </w:r>
    </w:p>
    <w:p w14:paraId="5B865035">
      <w:pPr>
        <w:spacing w:before="80" w:after="80"/>
        <w:jc w:val="center"/>
      </w:pPr>
      <w:r>
        <w:rPr>
          <w:i/>
        </w:rPr>
        <w:t>VLWᵢ,ₑ,ₛ,ₜ = VSLYᵢ × DALYᵢ,ₑ,ₛ,ₜ / 10⁹   (billion US$)</w:t>
      </w:r>
    </w:p>
    <w:p w14:paraId="4ABFF22C">
      <w:pPr>
        <w:spacing w:after="120" w:line="360" w:lineRule="auto"/>
      </w:pPr>
      <w:r>
        <w:t>Uncertainty was propagated directly from the GBD 2023 95% UIs by applying the same VSLY to the lower and upper DALY bounds. The combined VLW of the six diseases was obtained by summing the disease-specific estimates.</w:t>
      </w:r>
    </w:p>
    <w:p w14:paraId="40BA518F">
      <w:pPr>
        <w:pStyle w:val="5"/>
      </w:pPr>
      <w:r>
        <w:t>2.3.4  Discounting</w:t>
      </w:r>
    </w:p>
    <w:p w14:paraId="46D7B10B">
      <w:pPr>
        <w:spacing w:after="120" w:line="360" w:lineRule="auto"/>
      </w:pPr>
      <w:r>
        <w:t>To reflect time preference over the remaining life-course, a discounted VLW was derived by applying an annuity discount factor:</w:t>
      </w:r>
    </w:p>
    <w:p w14:paraId="5BAFC185">
      <w:pPr>
        <w:spacing w:before="80" w:after="80"/>
        <w:jc w:val="center"/>
      </w:pPr>
      <w:r>
        <w:rPr>
          <w:i/>
        </w:rPr>
        <w:t>VLW_disc = VLW × δ(n, r),   δ(n, r) = [1 − (1 + r)⁻ⁿ] / (r × n)</w:t>
      </w:r>
    </w:p>
    <w:p w14:paraId="009FF2F2">
      <w:pPr>
        <w:spacing w:after="120" w:line="360" w:lineRule="auto"/>
      </w:pPr>
      <w:r>
        <w:t>where n = HALEᵢ × 0.4 approximates the remaining life-years and r is the annual discount rate, set at 3% in the base case and varied in sensitivity analyses.</w:t>
      </w:r>
    </w:p>
    <w:p w14:paraId="1337E969">
      <w:pPr>
        <w:pStyle w:val="5"/>
      </w:pPr>
      <w:r>
        <w:t>2.3.5  Burden relative to economic scale</w:t>
      </w:r>
    </w:p>
    <w:p w14:paraId="63021D29">
      <w:pPr>
        <w:spacing w:after="120" w:line="360" w:lineRule="auto"/>
      </w:pPr>
      <w:r>
        <w:t>To enable comparison across economies of differing size, welfare loss was additionally expressed as a percentage of GDP:</w:t>
      </w:r>
    </w:p>
    <w:p w14:paraId="6325A631">
      <w:pPr>
        <w:spacing w:before="80" w:after="80"/>
        <w:jc w:val="center"/>
      </w:pPr>
      <w:r>
        <w:rPr>
          <w:i/>
        </w:rPr>
        <w:t>VLW/GDPᵢ,ₑ,ₜ (%) = (VLWᵢ,ₑ,ₜ × 10⁹ / GDP_totalᵢ) × 100</w:t>
      </w:r>
    </w:p>
    <w:p w14:paraId="3665845C">
      <w:pPr>
        <w:spacing w:after="120" w:line="360" w:lineRule="auto"/>
      </w:pPr>
      <w:r>
        <w:t>Cross-national aggregates were computed as GDP-weighted means. All monetary results were reported in 2023 international dollars adjusted for purchasing power parity.</w:t>
      </w:r>
    </w:p>
    <w:p w14:paraId="2F70387E">
      <w:pPr>
        <w:spacing w:after="120" w:line="360" w:lineRule="auto"/>
      </w:pPr>
      <w:bookmarkStart w:id="0" w:name="_GoBack"/>
      <w:bookmarkEnd w:id="0"/>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3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C7797"/>
    <w:rsid w:val="00326F90"/>
    <w:rsid w:val="004124AB"/>
    <w:rsid w:val="00567279"/>
    <w:rsid w:val="00770801"/>
    <w:rsid w:val="007B7022"/>
    <w:rsid w:val="00AA1D8D"/>
    <w:rsid w:val="00B47730"/>
    <w:rsid w:val="00CB0664"/>
    <w:rsid w:val="00DA4877"/>
    <w:rsid w:val="00EC266A"/>
    <w:rsid w:val="00FC693F"/>
    <w:rsid w:val="31E571A9"/>
    <w:rsid w:val="6E2A3A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1182</Words>
  <Characters>7016</Characters>
  <Lines>58</Lines>
  <Paragraphs>16</Paragraphs>
  <TotalTime>3</TotalTime>
  <ScaleCrop>false</ScaleCrop>
  <LinksUpToDate>false</LinksUpToDate>
  <CharactersWithSpaces>8178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王娟</cp:lastModifiedBy>
  <dcterms:modified xsi:type="dcterms:W3CDTF">2026-07-26T23:01:27Z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D8F0A91BCA33414A903A572B69BEE8B5_13</vt:lpwstr>
  </property>
  <property fmtid="{D5CDD505-2E9C-101B-9397-08002B2CF9AE}" pid="4" name="KSOTemplateDocerSaveRecord">
    <vt:lpwstr>eyJoZGlkIjoiZWMwNjAxMjBhZDZjM2MxN2FkM2NlOWMxYTUwNGQ4MTEiLCJ1c2VySWQiOiIzNjU5MjExNjQifQ==</vt:lpwstr>
  </property>
</Properties>
</file>