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A2644" w14:textId="77777777" w:rsidR="00B15F22" w:rsidRPr="00B43B41" w:rsidRDefault="00B15F22" w:rsidP="00B15F22">
      <w:pPr>
        <w:spacing w:before="0" w:after="120"/>
        <w:rPr>
          <w:rFonts w:ascii="Arial" w:hAnsi="Arial" w:cs="Arial"/>
          <w:b/>
          <w:bCs/>
          <w:lang w:val="en-AU"/>
        </w:rPr>
      </w:pPr>
      <w:r w:rsidRPr="00B43B41">
        <w:rPr>
          <w:rFonts w:ascii="Arial" w:hAnsi="Arial" w:cs="Arial"/>
          <w:b/>
          <w:bCs/>
          <w:lang w:val="en-AU"/>
        </w:rPr>
        <w:t>Supplementary figure legends</w:t>
      </w:r>
    </w:p>
    <w:p w14:paraId="2BFADB04" w14:textId="77777777" w:rsidR="00B15F22" w:rsidRPr="00B43B41" w:rsidRDefault="00B15F22" w:rsidP="00B15F22">
      <w:pPr>
        <w:spacing w:before="0" w:after="120"/>
        <w:rPr>
          <w:rFonts w:ascii="Arial" w:hAnsi="Arial" w:cs="Arial"/>
          <w:lang w:val="en-AU"/>
        </w:rPr>
      </w:pPr>
      <w:r w:rsidRPr="00B43B41">
        <w:rPr>
          <w:rFonts w:ascii="Arial" w:hAnsi="Arial" w:cs="Arial"/>
          <w:b/>
          <w:bCs/>
          <w:lang w:val="en-AU"/>
        </w:rPr>
        <w:t>Fig</w:t>
      </w:r>
      <w:r>
        <w:rPr>
          <w:rFonts w:ascii="Arial" w:hAnsi="Arial" w:cs="Arial"/>
          <w:b/>
          <w:bCs/>
          <w:lang w:val="en-AU"/>
        </w:rPr>
        <w:t>ure</w:t>
      </w:r>
      <w:r w:rsidRPr="00B43B41">
        <w:rPr>
          <w:rFonts w:ascii="Arial" w:hAnsi="Arial" w:cs="Arial"/>
          <w:b/>
          <w:bCs/>
          <w:lang w:val="en-AU"/>
        </w:rPr>
        <w:t xml:space="preserve"> S1.</w:t>
      </w:r>
      <w:r w:rsidRPr="00B43B41">
        <w:rPr>
          <w:rFonts w:ascii="Arial" w:hAnsi="Arial" w:cs="Arial"/>
          <w:lang w:val="en-AU"/>
        </w:rPr>
        <w:t xml:space="preserve"> Metabolic activity of BEAS-2B cells following a single exposure to ultra-high dose 500</w:t>
      </w:r>
      <w:r>
        <w:rPr>
          <w:rFonts w:ascii="Arial" w:hAnsi="Arial" w:cs="Arial"/>
          <w:lang w:val="en-AU"/>
        </w:rPr>
        <w:t xml:space="preserve"> </w:t>
      </w:r>
      <w:r w:rsidRPr="00B43B41">
        <w:rPr>
          <w:rFonts w:ascii="Arial" w:hAnsi="Arial" w:cs="Arial"/>
          <w:lang w:val="en-AU"/>
        </w:rPr>
        <w:t>nm, 1</w:t>
      </w:r>
      <w:r>
        <w:rPr>
          <w:rFonts w:ascii="Arial" w:hAnsi="Arial" w:cs="Arial"/>
          <w:lang w:val="en-AU"/>
        </w:rPr>
        <w:t xml:space="preserve"> </w:t>
      </w:r>
      <w:r w:rsidRPr="00B43B41">
        <w:rPr>
          <w:rFonts w:ascii="Arial" w:hAnsi="Arial" w:cs="Arial"/>
          <w:lang w:val="en-AU"/>
        </w:rPr>
        <w:t>µm, and 3</w:t>
      </w:r>
      <w:r>
        <w:rPr>
          <w:rFonts w:ascii="Arial" w:hAnsi="Arial" w:cs="Arial"/>
          <w:lang w:val="en-AU"/>
        </w:rPr>
        <w:t xml:space="preserve"> </w:t>
      </w:r>
      <w:r w:rsidRPr="00B43B41">
        <w:rPr>
          <w:rFonts w:ascii="Arial" w:hAnsi="Arial" w:cs="Arial"/>
          <w:lang w:val="en-AU"/>
        </w:rPr>
        <w:t>µm amorphous silica for 72</w:t>
      </w:r>
      <w:r>
        <w:rPr>
          <w:rFonts w:ascii="Arial" w:hAnsi="Arial" w:cs="Arial"/>
          <w:lang w:val="en-AU"/>
        </w:rPr>
        <w:t xml:space="preserve"> </w:t>
      </w:r>
      <w:r w:rsidRPr="00B43B41">
        <w:rPr>
          <w:rFonts w:ascii="Arial" w:hAnsi="Arial" w:cs="Arial"/>
          <w:lang w:val="en-AU"/>
        </w:rPr>
        <w:t xml:space="preserve">h. </w:t>
      </w:r>
      <w:r w:rsidRPr="00B43B41">
        <w:rPr>
          <w:rFonts w:ascii="Arial" w:hAnsi="Arial" w:cs="Arial"/>
        </w:rPr>
        <w:t xml:space="preserve">Data is presented as mean ± SEM. Statistical analysis was assessed by Two-way ANOVA with Dunnett’s post-hoc test: ****p&lt;0.0001 compared to passage-matched controls (n=3). </w:t>
      </w:r>
    </w:p>
    <w:p w14:paraId="51B0F9E6" w14:textId="77777777" w:rsidR="00B15F22" w:rsidRDefault="00B15F22" w:rsidP="00B15F22">
      <w:pPr>
        <w:spacing w:before="0" w:after="120"/>
        <w:rPr>
          <w:rFonts w:ascii="Arial" w:hAnsi="Arial" w:cs="Arial"/>
          <w:lang w:val="en-AU"/>
        </w:rPr>
      </w:pPr>
      <w:r w:rsidRPr="00B43B41">
        <w:rPr>
          <w:rFonts w:ascii="Arial" w:hAnsi="Arial" w:cs="Arial"/>
          <w:b/>
          <w:bCs/>
          <w:lang w:val="en-AU"/>
        </w:rPr>
        <w:t>Fig</w:t>
      </w:r>
      <w:r>
        <w:rPr>
          <w:rFonts w:ascii="Arial" w:hAnsi="Arial" w:cs="Arial"/>
          <w:b/>
          <w:bCs/>
          <w:lang w:val="en-AU"/>
        </w:rPr>
        <w:t>ure</w:t>
      </w:r>
      <w:r w:rsidRPr="00B43B41">
        <w:rPr>
          <w:rFonts w:ascii="Arial" w:hAnsi="Arial" w:cs="Arial"/>
          <w:b/>
          <w:bCs/>
          <w:lang w:val="en-AU"/>
        </w:rPr>
        <w:t xml:space="preserve"> S2. (i)</w:t>
      </w:r>
      <w:r w:rsidRPr="00B43B41">
        <w:rPr>
          <w:rFonts w:ascii="Arial" w:hAnsi="Arial" w:cs="Arial"/>
          <w:lang w:val="en-AU"/>
        </w:rPr>
        <w:t xml:space="preserve"> Hierarchical clustering of DEGs in Day 17 cells compared to Day 3 cells across all four size groups.</w:t>
      </w:r>
      <w:r w:rsidRPr="00B43B41">
        <w:rPr>
          <w:rFonts w:ascii="Arial" w:hAnsi="Arial" w:cs="Arial"/>
          <w:b/>
          <w:bCs/>
          <w:lang w:val="en-AU"/>
        </w:rPr>
        <w:t xml:space="preserve"> (ii)</w:t>
      </w:r>
      <w:r w:rsidRPr="00B43B41">
        <w:rPr>
          <w:rFonts w:ascii="Arial" w:hAnsi="Arial" w:cs="Arial"/>
          <w:lang w:val="en-AU"/>
        </w:rPr>
        <w:t xml:space="preserve"> Venn diagrams showing the number of unique and commonly expressed up and down DEGs in Day 17 cells compared to Day 3, across all size groups. </w:t>
      </w:r>
      <w:r w:rsidRPr="00B43B41">
        <w:rPr>
          <w:rFonts w:ascii="Arial" w:hAnsi="Arial" w:cs="Arial"/>
          <w:b/>
          <w:bCs/>
          <w:lang w:val="en-AU"/>
        </w:rPr>
        <w:t>(iii)</w:t>
      </w:r>
      <w:r w:rsidRPr="00B43B41">
        <w:rPr>
          <w:rFonts w:ascii="Arial" w:hAnsi="Arial" w:cs="Arial"/>
          <w:lang w:val="en-AU"/>
        </w:rPr>
        <w:t xml:space="preserve"> GSEA of enriched Hallmark gene sets in BEAS-2B cells exposed to silica for 17 days compared to those treated for 3 days.</w:t>
      </w:r>
    </w:p>
    <w:p w14:paraId="0D6FD768" w14:textId="77777777" w:rsidR="00B15F22" w:rsidRPr="007B72E4" w:rsidRDefault="00B15F22" w:rsidP="00B15F22">
      <w:pPr>
        <w:spacing w:before="0" w:after="120"/>
        <w:rPr>
          <w:rFonts w:ascii="Arial" w:hAnsi="Arial" w:cs="Arial"/>
          <w:lang w:val="en-AU"/>
        </w:rPr>
      </w:pPr>
      <w:r>
        <w:rPr>
          <w:rFonts w:ascii="Arial" w:hAnsi="Arial" w:cs="Arial"/>
          <w:b/>
          <w:bCs/>
          <w:lang w:val="en-AU"/>
        </w:rPr>
        <w:t xml:space="preserve">Figure S3. </w:t>
      </w:r>
      <w:r w:rsidRPr="00251C75">
        <w:rPr>
          <w:rFonts w:ascii="Arial" w:hAnsi="Arial" w:cs="Arial"/>
          <w:lang w:val="en-AU"/>
        </w:rPr>
        <w:t>Detection of secreted Serpi</w:t>
      </w:r>
      <w:r>
        <w:rPr>
          <w:rFonts w:ascii="Arial" w:hAnsi="Arial" w:cs="Arial"/>
          <w:lang w:val="en-AU"/>
        </w:rPr>
        <w:t xml:space="preserve">n E1/PAI-1 in BEAS-2B cells at Day 3 and Day 17 of amorphous silica exposure. </w:t>
      </w:r>
    </w:p>
    <w:p w14:paraId="16A76502" w14:textId="77777777" w:rsidR="00B15F22" w:rsidRPr="00B43B41" w:rsidRDefault="00B15F22" w:rsidP="00B15F22">
      <w:pPr>
        <w:spacing w:before="0" w:after="120"/>
        <w:rPr>
          <w:rFonts w:ascii="Arial" w:hAnsi="Arial" w:cs="Arial"/>
          <w:lang w:val="en-AU"/>
        </w:rPr>
      </w:pPr>
      <w:r w:rsidRPr="00B43B41">
        <w:rPr>
          <w:rFonts w:ascii="Arial" w:hAnsi="Arial" w:cs="Arial"/>
          <w:b/>
          <w:bCs/>
          <w:lang w:val="en-AU"/>
        </w:rPr>
        <w:t>Fig</w:t>
      </w:r>
      <w:r>
        <w:rPr>
          <w:rFonts w:ascii="Arial" w:hAnsi="Arial" w:cs="Arial"/>
          <w:b/>
          <w:bCs/>
          <w:lang w:val="en-AU"/>
        </w:rPr>
        <w:t>ure</w:t>
      </w:r>
      <w:r w:rsidRPr="00B43B41">
        <w:rPr>
          <w:rFonts w:ascii="Arial" w:hAnsi="Arial" w:cs="Arial"/>
          <w:b/>
          <w:bCs/>
          <w:lang w:val="en-AU"/>
        </w:rPr>
        <w:t xml:space="preserve"> S</w:t>
      </w:r>
      <w:r>
        <w:rPr>
          <w:rFonts w:ascii="Arial" w:hAnsi="Arial" w:cs="Arial"/>
          <w:b/>
          <w:bCs/>
          <w:lang w:val="en-AU"/>
        </w:rPr>
        <w:t>4</w:t>
      </w:r>
      <w:r w:rsidRPr="00B43B41">
        <w:rPr>
          <w:rFonts w:ascii="Arial" w:hAnsi="Arial" w:cs="Arial"/>
          <w:b/>
          <w:bCs/>
          <w:lang w:val="en-AU"/>
        </w:rPr>
        <w:t>.</w:t>
      </w:r>
      <w:r w:rsidRPr="00B43B41">
        <w:rPr>
          <w:rFonts w:ascii="Arial" w:hAnsi="Arial" w:cs="Arial"/>
          <w:lang w:val="en-AU"/>
        </w:rPr>
        <w:t xml:space="preserve"> Heatmap of Apoptosis and Cell Death gene set relative expression in Day 3 and Day 17 cells compared to respective passage-matched controls.</w:t>
      </w:r>
    </w:p>
    <w:p w14:paraId="2EDAC85B" w14:textId="77777777" w:rsidR="00B15F22" w:rsidRPr="00B43B41" w:rsidRDefault="00B15F22" w:rsidP="00B15F22">
      <w:pPr>
        <w:spacing w:before="0" w:after="120"/>
        <w:rPr>
          <w:rFonts w:ascii="Arial" w:hAnsi="Arial" w:cs="Arial"/>
          <w:lang w:val="en-AU"/>
        </w:rPr>
      </w:pPr>
      <w:r w:rsidRPr="00B43B41">
        <w:rPr>
          <w:rFonts w:ascii="Arial" w:hAnsi="Arial" w:cs="Arial"/>
          <w:b/>
          <w:bCs/>
          <w:lang w:val="en-AU"/>
        </w:rPr>
        <w:t>Fig</w:t>
      </w:r>
      <w:r>
        <w:rPr>
          <w:rFonts w:ascii="Arial" w:hAnsi="Arial" w:cs="Arial"/>
          <w:b/>
          <w:bCs/>
          <w:lang w:val="en-AU"/>
        </w:rPr>
        <w:t>ure</w:t>
      </w:r>
      <w:r w:rsidRPr="00B43B41">
        <w:rPr>
          <w:rFonts w:ascii="Arial" w:hAnsi="Arial" w:cs="Arial"/>
          <w:b/>
          <w:bCs/>
          <w:lang w:val="en-AU"/>
        </w:rPr>
        <w:t xml:space="preserve"> S</w:t>
      </w:r>
      <w:r>
        <w:rPr>
          <w:rFonts w:ascii="Arial" w:hAnsi="Arial" w:cs="Arial"/>
          <w:b/>
          <w:bCs/>
          <w:lang w:val="en-AU"/>
        </w:rPr>
        <w:t>5</w:t>
      </w:r>
      <w:r w:rsidRPr="00B43B41">
        <w:rPr>
          <w:rFonts w:ascii="Arial" w:hAnsi="Arial" w:cs="Arial"/>
          <w:b/>
          <w:bCs/>
          <w:lang w:val="en-AU"/>
        </w:rPr>
        <w:t xml:space="preserve">. </w:t>
      </w:r>
      <w:r w:rsidRPr="00B43B41">
        <w:rPr>
          <w:rFonts w:ascii="Arial" w:hAnsi="Arial" w:cs="Arial"/>
          <w:lang w:val="en-AU"/>
        </w:rPr>
        <w:t xml:space="preserve">Quantification of western blot analysis of EMT-related proteins in lysates of BEAS-2B cells following 3 or 17 days of exposure to amorphous silica (n=3). </w:t>
      </w:r>
    </w:p>
    <w:p w14:paraId="1A45219A" w14:textId="77777777" w:rsidR="00DC2479" w:rsidRDefault="00DC2479"/>
    <w:sectPr w:rsidR="00DC2479" w:rsidSect="00B15F22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954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43A18" w14:textId="77777777" w:rsidR="00B15F22" w:rsidRDefault="00B15F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56769" w14:textId="77777777" w:rsidR="00B15F22" w:rsidRDefault="00B15F2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22"/>
    <w:rsid w:val="005B6877"/>
    <w:rsid w:val="00946E36"/>
    <w:rsid w:val="00AA0C39"/>
    <w:rsid w:val="00B15F22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9EDDF"/>
  <w15:chartTrackingRefBased/>
  <w15:docId w15:val="{767AA89F-FCA5-49D9-92DF-481EE8BA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F22"/>
    <w:pPr>
      <w:spacing w:before="240" w:after="0" w:line="480" w:lineRule="auto"/>
      <w:jc w:val="both"/>
    </w:pPr>
    <w:rPr>
      <w:rFonts w:eastAsiaTheme="minorEastAsia"/>
      <w:kern w:val="0"/>
      <w:sz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F22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F2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F22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F22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F22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F22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F22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F22"/>
    <w:pPr>
      <w:keepNext/>
      <w:keepLines/>
      <w:spacing w:before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F22"/>
    <w:pPr>
      <w:keepNext/>
      <w:keepLines/>
      <w:spacing w:before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F22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5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F22"/>
    <w:pPr>
      <w:numPr>
        <w:ilvl w:val="1"/>
      </w:numPr>
      <w:spacing w:before="0"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5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F2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5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F22"/>
    <w:pPr>
      <w:spacing w:before="0" w:after="160" w:line="278" w:lineRule="auto"/>
      <w:ind w:left="720"/>
      <w:contextualSpacing/>
      <w:jc w:val="left"/>
    </w:pPr>
    <w:rPr>
      <w:rFonts w:eastAsiaTheme="minorHAnsi"/>
      <w:kern w:val="2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5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F2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15F2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F22"/>
    <w:rPr>
      <w:rFonts w:eastAsiaTheme="minorEastAsia"/>
      <w:kern w:val="0"/>
      <w:sz w:val="22"/>
      <w:lang w:val="en-US"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1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2026-07-28T15:32:00Z</dcterms:created>
  <dcterms:modified xsi:type="dcterms:W3CDTF">2026-07-28T15:33:00Z</dcterms:modified>
</cp:coreProperties>
</file>