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C8DC2" w14:textId="77777777" w:rsidR="00CB2673" w:rsidRPr="00D934A7" w:rsidRDefault="00CB2673" w:rsidP="00DD6C88">
      <w:pPr>
        <w:tabs>
          <w:tab w:val="left" w:pos="840"/>
        </w:tabs>
        <w:adjustRightInd w:val="0"/>
        <w:snapToGrid w:val="0"/>
        <w:spacing w:line="480" w:lineRule="auto"/>
        <w:jc w:val="left"/>
        <w:rPr>
          <w:rFonts w:ascii="Times New Roman" w:hAnsi="Times New Roman" w:cs="Times New Roman"/>
          <w:b/>
          <w:sz w:val="32"/>
          <w:szCs w:val="32"/>
        </w:rPr>
      </w:pPr>
      <w:r w:rsidRPr="00D934A7">
        <w:rPr>
          <w:rFonts w:ascii="Times New Roman" w:hAnsi="Times New Roman" w:cs="Times New Roman" w:hint="eastAsia"/>
          <w:b/>
          <w:sz w:val="32"/>
          <w:szCs w:val="32"/>
        </w:rPr>
        <w:t>Ru</w:t>
      </w:r>
      <w:r w:rsidRPr="00D934A7">
        <w:rPr>
          <w:rFonts w:ascii="Times New Roman" w:hAnsi="Times New Roman" w:cs="Times New Roman"/>
          <w:b/>
          <w:sz w:val="32"/>
          <w:szCs w:val="32"/>
        </w:rPr>
        <w:t>nx2 and Runx3 differentially regulate articular chondrocytes during osteoarthritis development</w:t>
      </w:r>
    </w:p>
    <w:p w14:paraId="242720D2" w14:textId="77777777" w:rsidR="00CB2673" w:rsidRPr="00D934A7" w:rsidRDefault="00CB2673" w:rsidP="00DD6C88">
      <w:pPr>
        <w:tabs>
          <w:tab w:val="left" w:pos="840"/>
        </w:tabs>
        <w:adjustRightInd w:val="0"/>
        <w:snapToGrid w:val="0"/>
        <w:spacing w:line="480" w:lineRule="auto"/>
        <w:jc w:val="left"/>
        <w:rPr>
          <w:rFonts w:ascii="Times New Roman" w:hAnsi="Times New Roman" w:cs="Times New Roman"/>
          <w:b/>
          <w:szCs w:val="21"/>
        </w:rPr>
      </w:pPr>
      <w:bookmarkStart w:id="0" w:name="_Hlk48909569"/>
    </w:p>
    <w:bookmarkEnd w:id="0"/>
    <w:p w14:paraId="00472A3E" w14:textId="77777777" w:rsidR="00CB2673" w:rsidRPr="00D934A7" w:rsidRDefault="00CB2673" w:rsidP="007355A5">
      <w:pPr>
        <w:tabs>
          <w:tab w:val="left" w:pos="840"/>
        </w:tabs>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sz w:val="24"/>
          <w:szCs w:val="24"/>
        </w:rPr>
        <w:t>Supplementary information</w:t>
      </w:r>
    </w:p>
    <w:p w14:paraId="452C43E5" w14:textId="77777777" w:rsidR="00CB2673" w:rsidRPr="00D934A7" w:rsidRDefault="00CB2673" w:rsidP="00DA44E1">
      <w:pPr>
        <w:adjustRightInd w:val="0"/>
        <w:snapToGrid w:val="0"/>
        <w:spacing w:line="480" w:lineRule="auto"/>
        <w:jc w:val="left"/>
        <w:rPr>
          <w:rFonts w:ascii="Times New Roman" w:hAnsi="Times New Roman" w:cs="Times New Roman"/>
          <w:iCs/>
          <w:sz w:val="24"/>
          <w:szCs w:val="24"/>
        </w:rPr>
      </w:pPr>
      <w:r w:rsidRPr="00D934A7">
        <w:rPr>
          <w:rFonts w:ascii="Times New Roman" w:hAnsi="Times New Roman" w:cs="Times New Roman"/>
          <w:b/>
          <w:iCs/>
          <w:sz w:val="24"/>
          <w:szCs w:val="24"/>
        </w:rPr>
        <w:t>Animals</w:t>
      </w:r>
    </w:p>
    <w:p w14:paraId="4E358AF3" w14:textId="6D30C451" w:rsidR="00CB2673" w:rsidRPr="00D934A7" w:rsidRDefault="00CB2673" w:rsidP="00DA44E1">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All animal experiments were authorized by the Animal Care and Use Committee of The University of </w:t>
      </w:r>
      <w:r w:rsidR="00EA0048">
        <w:rPr>
          <w:rFonts w:ascii="Times New Roman" w:hAnsi="Times New Roman" w:cs="Times New Roman"/>
          <w:sz w:val="24"/>
          <w:szCs w:val="24"/>
        </w:rPr>
        <w:t>XXX</w:t>
      </w:r>
      <w:r w:rsidRPr="00D934A7">
        <w:rPr>
          <w:rFonts w:ascii="Times New Roman" w:hAnsi="Times New Roman" w:cs="Times New Roman"/>
          <w:sz w:val="24"/>
          <w:szCs w:val="24"/>
        </w:rPr>
        <w:t xml:space="preserve">. We have complied with all relevant ethical regulations. In each experiment, we compared the genotypes of littermates maintained in a C57BL/6J background. </w:t>
      </w:r>
      <w:r w:rsidRPr="00D934A7">
        <w:rPr>
          <w:rFonts w:ascii="Times New Roman" w:hAnsi="Times New Roman" w:cs="Times New Roman"/>
          <w:i/>
          <w:sz w:val="24"/>
          <w:szCs w:val="24"/>
        </w:rPr>
        <w:t>Runx2</w:t>
      </w:r>
      <w:r w:rsidRPr="00D934A7">
        <w:rPr>
          <w:rFonts w:ascii="Times New Roman" w:hAnsi="Times New Roman" w:cs="Times New Roman"/>
          <w:sz w:val="24"/>
          <w:szCs w:val="24"/>
        </w:rPr>
        <w:t xml:space="preserve">-floxed mice were generated to carry a conditional </w:t>
      </w:r>
      <w:r w:rsidRPr="00D934A7">
        <w:rPr>
          <w:rFonts w:ascii="Times New Roman" w:hAnsi="Times New Roman" w:cs="Times New Roman"/>
          <w:i/>
          <w:sz w:val="24"/>
          <w:szCs w:val="24"/>
        </w:rPr>
        <w:t>Runx2</w:t>
      </w:r>
      <w:r w:rsidRPr="00D934A7">
        <w:rPr>
          <w:rFonts w:ascii="Times New Roman" w:hAnsi="Times New Roman" w:cs="Times New Roman"/>
          <w:sz w:val="24"/>
          <w:szCs w:val="24"/>
        </w:rPr>
        <w:t xml:space="preserve"> allele with exon 4, which encodes the Runt domain, flanked by </w:t>
      </w:r>
      <w:proofErr w:type="spellStart"/>
      <w:r w:rsidRPr="00D934A7">
        <w:rPr>
          <w:rFonts w:ascii="Times New Roman" w:hAnsi="Times New Roman" w:cs="Times New Roman"/>
          <w:sz w:val="24"/>
          <w:szCs w:val="24"/>
        </w:rPr>
        <w:t>loxP</w:t>
      </w:r>
      <w:proofErr w:type="spellEnd"/>
      <w:r w:rsidRPr="00D934A7">
        <w:rPr>
          <w:rFonts w:ascii="Times New Roman" w:hAnsi="Times New Roman" w:cs="Times New Roman"/>
          <w:sz w:val="24"/>
          <w:szCs w:val="24"/>
        </w:rPr>
        <w:t xml:space="preserve"> sites. Deletion of exon 4 also induced a frameshift and disrupted the Runx2 protein after exon 5.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flox-neo</w:t>
      </w:r>
      <w:r w:rsidRPr="00D934A7">
        <w:rPr>
          <w:rFonts w:ascii="Times New Roman" w:hAnsi="Times New Roman" w:cs="Times New Roman"/>
          <w:sz w:val="24"/>
          <w:szCs w:val="24"/>
        </w:rPr>
        <w:t xml:space="preserve"> mice were crossed with </w:t>
      </w:r>
      <w:proofErr w:type="spellStart"/>
      <w:r w:rsidRPr="00D934A7">
        <w:rPr>
          <w:rFonts w:ascii="Times New Roman" w:hAnsi="Times New Roman" w:cs="Times New Roman"/>
          <w:sz w:val="24"/>
          <w:szCs w:val="24"/>
        </w:rPr>
        <w:t>flippase</w:t>
      </w:r>
      <w:proofErr w:type="spellEnd"/>
      <w:r w:rsidRPr="00D934A7">
        <w:rPr>
          <w:rFonts w:ascii="Times New Roman" w:hAnsi="Times New Roman" w:cs="Times New Roman"/>
          <w:sz w:val="24"/>
          <w:szCs w:val="24"/>
        </w:rPr>
        <w:t xml:space="preserve"> recombinase target (FRT) transgenic mice to eliminate the neomycin cassette.</w:t>
      </w:r>
      <w:r w:rsidRPr="00D934A7">
        <w:rPr>
          <w:rFonts w:ascii="Times New Roman" w:hAnsi="Times New Roman" w:cs="Times New Roman" w:hint="eastAsia"/>
          <w:sz w:val="24"/>
          <w:szCs w:val="24"/>
        </w:rPr>
        <w:t xml:space="preserve"> </w:t>
      </w:r>
      <w:r w:rsidRPr="00D934A7">
        <w:rPr>
          <w:rFonts w:ascii="Times New Roman" w:hAnsi="Times New Roman" w:cs="Times New Roman"/>
          <w:sz w:val="24"/>
          <w:szCs w:val="24"/>
        </w:rPr>
        <w:t xml:space="preserve">Positive embryonic stem cells </w:t>
      </w:r>
      <w:r w:rsidRPr="00D934A7">
        <w:rPr>
          <w:rFonts w:ascii="Times New Roman" w:hAnsi="Times New Roman" w:cs="Times New Roman" w:hint="eastAsia"/>
          <w:sz w:val="24"/>
          <w:szCs w:val="24"/>
        </w:rPr>
        <w:t>were injected into eight</w:t>
      </w:r>
      <w:r w:rsidRPr="00D934A7">
        <w:rPr>
          <w:rFonts w:ascii="Times New Roman" w:hAnsi="Times New Roman" w:cs="Times New Roman"/>
          <w:sz w:val="24"/>
          <w:szCs w:val="24"/>
        </w:rPr>
        <w:t>-</w:t>
      </w:r>
      <w:r w:rsidRPr="00D934A7">
        <w:rPr>
          <w:rFonts w:ascii="Times New Roman" w:hAnsi="Times New Roman" w:cs="Times New Roman" w:hint="eastAsia"/>
          <w:sz w:val="24"/>
          <w:szCs w:val="24"/>
        </w:rPr>
        <w:t>cell stage embryos to generate</w:t>
      </w:r>
      <w:r w:rsidRPr="00D934A7">
        <w:rPr>
          <w:rFonts w:ascii="Times New Roman" w:hAnsi="Times New Roman" w:cs="Times New Roman"/>
          <w:sz w:val="24"/>
          <w:szCs w:val="24"/>
        </w:rPr>
        <w:t xml:space="preserve"> chimeric mice for subsequent crossing with C57BL/6J females. This step provided heterozygous animals for the </w:t>
      </w:r>
      <w:proofErr w:type="spellStart"/>
      <w:r w:rsidRPr="00D934A7">
        <w:rPr>
          <w:rFonts w:ascii="Times New Roman" w:hAnsi="Times New Roman" w:cs="Times New Roman"/>
          <w:sz w:val="24"/>
          <w:szCs w:val="24"/>
        </w:rPr>
        <w:t>floxed</w:t>
      </w:r>
      <w:proofErr w:type="spellEnd"/>
      <w:r w:rsidRPr="00D934A7">
        <w:rPr>
          <w:rFonts w:ascii="Times New Roman" w:hAnsi="Times New Roman" w:cs="Times New Roman"/>
          <w:sz w:val="24"/>
          <w:szCs w:val="24"/>
        </w:rPr>
        <w:t xml:space="preserve"> allele of </w:t>
      </w:r>
      <w:r w:rsidRPr="00D934A7">
        <w:rPr>
          <w:rFonts w:ascii="Times New Roman" w:hAnsi="Times New Roman" w:cs="Times New Roman"/>
          <w:i/>
          <w:sz w:val="24"/>
          <w:szCs w:val="24"/>
        </w:rPr>
        <w:t>Runx2</w:t>
      </w:r>
      <w:r w:rsidRPr="00D934A7">
        <w:rPr>
          <w:rFonts w:ascii="Times New Roman" w:hAnsi="Times New Roman" w:cs="Times New Roman"/>
          <w:sz w:val="24"/>
          <w:szCs w:val="24"/>
        </w:rPr>
        <w:t xml:space="preserve"> </w:t>
      </w:r>
      <w:r w:rsidRPr="00D934A7">
        <w:rPr>
          <w:rFonts w:ascii="Times New Roman" w:hAnsi="Times New Roman" w:cs="Times New Roman" w:hint="eastAsia"/>
          <w:sz w:val="24"/>
          <w:szCs w:val="24"/>
        </w:rPr>
        <w:t>(</w:t>
      </w:r>
      <w:r w:rsidRPr="00D934A7">
        <w:rPr>
          <w:rFonts w:ascii="Times New Roman" w:hAnsi="Times New Roman" w:cs="Times New Roman" w:hint="eastAsia"/>
          <w:i/>
          <w:sz w:val="24"/>
          <w:szCs w:val="24"/>
        </w:rPr>
        <w:t>Runx2</w:t>
      </w:r>
      <w:r w:rsidRPr="00D934A7">
        <w:rPr>
          <w:rFonts w:ascii="Times New Roman" w:hAnsi="Times New Roman" w:cs="Times New Roman" w:hint="eastAsia"/>
          <w:i/>
          <w:sz w:val="24"/>
          <w:szCs w:val="24"/>
          <w:vertAlign w:val="superscript"/>
        </w:rPr>
        <w:t>flox</w:t>
      </w:r>
      <w:r w:rsidRPr="00D934A7">
        <w:rPr>
          <w:rFonts w:ascii="Times New Roman" w:hAnsi="Times New Roman" w:cs="Times New Roman"/>
          <w:i/>
          <w:sz w:val="24"/>
          <w:szCs w:val="24"/>
          <w:vertAlign w:val="superscript"/>
        </w:rPr>
        <w:t>-</w:t>
      </w:r>
      <w:r w:rsidRPr="00D934A7">
        <w:rPr>
          <w:rFonts w:ascii="Times New Roman" w:hAnsi="Times New Roman" w:cs="Times New Roman" w:hint="eastAsia"/>
          <w:i/>
          <w:sz w:val="24"/>
          <w:szCs w:val="24"/>
          <w:vertAlign w:val="superscript"/>
        </w:rPr>
        <w:t>neo</w:t>
      </w:r>
      <w:r w:rsidRPr="00D934A7">
        <w:rPr>
          <w:rFonts w:ascii="Times New Roman" w:hAnsi="Times New Roman" w:cs="Times New Roman" w:hint="eastAsia"/>
          <w:sz w:val="24"/>
          <w:szCs w:val="24"/>
        </w:rPr>
        <w:t xml:space="preserve">). Mating these mice with </w:t>
      </w:r>
      <w:r w:rsidRPr="00D934A7">
        <w:rPr>
          <w:rFonts w:ascii="Times New Roman" w:hAnsi="Times New Roman" w:cs="Times New Roman"/>
          <w:sz w:val="24"/>
          <w:szCs w:val="24"/>
        </w:rPr>
        <w:t xml:space="preserve">FRT </w:t>
      </w:r>
      <w:r w:rsidRPr="00D934A7">
        <w:rPr>
          <w:rFonts w:ascii="Times New Roman" w:hAnsi="Times New Roman" w:cs="Times New Roman" w:hint="eastAsia"/>
          <w:sz w:val="24"/>
          <w:szCs w:val="24"/>
        </w:rPr>
        <w:t>transgenic mice</w:t>
      </w:r>
      <w:r w:rsidRPr="00D934A7">
        <w:rPr>
          <w:rFonts w:ascii="Times New Roman" w:hAnsi="Times New Roman" w:cs="Times New Roman"/>
          <w:sz w:val="24"/>
          <w:szCs w:val="24"/>
        </w:rPr>
        <w:t xml:space="preserve"> resulted in heterozygous-</w:t>
      </w:r>
      <w:proofErr w:type="spellStart"/>
      <w:r w:rsidRPr="00D934A7">
        <w:rPr>
          <w:rFonts w:ascii="Times New Roman" w:hAnsi="Times New Roman" w:cs="Times New Roman"/>
          <w:sz w:val="24"/>
          <w:szCs w:val="24"/>
        </w:rPr>
        <w:t>floxed</w:t>
      </w:r>
      <w:proofErr w:type="spellEnd"/>
      <w:r w:rsidRPr="00D934A7">
        <w:rPr>
          <w:rFonts w:ascii="Times New Roman" w:hAnsi="Times New Roman" w:cs="Times New Roman"/>
          <w:sz w:val="24"/>
          <w:szCs w:val="24"/>
        </w:rPr>
        <w:t xml:space="preserve"> </w:t>
      </w:r>
      <w:r w:rsidRPr="00D934A7">
        <w:rPr>
          <w:rFonts w:ascii="Times New Roman" w:hAnsi="Times New Roman" w:cs="Times New Roman"/>
          <w:i/>
          <w:sz w:val="24"/>
          <w:szCs w:val="24"/>
        </w:rPr>
        <w:t>Runx2</w:t>
      </w:r>
      <w:r w:rsidRPr="00D934A7">
        <w:rPr>
          <w:rFonts w:ascii="Times New Roman" w:hAnsi="Times New Roman" w:cs="Times New Roman"/>
          <w:sz w:val="24"/>
          <w:szCs w:val="24"/>
        </w:rPr>
        <w:t xml:space="preserve"> (</w:t>
      </w:r>
      <w:r w:rsidRPr="00D934A7">
        <w:rPr>
          <w:rFonts w:ascii="Times New Roman" w:hAnsi="Times New Roman" w:cs="Times New Roman"/>
          <w:i/>
          <w:sz w:val="24"/>
          <w:szCs w:val="24"/>
        </w:rPr>
        <w:t>Runx2</w:t>
      </w:r>
      <w:r w:rsidRPr="00D934A7">
        <w:rPr>
          <w:rFonts w:ascii="Times New Roman" w:hAnsi="Times New Roman" w:cs="Times New Roman"/>
          <w:sz w:val="24"/>
          <w:szCs w:val="24"/>
          <w:vertAlign w:val="superscript"/>
        </w:rPr>
        <w:t>fl/+</w:t>
      </w:r>
      <w:r w:rsidRPr="00D934A7">
        <w:rPr>
          <w:rFonts w:ascii="Times New Roman" w:hAnsi="Times New Roman" w:cs="Times New Roman"/>
          <w:sz w:val="24"/>
          <w:szCs w:val="24"/>
        </w:rPr>
        <w:t>) with the FRT-</w:t>
      </w:r>
      <w:r w:rsidRPr="00D934A7">
        <w:rPr>
          <w:rFonts w:ascii="Times New Roman" w:hAnsi="Times New Roman" w:cs="Times New Roman" w:hint="eastAsia"/>
          <w:sz w:val="24"/>
          <w:szCs w:val="24"/>
        </w:rPr>
        <w:t xml:space="preserve">franked neomycin resistance cassette </w:t>
      </w:r>
      <w:r w:rsidRPr="00D934A7">
        <w:rPr>
          <w:rFonts w:ascii="Times New Roman" w:hAnsi="Times New Roman" w:cs="Times New Roman"/>
          <w:sz w:val="24"/>
          <w:szCs w:val="24"/>
        </w:rPr>
        <w:t xml:space="preserve">eliminated. </w:t>
      </w:r>
      <w:r w:rsidRPr="00D934A7">
        <w:rPr>
          <w:rFonts w:ascii="Times New Roman" w:hAnsi="Times New Roman" w:cs="Times New Roman"/>
          <w:i/>
          <w:sz w:val="24"/>
          <w:szCs w:val="24"/>
        </w:rPr>
        <w:t>Runx2</w:t>
      </w:r>
      <w:r w:rsidRPr="00D934A7">
        <w:rPr>
          <w:rFonts w:ascii="Times New Roman" w:hAnsi="Times New Roman" w:cs="Times New Roman"/>
          <w:sz w:val="24"/>
          <w:szCs w:val="24"/>
          <w:vertAlign w:val="superscript"/>
        </w:rPr>
        <w:t>fl/+</w:t>
      </w:r>
      <w:r w:rsidRPr="00D934A7">
        <w:rPr>
          <w:rFonts w:ascii="Times New Roman" w:hAnsi="Times New Roman" w:cs="Times New Roman"/>
          <w:sz w:val="24"/>
          <w:szCs w:val="24"/>
        </w:rPr>
        <w:t xml:space="preserve"> mice were next crossed with </w:t>
      </w:r>
      <w:r w:rsidRPr="00D934A7">
        <w:rPr>
          <w:rFonts w:ascii="Times New Roman" w:hAnsi="Times New Roman" w:cs="Times New Roman"/>
          <w:i/>
          <w:sz w:val="24"/>
          <w:szCs w:val="24"/>
        </w:rPr>
        <w:t>Runx2</w:t>
      </w:r>
      <w:r w:rsidRPr="00D934A7">
        <w:rPr>
          <w:rFonts w:ascii="Times New Roman" w:hAnsi="Times New Roman" w:cs="Times New Roman"/>
          <w:sz w:val="24"/>
          <w:szCs w:val="24"/>
          <w:vertAlign w:val="superscript"/>
        </w:rPr>
        <w:t xml:space="preserve">fl/+ </w:t>
      </w:r>
      <w:r w:rsidRPr="00D934A7">
        <w:rPr>
          <w:rFonts w:ascii="Times New Roman" w:hAnsi="Times New Roman" w:cs="Times New Roman"/>
          <w:sz w:val="24"/>
          <w:szCs w:val="24"/>
        </w:rPr>
        <w:t xml:space="preserve">to generate </w:t>
      </w:r>
      <w:r w:rsidRPr="00D934A7">
        <w:rPr>
          <w:rFonts w:ascii="Times New Roman" w:hAnsi="Times New Roman" w:cs="Times New Roman"/>
          <w:i/>
          <w:sz w:val="24"/>
          <w:szCs w:val="24"/>
        </w:rPr>
        <w:t>Runx2</w:t>
      </w:r>
      <w:r w:rsidRPr="00D934A7">
        <w:rPr>
          <w:rFonts w:ascii="Times New Roman" w:hAnsi="Times New Roman" w:cs="Times New Roman"/>
          <w:sz w:val="24"/>
          <w:szCs w:val="24"/>
          <w:vertAlign w:val="superscript"/>
        </w:rPr>
        <w:t>fl/+</w:t>
      </w:r>
      <w:r w:rsidRPr="00D934A7">
        <w:rPr>
          <w:rFonts w:ascii="Times New Roman" w:hAnsi="Times New Roman" w:cs="Times New Roman"/>
          <w:sz w:val="24"/>
          <w:szCs w:val="24"/>
        </w:rPr>
        <w:t xml:space="preserve"> or </w:t>
      </w:r>
      <w:r w:rsidRPr="00D934A7">
        <w:rPr>
          <w:rFonts w:ascii="Times New Roman" w:hAnsi="Times New Roman" w:cs="Times New Roman"/>
          <w:i/>
          <w:sz w:val="24"/>
          <w:szCs w:val="24"/>
        </w:rPr>
        <w:t>Runx2</w:t>
      </w:r>
      <w:r w:rsidRPr="00D934A7">
        <w:rPr>
          <w:rFonts w:ascii="Times New Roman" w:hAnsi="Times New Roman" w:cs="Times New Roman"/>
          <w:sz w:val="24"/>
          <w:szCs w:val="24"/>
          <w:vertAlign w:val="superscript"/>
        </w:rPr>
        <w:t>fl/</w:t>
      </w:r>
      <w:proofErr w:type="spellStart"/>
      <w:r w:rsidRPr="00D934A7">
        <w:rPr>
          <w:rFonts w:ascii="Times New Roman" w:hAnsi="Times New Roman" w:cs="Times New Roman"/>
          <w:sz w:val="24"/>
          <w:szCs w:val="24"/>
          <w:vertAlign w:val="superscript"/>
        </w:rPr>
        <w:t>fl</w:t>
      </w:r>
      <w:proofErr w:type="spellEnd"/>
      <w:r w:rsidRPr="00D934A7">
        <w:rPr>
          <w:rFonts w:ascii="Times New Roman" w:hAnsi="Times New Roman" w:cs="Times New Roman"/>
          <w:sz w:val="24"/>
          <w:szCs w:val="24"/>
          <w:vertAlign w:val="superscript"/>
        </w:rPr>
        <w:t xml:space="preserve"> </w:t>
      </w:r>
      <w:r w:rsidRPr="00D934A7">
        <w:rPr>
          <w:rFonts w:ascii="Times New Roman" w:hAnsi="Times New Roman" w:cs="Times New Roman"/>
          <w:sz w:val="24"/>
          <w:szCs w:val="24"/>
        </w:rPr>
        <w:t>mice. We then evaluated the targeting efficiency and specificity of these mice by breeding them with CAG-Cre reporter mice.</w:t>
      </w:r>
    </w:p>
    <w:p w14:paraId="77205D92" w14:textId="77777777" w:rsidR="00CB2673" w:rsidRPr="00D934A7" w:rsidRDefault="00CB2673" w:rsidP="00DA44E1">
      <w:pPr>
        <w:adjustRightInd w:val="0"/>
        <w:snapToGrid w:val="0"/>
        <w:spacing w:line="480" w:lineRule="auto"/>
        <w:ind w:firstLine="960"/>
        <w:jc w:val="left"/>
        <w:rPr>
          <w:rFonts w:ascii="Times New Roman" w:hAnsi="Times New Roman" w:cs="Times New Roman"/>
          <w:sz w:val="24"/>
          <w:szCs w:val="24"/>
        </w:rPr>
      </w:pPr>
      <w:r w:rsidRPr="00D934A7">
        <w:rPr>
          <w:rFonts w:ascii="Times New Roman" w:hAnsi="Times New Roman" w:cs="Times New Roman"/>
          <w:i/>
          <w:sz w:val="24"/>
          <w:szCs w:val="24"/>
        </w:rPr>
        <w:t>Col2a1-Cre</w:t>
      </w:r>
      <w:r w:rsidRPr="00D934A7">
        <w:rPr>
          <w:rFonts w:ascii="Times New Roman" w:hAnsi="Times New Roman" w:cs="Times New Roman"/>
          <w:sz w:val="24"/>
          <w:szCs w:val="24"/>
        </w:rPr>
        <w:t xml:space="preserve"> mice,</w:t>
      </w:r>
      <w:r w:rsidRPr="00D934A7">
        <w:rPr>
          <w:rFonts w:ascii="Times New Roman" w:hAnsi="Times New Roman" w:cs="Times New Roman"/>
          <w:noProof/>
          <w:sz w:val="24"/>
          <w:szCs w:val="24"/>
          <w:vertAlign w:val="superscript"/>
        </w:rPr>
        <w:t>1</w:t>
      </w:r>
      <w:r w:rsidRPr="00D934A7">
        <w:rPr>
          <w:rFonts w:ascii="Times New Roman" w:hAnsi="Times New Roman" w:cs="Times New Roman"/>
          <w:sz w:val="24"/>
          <w:szCs w:val="24"/>
        </w:rPr>
        <w:t xml:space="preserve"> </w:t>
      </w:r>
      <w:r w:rsidRPr="00D934A7">
        <w:rPr>
          <w:rFonts w:ascii="Times New Roman" w:hAnsi="Times New Roman" w:cs="Times New Roman"/>
          <w:i/>
          <w:sz w:val="24"/>
          <w:szCs w:val="24"/>
        </w:rPr>
        <w:t>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w:t>
      </w:r>
      <w:r w:rsidRPr="00D934A7">
        <w:rPr>
          <w:rFonts w:ascii="Times New Roman" w:hAnsi="Times New Roman" w:cs="Times New Roman"/>
          <w:sz w:val="24"/>
          <w:szCs w:val="24"/>
          <w:vertAlign w:val="superscript"/>
        </w:rPr>
        <w:t>l</w:t>
      </w:r>
      <w:proofErr w:type="spellEnd"/>
      <w:r w:rsidRPr="00D934A7">
        <w:rPr>
          <w:rFonts w:ascii="Times New Roman" w:hAnsi="Times New Roman" w:cs="Times New Roman"/>
          <w:sz w:val="24"/>
          <w:szCs w:val="24"/>
        </w:rPr>
        <w:t xml:space="preserve"> mice,</w:t>
      </w:r>
      <w:r w:rsidRPr="00D934A7">
        <w:rPr>
          <w:rFonts w:ascii="Times New Roman" w:hAnsi="Times New Roman" w:cs="Times New Roman"/>
          <w:noProof/>
          <w:sz w:val="24"/>
          <w:szCs w:val="24"/>
          <w:vertAlign w:val="superscript"/>
        </w:rPr>
        <w:t>2</w:t>
      </w:r>
      <w:r w:rsidRPr="00D934A7">
        <w:rPr>
          <w:rFonts w:ascii="Times New Roman" w:hAnsi="Times New Roman" w:cs="Times New Roman"/>
          <w:sz w:val="24"/>
          <w:szCs w:val="24"/>
        </w:rPr>
        <w:t xml:space="preserve"> and </w:t>
      </w:r>
      <w:r w:rsidRPr="00D934A7">
        <w:rPr>
          <w:rFonts w:ascii="Times New Roman" w:hAnsi="Times New Roman" w:cs="Times New Roman"/>
          <w:i/>
          <w:sz w:val="24"/>
          <w:szCs w:val="24"/>
        </w:rPr>
        <w:t>Prg4-Cre</w:t>
      </w:r>
      <w:r w:rsidRPr="00D934A7">
        <w:rPr>
          <w:rFonts w:ascii="Times New Roman" w:hAnsi="Times New Roman" w:cs="Times New Roman"/>
          <w:i/>
          <w:sz w:val="24"/>
          <w:szCs w:val="24"/>
          <w:vertAlign w:val="superscript"/>
        </w:rPr>
        <w:t>ERT2</w:t>
      </w:r>
      <w:r w:rsidRPr="00D934A7">
        <w:rPr>
          <w:rFonts w:ascii="Times New Roman" w:hAnsi="Times New Roman" w:cs="Times New Roman"/>
          <w:sz w:val="24"/>
          <w:szCs w:val="24"/>
        </w:rPr>
        <w:t xml:space="preserve"> mice</w:t>
      </w:r>
      <w:r w:rsidRPr="00D934A7">
        <w:rPr>
          <w:rFonts w:ascii="Times New Roman" w:hAnsi="Times New Roman" w:cs="Times New Roman"/>
          <w:noProof/>
          <w:sz w:val="24"/>
          <w:szCs w:val="24"/>
          <w:vertAlign w:val="superscript"/>
        </w:rPr>
        <w:t>3</w:t>
      </w:r>
      <w:r w:rsidRPr="00D934A7">
        <w:rPr>
          <w:rFonts w:ascii="Times New Roman" w:hAnsi="Times New Roman" w:cs="Times New Roman"/>
          <w:sz w:val="24"/>
          <w:szCs w:val="24"/>
        </w:rPr>
        <w:t xml:space="preserve"> were purchased from Jackson Laboratory.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sz w:val="24"/>
          <w:szCs w:val="24"/>
        </w:rPr>
        <w:t xml:space="preserve"> mice</w:t>
      </w:r>
      <w:r w:rsidRPr="00D934A7">
        <w:rPr>
          <w:rFonts w:ascii="Times New Roman" w:hAnsi="Times New Roman" w:cs="Times New Roman"/>
          <w:noProof/>
          <w:sz w:val="24"/>
          <w:szCs w:val="24"/>
          <w:vertAlign w:val="superscript"/>
        </w:rPr>
        <w:t>4</w:t>
      </w:r>
      <w:r w:rsidRPr="00D934A7">
        <w:rPr>
          <w:rFonts w:ascii="Times New Roman" w:hAnsi="Times New Roman" w:cs="Times New Roman"/>
          <w:sz w:val="24"/>
          <w:szCs w:val="24"/>
          <w:vertAlign w:val="superscript"/>
        </w:rPr>
        <w:t xml:space="preserve"> </w:t>
      </w:r>
      <w:r w:rsidRPr="00D934A7">
        <w:rPr>
          <w:rFonts w:ascii="Times New Roman" w:hAnsi="Times New Roman" w:cs="Times New Roman"/>
          <w:sz w:val="24"/>
          <w:szCs w:val="24"/>
        </w:rPr>
        <w:t xml:space="preserve">were generously provided by Professor Di Chen (Rush University Medical Center, Chicago, IL, USA). To generate </w:t>
      </w:r>
      <w:r w:rsidRPr="00D934A7">
        <w:rPr>
          <w:rFonts w:ascii="Times New Roman" w:hAnsi="Times New Roman" w:cs="Times New Roman"/>
          <w:i/>
          <w:sz w:val="24"/>
          <w:szCs w:val="24"/>
        </w:rPr>
        <w:lastRenderedPageBreak/>
        <w:t>Col2a1-Cre;Runx3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w:t>
      </w:r>
      <w:r w:rsidRPr="00D934A7">
        <w:rPr>
          <w:rFonts w:ascii="Times New Roman" w:hAnsi="Times New Roman" w:cs="Times New Roman"/>
          <w:i/>
          <w:sz w:val="24"/>
          <w:szCs w:val="24"/>
        </w:rPr>
        <w:t>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i/>
          <w:sz w:val="24"/>
          <w:szCs w:val="24"/>
        </w:rPr>
        <w:t xml:space="preserve"> </w:t>
      </w:r>
      <w:r w:rsidRPr="00D934A7">
        <w:rPr>
          <w:rFonts w:ascii="Times New Roman" w:hAnsi="Times New Roman" w:cs="Times New Roman"/>
          <w:sz w:val="24"/>
          <w:szCs w:val="24"/>
        </w:rPr>
        <w:t xml:space="preserve">mice were mated with </w:t>
      </w:r>
      <w:r w:rsidRPr="00D934A7">
        <w:rPr>
          <w:rFonts w:ascii="Times New Roman" w:hAnsi="Times New Roman" w:cs="Times New Roman"/>
          <w:i/>
          <w:sz w:val="24"/>
          <w:szCs w:val="24"/>
        </w:rPr>
        <w:t>Col2a1-Cre</w:t>
      </w:r>
      <w:r w:rsidRPr="00D934A7">
        <w:rPr>
          <w:rFonts w:ascii="Times New Roman" w:hAnsi="Times New Roman" w:cs="Times New Roman"/>
          <w:sz w:val="24"/>
          <w:szCs w:val="24"/>
        </w:rPr>
        <w:t xml:space="preserve"> mice to obtain </w:t>
      </w:r>
      <w:r w:rsidRPr="00D934A7">
        <w:rPr>
          <w:rFonts w:ascii="Times New Roman" w:hAnsi="Times New Roman" w:cs="Times New Roman"/>
          <w:i/>
          <w:sz w:val="24"/>
          <w:szCs w:val="24"/>
        </w:rPr>
        <w:t>Col2a1-Cre; Runx3</w:t>
      </w:r>
      <w:r w:rsidRPr="00D934A7">
        <w:rPr>
          <w:rFonts w:ascii="Times New Roman" w:hAnsi="Times New Roman" w:cs="Times New Roman"/>
          <w:i/>
          <w:sz w:val="24"/>
          <w:szCs w:val="24"/>
          <w:vertAlign w:val="superscript"/>
        </w:rPr>
        <w:t>fl/+</w:t>
      </w:r>
      <w:r w:rsidRPr="00D934A7">
        <w:rPr>
          <w:rFonts w:ascii="Times New Roman" w:hAnsi="Times New Roman" w:cs="Times New Roman"/>
          <w:sz w:val="24"/>
          <w:szCs w:val="24"/>
        </w:rPr>
        <w:t xml:space="preserve"> mice, which were then mated with </w:t>
      </w:r>
      <w:r w:rsidRPr="00D934A7">
        <w:rPr>
          <w:rFonts w:ascii="Times New Roman" w:hAnsi="Times New Roman" w:cs="Times New Roman"/>
          <w:i/>
          <w:sz w:val="24"/>
          <w:szCs w:val="24"/>
        </w:rPr>
        <w:t>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 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and </w:t>
      </w:r>
      <w:r w:rsidRPr="00D934A7">
        <w:rPr>
          <w:rFonts w:ascii="Times New Roman" w:hAnsi="Times New Roman" w:cs="Times New Roman"/>
          <w:i/>
          <w:sz w:val="24"/>
          <w:szCs w:val="24"/>
        </w:rPr>
        <w:t>Prg4-Cre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 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were created in the same manner. To generate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i/>
          <w:sz w:val="24"/>
          <w:szCs w:val="24"/>
        </w:rPr>
        <w:t xml:space="preserve"> </w:t>
      </w:r>
      <w:r w:rsidRPr="00D934A7">
        <w:rPr>
          <w:rFonts w:ascii="Times New Roman" w:hAnsi="Times New Roman" w:cs="Times New Roman"/>
          <w:sz w:val="24"/>
          <w:szCs w:val="24"/>
        </w:rPr>
        <w:t xml:space="preserve">mice were mated with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sz w:val="24"/>
          <w:szCs w:val="24"/>
        </w:rPr>
        <w:t xml:space="preserve"> mice to obtain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r w:rsidRPr="00D934A7">
        <w:rPr>
          <w:rFonts w:ascii="Times New Roman" w:hAnsi="Times New Roman" w:cs="Times New Roman"/>
          <w:sz w:val="24"/>
          <w:szCs w:val="24"/>
        </w:rPr>
        <w:t xml:space="preserve"> mice, which were then mated with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After generating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mice, they were mated with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r w:rsidRPr="00D934A7">
        <w:rPr>
          <w:rFonts w:ascii="Times New Roman" w:hAnsi="Times New Roman" w:cs="Times New Roman"/>
          <w:sz w:val="24"/>
          <w:szCs w:val="24"/>
        </w:rPr>
        <w:t xml:space="preserve"> mice to obtain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 xml:space="preserve">fl/+ </w:t>
      </w:r>
      <w:r w:rsidRPr="00D934A7">
        <w:rPr>
          <w:rFonts w:ascii="Times New Roman" w:hAnsi="Times New Roman" w:cs="Times New Roman"/>
          <w:sz w:val="24"/>
          <w:szCs w:val="24"/>
        </w:rPr>
        <w:t xml:space="preserve">(R2-Hetero </w:t>
      </w:r>
      <w:proofErr w:type="spellStart"/>
      <w:r w:rsidRPr="00D934A7">
        <w:rPr>
          <w:rFonts w:ascii="Times New Roman" w:hAnsi="Times New Roman" w:cs="Times New Roman"/>
          <w:sz w:val="24"/>
          <w:szCs w:val="24"/>
        </w:rPr>
        <w:t>Cntl</w:t>
      </w:r>
      <w:proofErr w:type="spellEnd"/>
      <w:r w:rsidRPr="00D934A7">
        <w:rPr>
          <w:rFonts w:ascii="Times New Roman" w:hAnsi="Times New Roman" w:cs="Times New Roman"/>
          <w:sz w:val="24"/>
          <w:szCs w:val="24"/>
        </w:rPr>
        <w:t>)</w:t>
      </w:r>
      <w:r w:rsidRPr="00D934A7">
        <w:rPr>
          <w:rFonts w:ascii="Times New Roman" w:hAnsi="Times New Roman" w:cs="Times New Roman"/>
          <w:i/>
          <w:sz w:val="24"/>
          <w:szCs w:val="24"/>
        </w:rPr>
        <w:t>, 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 xml:space="preserve">fl/+ </w:t>
      </w:r>
      <w:r w:rsidRPr="00D934A7">
        <w:rPr>
          <w:rFonts w:ascii="Times New Roman" w:hAnsi="Times New Roman" w:cs="Times New Roman"/>
          <w:sz w:val="24"/>
          <w:szCs w:val="24"/>
        </w:rPr>
        <w:t xml:space="preserve">(R2-Hetero </w:t>
      </w:r>
      <w:proofErr w:type="spellStart"/>
      <w:r w:rsidRPr="00D934A7">
        <w:rPr>
          <w:rFonts w:ascii="Times New Roman" w:hAnsi="Times New Roman" w:cs="Times New Roman"/>
          <w:sz w:val="24"/>
          <w:szCs w:val="24"/>
        </w:rPr>
        <w:t>cKO</w:t>
      </w:r>
      <w:proofErr w:type="spellEnd"/>
      <w:r w:rsidRPr="00D934A7">
        <w:rPr>
          <w:rFonts w:ascii="Times New Roman" w:hAnsi="Times New Roman" w:cs="Times New Roman"/>
          <w:sz w:val="24"/>
          <w:szCs w:val="24"/>
        </w:rPr>
        <w:t xml:space="preserve">),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i/>
          <w:sz w:val="24"/>
          <w:szCs w:val="24"/>
        </w:rPr>
        <w:t xml:space="preserve"> </w:t>
      </w:r>
      <w:r w:rsidRPr="00D934A7">
        <w:rPr>
          <w:rFonts w:ascii="Times New Roman" w:hAnsi="Times New Roman" w:cs="Times New Roman"/>
          <w:sz w:val="24"/>
          <w:szCs w:val="24"/>
        </w:rPr>
        <w:t xml:space="preserve">(R2-Homo </w:t>
      </w:r>
      <w:proofErr w:type="spellStart"/>
      <w:r w:rsidRPr="00D934A7">
        <w:rPr>
          <w:rFonts w:ascii="Times New Roman" w:hAnsi="Times New Roman" w:cs="Times New Roman"/>
          <w:sz w:val="24"/>
          <w:szCs w:val="24"/>
        </w:rPr>
        <w:t>Cntl</w:t>
      </w:r>
      <w:proofErr w:type="spellEnd"/>
      <w:r w:rsidRPr="00D934A7">
        <w:rPr>
          <w:rFonts w:ascii="Times New Roman" w:hAnsi="Times New Roman" w:cs="Times New Roman"/>
          <w:sz w:val="24"/>
          <w:szCs w:val="24"/>
        </w:rPr>
        <w:t>)</w:t>
      </w:r>
      <w:r w:rsidRPr="00D934A7">
        <w:rPr>
          <w:rFonts w:ascii="Times New Roman" w:hAnsi="Times New Roman" w:cs="Times New Roman"/>
          <w:i/>
          <w:sz w:val="24"/>
          <w:szCs w:val="24"/>
        </w:rPr>
        <w:t>,</w:t>
      </w:r>
      <w:r w:rsidRPr="00D934A7">
        <w:rPr>
          <w:rFonts w:ascii="Times New Roman" w:hAnsi="Times New Roman" w:cs="Times New Roman"/>
          <w:sz w:val="24"/>
          <w:szCs w:val="24"/>
        </w:rPr>
        <w:t xml:space="preserve"> and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(R2-Homo </w:t>
      </w:r>
      <w:proofErr w:type="spellStart"/>
      <w:r w:rsidRPr="00D934A7">
        <w:rPr>
          <w:rFonts w:ascii="Times New Roman" w:hAnsi="Times New Roman" w:cs="Times New Roman"/>
          <w:sz w:val="24"/>
          <w:szCs w:val="24"/>
        </w:rPr>
        <w:t>cKO</w:t>
      </w:r>
      <w:proofErr w:type="spellEnd"/>
      <w:r w:rsidRPr="00D934A7">
        <w:rPr>
          <w:rFonts w:ascii="Times New Roman" w:hAnsi="Times New Roman" w:cs="Times New Roman"/>
          <w:sz w:val="24"/>
          <w:szCs w:val="24"/>
        </w:rPr>
        <w:t>) mice, which were used in experiments.</w:t>
      </w:r>
    </w:p>
    <w:p w14:paraId="2FB2AD51" w14:textId="0B073698" w:rsidR="00CB2673" w:rsidRPr="00D934A7" w:rsidRDefault="00CB2673" w:rsidP="00DA44E1">
      <w:pPr>
        <w:adjustRightInd w:val="0"/>
        <w:snapToGrid w:val="0"/>
        <w:spacing w:line="480" w:lineRule="auto"/>
        <w:ind w:firstLine="960"/>
        <w:jc w:val="left"/>
        <w:rPr>
          <w:rFonts w:ascii="Times New Roman" w:hAnsi="Times New Roman" w:cs="Times New Roman"/>
          <w:sz w:val="24"/>
          <w:szCs w:val="24"/>
        </w:rPr>
      </w:pPr>
      <w:r w:rsidRPr="00D934A7">
        <w:rPr>
          <w:rFonts w:ascii="Times New Roman" w:hAnsi="Times New Roman" w:cs="Times New Roman"/>
          <w:i/>
          <w:sz w:val="24"/>
          <w:szCs w:val="24"/>
        </w:rPr>
        <w:t>Runx2-Biotin-3xFLAG</w:t>
      </w:r>
      <w:r w:rsidRPr="00D934A7">
        <w:rPr>
          <w:rFonts w:ascii="Times New Roman" w:hAnsi="Times New Roman" w:cs="Times New Roman"/>
          <w:sz w:val="24"/>
          <w:szCs w:val="24"/>
        </w:rPr>
        <w:t xml:space="preserve">-knockin mice (Runx2-FLAG mice), in which a Biotin-3×FLAG tag was inserted into the C-terminus of </w:t>
      </w:r>
      <w:r w:rsidRPr="00D934A7">
        <w:rPr>
          <w:rFonts w:ascii="Times New Roman" w:hAnsi="Times New Roman" w:cs="Times New Roman"/>
          <w:i/>
          <w:iCs/>
          <w:sz w:val="24"/>
          <w:szCs w:val="24"/>
        </w:rPr>
        <w:t xml:space="preserve">Runx2 </w:t>
      </w:r>
      <w:r w:rsidRPr="00D934A7">
        <w:rPr>
          <w:rFonts w:ascii="Times New Roman" w:hAnsi="Times New Roman" w:cs="Times New Roman"/>
          <w:sz w:val="24"/>
          <w:szCs w:val="24"/>
        </w:rPr>
        <w:t>to produce Runx2-Biotin-3×FLAG fusion protein, were generated by one of the co-authors</w:t>
      </w:r>
      <w:r w:rsidR="00EA0048">
        <w:rPr>
          <w:rFonts w:ascii="Times New Roman" w:hAnsi="Times New Roman" w:cs="Times New Roman"/>
          <w:sz w:val="24"/>
          <w:szCs w:val="24"/>
        </w:rPr>
        <w:t xml:space="preserve"> </w:t>
      </w:r>
      <w:r w:rsidRPr="00D934A7">
        <w:rPr>
          <w:rFonts w:ascii="Times New Roman" w:hAnsi="Times New Roman" w:cs="Times New Roman"/>
          <w:sz w:val="24"/>
          <w:szCs w:val="24"/>
        </w:rPr>
        <w:t>(</w:t>
      </w:r>
      <w:r w:rsidRPr="00D934A7">
        <w:rPr>
          <w:rFonts w:ascii="Times New Roman" w:hAnsi="Times New Roman" w:cs="Times New Roman"/>
          <w:i/>
          <w:sz w:val="24"/>
          <w:szCs w:val="24"/>
        </w:rPr>
        <w:t>in prep.</w:t>
      </w:r>
      <w:r w:rsidRPr="00D934A7">
        <w:rPr>
          <w:rFonts w:ascii="Times New Roman" w:hAnsi="Times New Roman" w:cs="Times New Roman"/>
          <w:sz w:val="24"/>
          <w:szCs w:val="24"/>
        </w:rPr>
        <w:t>). Primer sequences for genotyping are shown in Supplementary Table 7.</w:t>
      </w:r>
    </w:p>
    <w:p w14:paraId="74AFB8E4" w14:textId="77777777" w:rsidR="00CB2673" w:rsidRPr="00D934A7" w:rsidRDefault="00CB2673" w:rsidP="007355A5">
      <w:pPr>
        <w:widowControl/>
        <w:tabs>
          <w:tab w:val="left" w:pos="840"/>
        </w:tabs>
        <w:adjustRightInd w:val="0"/>
        <w:snapToGrid w:val="0"/>
        <w:spacing w:line="480" w:lineRule="auto"/>
        <w:jc w:val="left"/>
        <w:rPr>
          <w:rFonts w:ascii="Times New Roman" w:hAnsi="Times New Roman" w:cs="Times New Roman"/>
          <w:b/>
          <w:szCs w:val="21"/>
        </w:rPr>
      </w:pPr>
    </w:p>
    <w:p w14:paraId="1454F313" w14:textId="77777777" w:rsidR="00CB2673" w:rsidRPr="00D934A7" w:rsidRDefault="00CB2673" w:rsidP="00DA44E1">
      <w:pPr>
        <w:adjustRightInd w:val="0"/>
        <w:snapToGrid w:val="0"/>
        <w:spacing w:line="480" w:lineRule="auto"/>
        <w:jc w:val="left"/>
        <w:rPr>
          <w:rFonts w:ascii="Times New Roman" w:hAnsi="Times New Roman" w:cs="Times New Roman"/>
          <w:b/>
          <w:iCs/>
          <w:sz w:val="24"/>
          <w:szCs w:val="24"/>
        </w:rPr>
      </w:pPr>
      <w:r w:rsidRPr="00D934A7">
        <w:rPr>
          <w:rFonts w:ascii="Times New Roman" w:hAnsi="Times New Roman" w:cs="Times New Roman"/>
          <w:b/>
          <w:iCs/>
          <w:sz w:val="24"/>
          <w:szCs w:val="24"/>
        </w:rPr>
        <w:t>OA experiment</w:t>
      </w:r>
    </w:p>
    <w:p w14:paraId="19FDD747" w14:textId="77777777" w:rsidR="00CB2673" w:rsidRPr="00D934A7" w:rsidRDefault="00CB2673" w:rsidP="00DA44E1">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We used three models for OA experiments. For the medial model,</w:t>
      </w:r>
      <w:r w:rsidRPr="00D934A7">
        <w:rPr>
          <w:rFonts w:ascii="Times New Roman" w:hAnsi="Times New Roman" w:cs="Times New Roman"/>
          <w:noProof/>
          <w:sz w:val="24"/>
          <w:szCs w:val="24"/>
          <w:vertAlign w:val="superscript"/>
        </w:rPr>
        <w:t>5</w:t>
      </w:r>
      <w:r w:rsidRPr="00D934A7">
        <w:rPr>
          <w:rFonts w:ascii="Times New Roman" w:hAnsi="Times New Roman" w:cs="Times New Roman"/>
          <w:sz w:val="24"/>
          <w:szCs w:val="24"/>
        </w:rPr>
        <w:t xml:space="preserve"> tamoxifen (100 </w:t>
      </w:r>
      <w:proofErr w:type="spellStart"/>
      <w:r w:rsidRPr="00D934A7">
        <w:rPr>
          <w:rFonts w:ascii="Times New Roman" w:hAnsi="Times New Roman" w:cs="Times New Roman"/>
          <w:sz w:val="24"/>
          <w:szCs w:val="24"/>
        </w:rPr>
        <w:t>μg</w:t>
      </w:r>
      <w:proofErr w:type="spellEnd"/>
      <w:r w:rsidRPr="00D934A7">
        <w:rPr>
          <w:rFonts w:ascii="Times New Roman" w:hAnsi="Times New Roman" w:cs="Times New Roman"/>
          <w:sz w:val="24"/>
          <w:szCs w:val="24"/>
        </w:rPr>
        <w:t xml:space="preserve"> per g of body weight) was intraperitoneally injected into 7-week-old male mice daily for 5 days, and surgery was performed at 8 weeks of age. Surgery was then performed at eight weeks of age. Under general anesthesia, resection of the medial collateral ligament and medial meniscus was performed using a surgical microscope.</w:t>
      </w:r>
      <w:r w:rsidRPr="00D934A7">
        <w:rPr>
          <w:rFonts w:ascii="Times New Roman" w:hAnsi="Times New Roman" w:cs="Times New Roman"/>
          <w:noProof/>
          <w:sz w:val="24"/>
          <w:szCs w:val="24"/>
          <w:vertAlign w:val="superscript"/>
        </w:rPr>
        <w:t>5</w:t>
      </w:r>
      <w:r w:rsidRPr="00D934A7">
        <w:rPr>
          <w:rFonts w:ascii="Times New Roman" w:hAnsi="Times New Roman" w:cs="Times New Roman"/>
          <w:sz w:val="24"/>
          <w:szCs w:val="24"/>
        </w:rPr>
        <w:t xml:space="preserve"> For the DMM model,</w:t>
      </w:r>
      <w:r w:rsidRPr="00D934A7">
        <w:rPr>
          <w:rFonts w:ascii="Times New Roman" w:hAnsi="Times New Roman" w:cs="Times New Roman"/>
          <w:noProof/>
          <w:sz w:val="24"/>
          <w:szCs w:val="24"/>
          <w:vertAlign w:val="superscript"/>
        </w:rPr>
        <w:t>6</w:t>
      </w:r>
      <w:r w:rsidRPr="00D934A7">
        <w:rPr>
          <w:rFonts w:ascii="Times New Roman" w:hAnsi="Times New Roman" w:cs="Times New Roman"/>
          <w:sz w:val="24"/>
          <w:szCs w:val="24"/>
        </w:rPr>
        <w:t xml:space="preserve"> tamoxifen (100 </w:t>
      </w:r>
      <w:proofErr w:type="spellStart"/>
      <w:r w:rsidRPr="00D934A7">
        <w:rPr>
          <w:rFonts w:ascii="Times New Roman" w:hAnsi="Times New Roman" w:cs="Times New Roman"/>
          <w:sz w:val="24"/>
          <w:szCs w:val="24"/>
        </w:rPr>
        <w:t>μg</w:t>
      </w:r>
      <w:proofErr w:type="spellEnd"/>
      <w:r w:rsidRPr="00D934A7">
        <w:rPr>
          <w:rFonts w:ascii="Times New Roman" w:hAnsi="Times New Roman" w:cs="Times New Roman"/>
          <w:sz w:val="24"/>
          <w:szCs w:val="24"/>
        </w:rPr>
        <w:t xml:space="preserve"> per g of body weight; Sigma-Aldrich, St Louis, MO, USA) was intraperitoneally injected into 15-week-old male mice daily for 5 days, and surgery was performed at 16 weeks of age, in accordance with a previous report.</w:t>
      </w:r>
      <w:r w:rsidRPr="00D934A7">
        <w:rPr>
          <w:rFonts w:ascii="Times New Roman" w:hAnsi="Times New Roman" w:cs="Times New Roman"/>
          <w:noProof/>
          <w:sz w:val="24"/>
          <w:szCs w:val="24"/>
          <w:vertAlign w:val="superscript"/>
        </w:rPr>
        <w:t>6</w:t>
      </w:r>
      <w:r w:rsidRPr="00D934A7">
        <w:rPr>
          <w:rFonts w:ascii="Times New Roman" w:hAnsi="Times New Roman" w:cs="Times New Roman"/>
          <w:sz w:val="24"/>
          <w:szCs w:val="24"/>
        </w:rPr>
        <w:t xml:space="preserve"> Mice were analyzed 8 weeks and 12 weeks after surgery for</w:t>
      </w:r>
      <w:r w:rsidRPr="00D934A7">
        <w:rPr>
          <w:rFonts w:ascii="Times New Roman" w:hAnsi="Times New Roman" w:cs="Times New Roman"/>
          <w:i/>
          <w:sz w:val="24"/>
          <w:szCs w:val="24"/>
        </w:rPr>
        <w:t xml:space="preserve"> Runx3</w:t>
      </w:r>
      <w:r w:rsidRPr="00D934A7">
        <w:rPr>
          <w:rFonts w:ascii="Times New Roman" w:hAnsi="Times New Roman" w:cs="Times New Roman"/>
          <w:sz w:val="24"/>
          <w:szCs w:val="24"/>
        </w:rPr>
        <w:t xml:space="preserve"> knockout mice or </w:t>
      </w:r>
      <w:r w:rsidRPr="00D934A7">
        <w:rPr>
          <w:rFonts w:ascii="Times New Roman" w:hAnsi="Times New Roman" w:cs="Times New Roman"/>
          <w:i/>
          <w:sz w:val="24"/>
          <w:szCs w:val="24"/>
        </w:rPr>
        <w:t>Runx2</w:t>
      </w:r>
      <w:r w:rsidRPr="00D934A7">
        <w:rPr>
          <w:rFonts w:ascii="Times New Roman" w:hAnsi="Times New Roman" w:cs="Times New Roman"/>
          <w:sz w:val="24"/>
          <w:szCs w:val="24"/>
        </w:rPr>
        <w:t xml:space="preserve"> </w:t>
      </w:r>
      <w:r w:rsidRPr="00D934A7">
        <w:rPr>
          <w:rFonts w:ascii="Times New Roman" w:hAnsi="Times New Roman" w:cs="Times New Roman"/>
          <w:sz w:val="24"/>
          <w:szCs w:val="24"/>
        </w:rPr>
        <w:lastRenderedPageBreak/>
        <w:t>knockout mice, respectively. For the aging model, tamoxifen was injected for 5 days at 2, 6, and 12 months, and mice were raised until 18 months of age under physiological conditions. All mice were maintained under identical conditions (three mice per cage). OA severity was quantified by the Osteoarthritis Research Society International (OARSI) system,</w:t>
      </w:r>
      <w:r w:rsidRPr="00D934A7">
        <w:rPr>
          <w:rFonts w:ascii="Times New Roman" w:hAnsi="Times New Roman" w:cs="Times New Roman"/>
          <w:noProof/>
          <w:sz w:val="24"/>
          <w:szCs w:val="24"/>
          <w:vertAlign w:val="superscript"/>
        </w:rPr>
        <w:t>7</w:t>
      </w:r>
      <w:r w:rsidRPr="00D934A7">
        <w:rPr>
          <w:rFonts w:ascii="Times New Roman" w:hAnsi="Times New Roman" w:cs="Times New Roman"/>
          <w:sz w:val="24"/>
          <w:szCs w:val="24"/>
        </w:rPr>
        <w:t xml:space="preserve"> which was assessed by two observers blinded to the experimental groups.</w:t>
      </w:r>
    </w:p>
    <w:p w14:paraId="3A387B30" w14:textId="77777777" w:rsidR="00CB2673" w:rsidRPr="00D934A7" w:rsidRDefault="00CB2673" w:rsidP="007355A5">
      <w:pPr>
        <w:widowControl/>
        <w:tabs>
          <w:tab w:val="left" w:pos="840"/>
        </w:tabs>
        <w:adjustRightInd w:val="0"/>
        <w:snapToGrid w:val="0"/>
        <w:spacing w:line="480" w:lineRule="auto"/>
        <w:jc w:val="left"/>
        <w:rPr>
          <w:rFonts w:ascii="Times New Roman" w:hAnsi="Times New Roman" w:cs="Times New Roman"/>
          <w:b/>
          <w:szCs w:val="21"/>
        </w:rPr>
      </w:pPr>
    </w:p>
    <w:p w14:paraId="23DAA35A"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b/>
          <w:iCs/>
          <w:sz w:val="24"/>
          <w:szCs w:val="24"/>
        </w:rPr>
        <w:t>Histological analysis</w:t>
      </w:r>
    </w:p>
    <w:p w14:paraId="15B96F0B"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Tissue samples were fixed with 4% paraformaldehyde in phosphate-buffered saline (PBS, pH 7.4) at 4°C for 1 day. Specimens were decalcified with 10% ethylenediaminetetraacetic acid (EDTA, pH 7.4) at 4°C for 2 weeks, embedded in paraffin, and cut into 4-μm-thick sagittal sections. Safranin-O staining was performed according to standard protocols. For immunohistochemistry, sections were incubated with antibodies against Runx3 (ab135248, Abcam, Cambridge, UK), Runx2 (ab192256, Abcam), Runx1 (23980, Abcam), Col2a1 (MAB8887, Merck, Darmstadt, Germany), Col10a1 (14-9771-80, Invitrogen, Carlsbad, CA, USA), </w:t>
      </w:r>
      <w:proofErr w:type="spellStart"/>
      <w:r w:rsidRPr="00D934A7">
        <w:rPr>
          <w:rFonts w:ascii="Times New Roman" w:hAnsi="Times New Roman" w:cs="Times New Roman"/>
          <w:sz w:val="24"/>
          <w:szCs w:val="24"/>
        </w:rPr>
        <w:t>Acan</w:t>
      </w:r>
      <w:proofErr w:type="spellEnd"/>
      <w:r w:rsidRPr="00D934A7">
        <w:rPr>
          <w:rFonts w:ascii="Times New Roman" w:hAnsi="Times New Roman" w:cs="Times New Roman"/>
          <w:sz w:val="24"/>
          <w:szCs w:val="24"/>
        </w:rPr>
        <w:t xml:space="preserve"> (13880-1-AP, </w:t>
      </w:r>
      <w:proofErr w:type="spellStart"/>
      <w:r w:rsidRPr="00D934A7">
        <w:rPr>
          <w:rFonts w:ascii="Times New Roman" w:hAnsi="Times New Roman" w:cs="Times New Roman"/>
          <w:sz w:val="24"/>
          <w:szCs w:val="24"/>
        </w:rPr>
        <w:t>Proteintech</w:t>
      </w:r>
      <w:proofErr w:type="spellEnd"/>
      <w:r w:rsidRPr="00D934A7">
        <w:rPr>
          <w:rFonts w:ascii="Times New Roman" w:hAnsi="Times New Roman" w:cs="Times New Roman"/>
          <w:sz w:val="24"/>
          <w:szCs w:val="24"/>
        </w:rPr>
        <w:t xml:space="preserve">, Rosemont, IL, USA), Prg4 (ab28484, Abcam), Mmp13 (18165-1-AP, </w:t>
      </w:r>
      <w:proofErr w:type="spellStart"/>
      <w:r w:rsidRPr="00D934A7">
        <w:rPr>
          <w:rFonts w:ascii="Times New Roman" w:hAnsi="Times New Roman" w:cs="Times New Roman"/>
          <w:sz w:val="24"/>
          <w:szCs w:val="24"/>
        </w:rPr>
        <w:t>Proteintech</w:t>
      </w:r>
      <w:proofErr w:type="spellEnd"/>
      <w:r w:rsidRPr="00D934A7">
        <w:rPr>
          <w:rFonts w:ascii="Times New Roman" w:hAnsi="Times New Roman" w:cs="Times New Roman"/>
          <w:sz w:val="24"/>
          <w:szCs w:val="24"/>
        </w:rPr>
        <w:t xml:space="preserve">), Mmp9 (ab38898, Abcam), Sox9 (ab185230, Abcam), Col2a1 (MAB8887, Merck, Darmstadt, Germany), and Mmp13 (1:500; 18165-1-AP, </w:t>
      </w:r>
      <w:proofErr w:type="spellStart"/>
      <w:r w:rsidRPr="00D934A7">
        <w:rPr>
          <w:rFonts w:ascii="Times New Roman" w:hAnsi="Times New Roman" w:cs="Times New Roman"/>
          <w:sz w:val="24"/>
          <w:szCs w:val="24"/>
        </w:rPr>
        <w:t>Proteintech</w:t>
      </w:r>
      <w:proofErr w:type="spellEnd"/>
      <w:r w:rsidRPr="00D934A7">
        <w:rPr>
          <w:rFonts w:ascii="Times New Roman" w:hAnsi="Times New Roman" w:cs="Times New Roman"/>
          <w:sz w:val="24"/>
          <w:szCs w:val="24"/>
        </w:rPr>
        <w:t xml:space="preserve">, Rosemont, IL, USA). For visualization, 3,3'-diaminobenzidine (DAB; </w:t>
      </w:r>
      <w:proofErr w:type="spellStart"/>
      <w:r w:rsidRPr="00D934A7">
        <w:rPr>
          <w:rFonts w:ascii="Times New Roman" w:hAnsi="Times New Roman" w:cs="Times New Roman"/>
          <w:sz w:val="24"/>
          <w:szCs w:val="24"/>
        </w:rPr>
        <w:t>Nakaraitesk</w:t>
      </w:r>
      <w:proofErr w:type="spellEnd"/>
      <w:r w:rsidRPr="00D934A7">
        <w:rPr>
          <w:rFonts w:ascii="Times New Roman" w:hAnsi="Times New Roman" w:cs="Times New Roman"/>
          <w:sz w:val="24"/>
          <w:szCs w:val="24"/>
        </w:rPr>
        <w:t xml:space="preserve">, Kyoto, Japan) was used. </w:t>
      </w:r>
      <w:proofErr w:type="spellStart"/>
      <w:r w:rsidRPr="00D934A7">
        <w:rPr>
          <w:rFonts w:ascii="Times New Roman" w:hAnsi="Times New Roman" w:cs="Times New Roman"/>
          <w:sz w:val="24"/>
          <w:szCs w:val="24"/>
        </w:rPr>
        <w:t>TdT</w:t>
      </w:r>
      <w:proofErr w:type="spellEnd"/>
      <w:r w:rsidRPr="00D934A7">
        <w:rPr>
          <w:rFonts w:ascii="Times New Roman" w:hAnsi="Times New Roman" w:cs="Times New Roman"/>
          <w:sz w:val="24"/>
          <w:szCs w:val="24"/>
        </w:rPr>
        <w:t xml:space="preserve">-mediated </w:t>
      </w:r>
      <w:proofErr w:type="spellStart"/>
      <w:r w:rsidRPr="00D934A7">
        <w:rPr>
          <w:rFonts w:ascii="Times New Roman" w:hAnsi="Times New Roman" w:cs="Times New Roman"/>
          <w:sz w:val="24"/>
          <w:szCs w:val="24"/>
        </w:rPr>
        <w:t>dUTP</w:t>
      </w:r>
      <w:proofErr w:type="spellEnd"/>
      <w:r w:rsidRPr="00D934A7">
        <w:rPr>
          <w:rFonts w:ascii="Times New Roman" w:hAnsi="Times New Roman" w:cs="Times New Roman"/>
          <w:sz w:val="24"/>
          <w:szCs w:val="24"/>
        </w:rPr>
        <w:t xml:space="preserve"> nick end labelling (TUNEL) staining was performed with an </w:t>
      </w:r>
      <w:r w:rsidRPr="00D934A7">
        <w:rPr>
          <w:rFonts w:ascii="Times New Roman" w:hAnsi="Times New Roman" w:cs="Times New Roman"/>
          <w:i/>
          <w:sz w:val="24"/>
          <w:szCs w:val="24"/>
        </w:rPr>
        <w:t>In Situ</w:t>
      </w:r>
      <w:r w:rsidRPr="00D934A7">
        <w:rPr>
          <w:rFonts w:ascii="Times New Roman" w:hAnsi="Times New Roman" w:cs="Times New Roman"/>
          <w:sz w:val="24"/>
          <w:szCs w:val="24"/>
        </w:rPr>
        <w:t xml:space="preserve"> Cell Death Detection Kit (Roche, Basel, Switzerland) according to the manufacturer’s instructions. Histological analyses were performed at least three times using 3−5 mice per group or genotype for confirmation of results. Images were </w:t>
      </w:r>
      <w:r w:rsidRPr="00D934A7">
        <w:rPr>
          <w:rFonts w:ascii="Times New Roman" w:hAnsi="Times New Roman" w:cs="Times New Roman"/>
          <w:sz w:val="24"/>
          <w:szCs w:val="24"/>
        </w:rPr>
        <w:lastRenderedPageBreak/>
        <w:t xml:space="preserve">visualized under a fluorescence microscope (BZ-X710, Keyence, Osaka, Japan). Percentages of positive cells and DAB-positive areas were measured by BZ analyzer software (Keyence) and </w:t>
      </w:r>
      <w:proofErr w:type="spellStart"/>
      <w:r w:rsidRPr="00D934A7">
        <w:rPr>
          <w:rFonts w:ascii="Times New Roman" w:hAnsi="Times New Roman" w:cs="Times New Roman"/>
          <w:sz w:val="24"/>
          <w:szCs w:val="24"/>
        </w:rPr>
        <w:t>NDPscan</w:t>
      </w:r>
      <w:proofErr w:type="spellEnd"/>
      <w:r w:rsidRPr="00D934A7">
        <w:rPr>
          <w:rFonts w:ascii="Times New Roman" w:hAnsi="Times New Roman" w:cs="Times New Roman"/>
          <w:sz w:val="24"/>
          <w:szCs w:val="24"/>
        </w:rPr>
        <w:t xml:space="preserve"> (Hamamatsu Photonics, Hamamatsu, Japan), respectively. The following parameters were used in the software: Pixel Area = 4.86E-08, Hue Value = 0.1, Hue Weight = 0.5, and Color Saturation Threshold = 0.04. We defined the strong intensity threshold as 0−100, medium as 100−175, and weak as 175−220 in the algorithm input. After margining the </w:t>
      </w:r>
      <w:r w:rsidRPr="00D934A7">
        <w:rPr>
          <w:rFonts w:ascii="Times New Roman" w:hAnsi="Times New Roman" w:cs="Times New Roman" w:hint="eastAsia"/>
          <w:sz w:val="24"/>
          <w:szCs w:val="24"/>
        </w:rPr>
        <w:t>Safranin-O</w:t>
      </w:r>
      <w:r w:rsidRPr="00D934A7">
        <w:rPr>
          <w:rFonts w:ascii="Times New Roman" w:hAnsi="Times New Roman" w:cs="Times New Roman"/>
          <w:sz w:val="24"/>
          <w:szCs w:val="24"/>
        </w:rPr>
        <w:t xml:space="preserve">-positive articular cartilage area of lateral and medial sides of tibial and femoral joints by referring to the nearest slide, we evaluated areas strongly positive for Col2a1, and medium to strongly positive areas for Mmp13, respectively. We also counted numbers of Runx2/Sox9 medium/strong-positive cells. For quantification, we selected six samples exhibiting average OA development in each group. </w:t>
      </w:r>
    </w:p>
    <w:p w14:paraId="05E5A715" w14:textId="77777777" w:rsidR="00CB2673" w:rsidRPr="00D934A7"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564778F0" w14:textId="77777777" w:rsidR="00CB2673" w:rsidRPr="00D934A7" w:rsidRDefault="00CB2673" w:rsidP="00AB00A9">
      <w:pPr>
        <w:adjustRightInd w:val="0"/>
        <w:snapToGrid w:val="0"/>
        <w:spacing w:line="480" w:lineRule="auto"/>
        <w:jc w:val="left"/>
        <w:rPr>
          <w:rFonts w:ascii="Times New Roman" w:hAnsi="Times New Roman" w:cs="Times New Roman"/>
          <w:b/>
          <w:iCs/>
          <w:sz w:val="24"/>
          <w:szCs w:val="24"/>
        </w:rPr>
      </w:pPr>
      <w:r w:rsidRPr="00D934A7">
        <w:rPr>
          <w:rFonts w:ascii="Times New Roman" w:hAnsi="Times New Roman" w:cs="Times New Roman"/>
          <w:b/>
          <w:iCs/>
          <w:sz w:val="24"/>
          <w:szCs w:val="24"/>
        </w:rPr>
        <w:t>Cell cultures</w:t>
      </w:r>
    </w:p>
    <w:p w14:paraId="0EF784C1" w14:textId="77777777" w:rsidR="00CB2673" w:rsidRPr="00D934A7" w:rsidRDefault="00CB2673" w:rsidP="00AB00A9">
      <w:pPr>
        <w:tabs>
          <w:tab w:val="left" w:pos="840"/>
        </w:tabs>
        <w:adjustRightInd w:val="0"/>
        <w:snapToGrid w:val="0"/>
        <w:spacing w:line="480" w:lineRule="auto"/>
        <w:jc w:val="left"/>
        <w:rPr>
          <w:rFonts w:ascii="Times New Roman" w:hAnsi="Times New Roman" w:cs="Times New Roman"/>
          <w:bCs/>
          <w:kern w:val="0"/>
          <w:sz w:val="24"/>
          <w:szCs w:val="24"/>
        </w:rPr>
      </w:pPr>
      <w:r w:rsidRPr="00D934A7">
        <w:rPr>
          <w:rFonts w:ascii="Times New Roman" w:hAnsi="Times New Roman" w:cs="Times New Roman"/>
          <w:sz w:val="24"/>
          <w:szCs w:val="24"/>
        </w:rPr>
        <w:t>Primary articular chondrocytes were isolated from 5-day-old C57BL/6J mice according to a standard protocol using collagenase D (Roche, Basel, Switzerland),</w:t>
      </w:r>
      <w:r w:rsidRPr="00D934A7">
        <w:rPr>
          <w:rFonts w:ascii="Times New Roman" w:hAnsi="Times New Roman" w:cs="Times New Roman"/>
          <w:noProof/>
          <w:sz w:val="24"/>
          <w:szCs w:val="24"/>
          <w:vertAlign w:val="superscript"/>
        </w:rPr>
        <w:t>8</w:t>
      </w:r>
      <w:r w:rsidRPr="00D934A7">
        <w:rPr>
          <w:rFonts w:ascii="Times New Roman" w:hAnsi="Times New Roman" w:cs="Times New Roman"/>
          <w:sz w:val="24"/>
          <w:szCs w:val="24"/>
        </w:rPr>
        <w:t xml:space="preserve"> and cultured in Dulbecco’s Modified Eagle’s Medium (DMEM; Wako, Osaka, Japan) with 10% fetal bovine serum. The medium was changed every 3 days. SFZ cells were isolated as previously described.</w:t>
      </w:r>
      <w:r w:rsidRPr="00D934A7">
        <w:rPr>
          <w:rFonts w:ascii="Times New Roman" w:hAnsi="Times New Roman" w:cs="Times New Roman"/>
          <w:noProof/>
          <w:sz w:val="24"/>
          <w:szCs w:val="24"/>
          <w:vertAlign w:val="superscript"/>
        </w:rPr>
        <w:t>9</w:t>
      </w:r>
      <w:r w:rsidRPr="00D934A7">
        <w:rPr>
          <w:rFonts w:ascii="Times New Roman" w:hAnsi="Times New Roman" w:cs="Times New Roman"/>
          <w:sz w:val="24"/>
          <w:szCs w:val="24"/>
        </w:rPr>
        <w:t xml:space="preserve"> Briefly, the proximal end of the femur and the distal end of the tibia were dissected from 5-day-old mice, and ligaments and tendons were excised. Cartilage tissues were incubated with 0.25% trypsin (Thermo Fisher Scientific, Waltham, MA, USA) for 1 h, followed by 1.5-h digestion with 173 U/mL of type I collagenase (Worthington Biochemical Corporation, Lakewood, NJ, USA). DZ cells were isolated by additional digestion of residual epiphyseal cartilage tissue with 43 </w:t>
      </w:r>
      <w:r w:rsidRPr="00D934A7">
        <w:rPr>
          <w:rFonts w:ascii="Times New Roman" w:hAnsi="Times New Roman" w:cs="Times New Roman"/>
          <w:sz w:val="24"/>
          <w:szCs w:val="24"/>
        </w:rPr>
        <w:lastRenderedPageBreak/>
        <w:t xml:space="preserve">U/ml collagenase type I for 5 h. Dissociated cells were seeded on fibronectin-coated culture dishes. Cells were cultured with DMEM with 10% FBS. The cells were cultured as a monolayer in all experiments. To induce Cre recombination in cultured cells, 2 </w:t>
      </w:r>
      <w:proofErr w:type="spellStart"/>
      <w:r w:rsidRPr="00D934A7">
        <w:rPr>
          <w:rFonts w:ascii="Times New Roman" w:hAnsi="Times New Roman" w:cs="Times New Roman"/>
          <w:sz w:val="24"/>
          <w:szCs w:val="24"/>
        </w:rPr>
        <w:t>μM</w:t>
      </w:r>
      <w:proofErr w:type="spellEnd"/>
      <w:r w:rsidRPr="00D934A7">
        <w:rPr>
          <w:rFonts w:ascii="Times New Roman" w:hAnsi="Times New Roman" w:cs="Times New Roman"/>
          <w:sz w:val="24"/>
          <w:szCs w:val="24"/>
        </w:rPr>
        <w:t xml:space="preserve"> 4-hydroxytamoxifen (Sigma-Aldrich) was applied for 48 h. IL-1β was added 24 h after starting this incubation.</w:t>
      </w:r>
    </w:p>
    <w:p w14:paraId="48AC935D" w14:textId="77777777" w:rsidR="00CB2673" w:rsidRPr="00D934A7"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1F9E39EB"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sz w:val="24"/>
          <w:szCs w:val="24"/>
        </w:rPr>
        <w:t>Explant cultures</w:t>
      </w:r>
    </w:p>
    <w:p w14:paraId="1420ABC3"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For </w:t>
      </w:r>
      <w:r w:rsidRPr="00D934A7">
        <w:rPr>
          <w:rFonts w:ascii="Times New Roman" w:hAnsi="Times New Roman" w:cs="Times New Roman"/>
          <w:i/>
          <w:sz w:val="24"/>
          <w:szCs w:val="24"/>
        </w:rPr>
        <w:t>ex vivo</w:t>
      </w:r>
      <w:r w:rsidRPr="00D934A7">
        <w:rPr>
          <w:rFonts w:ascii="Times New Roman" w:hAnsi="Times New Roman" w:cs="Times New Roman"/>
          <w:sz w:val="24"/>
          <w:szCs w:val="24"/>
        </w:rPr>
        <w:t xml:space="preserve"> cultures, femoral head cartilage was removed from Hetero </w:t>
      </w:r>
      <w:proofErr w:type="spellStart"/>
      <w:r w:rsidRPr="00D934A7">
        <w:rPr>
          <w:rFonts w:ascii="Times New Roman" w:hAnsi="Times New Roman" w:cs="Times New Roman"/>
          <w:sz w:val="24"/>
          <w:szCs w:val="24"/>
        </w:rPr>
        <w:t>Cntl</w:t>
      </w:r>
      <w:proofErr w:type="spellEnd"/>
      <w:r w:rsidRPr="00D934A7">
        <w:rPr>
          <w:rFonts w:ascii="Times New Roman" w:hAnsi="Times New Roman" w:cs="Times New Roman"/>
          <w:i/>
          <w:sz w:val="24"/>
          <w:szCs w:val="24"/>
        </w:rPr>
        <w:t xml:space="preserve">, </w:t>
      </w:r>
      <w:r w:rsidRPr="00D934A7">
        <w:rPr>
          <w:rFonts w:ascii="Times New Roman" w:hAnsi="Times New Roman" w:cs="Times New Roman"/>
          <w:sz w:val="24"/>
          <w:szCs w:val="24"/>
        </w:rPr>
        <w:t xml:space="preserve">Hetero </w:t>
      </w:r>
      <w:proofErr w:type="spellStart"/>
      <w:r w:rsidRPr="00D934A7">
        <w:rPr>
          <w:rFonts w:ascii="Times New Roman" w:hAnsi="Times New Roman" w:cs="Times New Roman"/>
          <w:sz w:val="24"/>
          <w:szCs w:val="24"/>
        </w:rPr>
        <w:t>cKO</w:t>
      </w:r>
      <w:proofErr w:type="spellEnd"/>
      <w:r w:rsidRPr="00D934A7">
        <w:rPr>
          <w:rFonts w:ascii="Times New Roman" w:hAnsi="Times New Roman" w:cs="Times New Roman"/>
          <w:sz w:val="24"/>
          <w:szCs w:val="24"/>
        </w:rPr>
        <w:t xml:space="preserve">, Homo </w:t>
      </w:r>
      <w:proofErr w:type="spellStart"/>
      <w:r w:rsidRPr="00D934A7">
        <w:rPr>
          <w:rFonts w:ascii="Times New Roman" w:hAnsi="Times New Roman" w:cs="Times New Roman"/>
          <w:sz w:val="24"/>
          <w:szCs w:val="24"/>
        </w:rPr>
        <w:t>Cntl</w:t>
      </w:r>
      <w:proofErr w:type="spellEnd"/>
      <w:r w:rsidRPr="00D934A7">
        <w:rPr>
          <w:rFonts w:ascii="Times New Roman" w:hAnsi="Times New Roman" w:cs="Times New Roman"/>
          <w:i/>
          <w:sz w:val="24"/>
          <w:szCs w:val="24"/>
        </w:rPr>
        <w:t>,</w:t>
      </w:r>
      <w:r w:rsidRPr="00D934A7">
        <w:rPr>
          <w:rFonts w:ascii="Times New Roman" w:hAnsi="Times New Roman" w:cs="Times New Roman"/>
          <w:sz w:val="24"/>
          <w:szCs w:val="24"/>
        </w:rPr>
        <w:t xml:space="preserve"> and Homo </w:t>
      </w:r>
      <w:proofErr w:type="spellStart"/>
      <w:r w:rsidRPr="00D934A7">
        <w:rPr>
          <w:rFonts w:ascii="Times New Roman" w:hAnsi="Times New Roman" w:cs="Times New Roman"/>
          <w:sz w:val="24"/>
          <w:szCs w:val="24"/>
        </w:rPr>
        <w:t>cKO</w:t>
      </w:r>
      <w:proofErr w:type="spellEnd"/>
      <w:r w:rsidRPr="00D934A7">
        <w:rPr>
          <w:rFonts w:ascii="Times New Roman" w:hAnsi="Times New Roman" w:cs="Times New Roman"/>
          <w:sz w:val="24"/>
          <w:szCs w:val="24"/>
        </w:rPr>
        <w:t xml:space="preserve"> mice at postnatal day 1. Femoral heads were then cultured in DMEM containing 10% fetal bovine serum, with or without 1 ng/</w:t>
      </w:r>
      <w:proofErr w:type="spellStart"/>
      <w:r w:rsidRPr="00D934A7">
        <w:rPr>
          <w:rFonts w:ascii="Times New Roman" w:hAnsi="Times New Roman" w:cs="Times New Roman"/>
          <w:sz w:val="24"/>
          <w:szCs w:val="24"/>
        </w:rPr>
        <w:t>μL</w:t>
      </w:r>
      <w:proofErr w:type="spellEnd"/>
      <w:r w:rsidRPr="00D934A7">
        <w:rPr>
          <w:rFonts w:ascii="Times New Roman" w:hAnsi="Times New Roman" w:cs="Times New Roman"/>
          <w:sz w:val="24"/>
          <w:szCs w:val="24"/>
        </w:rPr>
        <w:t xml:space="preserve"> IL-1β (AF-200-01B, </w:t>
      </w:r>
      <w:proofErr w:type="spellStart"/>
      <w:r w:rsidRPr="00D934A7">
        <w:rPr>
          <w:rFonts w:ascii="Times New Roman" w:hAnsi="Times New Roman" w:cs="Times New Roman"/>
          <w:sz w:val="24"/>
          <w:szCs w:val="24"/>
        </w:rPr>
        <w:t>PeproTech</w:t>
      </w:r>
      <w:proofErr w:type="spellEnd"/>
      <w:r w:rsidRPr="00D934A7">
        <w:rPr>
          <w:rFonts w:ascii="Times New Roman" w:hAnsi="Times New Roman" w:cs="Times New Roman"/>
          <w:sz w:val="24"/>
          <w:szCs w:val="24"/>
        </w:rPr>
        <w:t xml:space="preserve">, Rocky Hill, NJ, USA). The medium was changed every 3 days and the total culture period was 2 weeks. Right femoral heads were used for histological analyses and left ones were homogenized using </w:t>
      </w:r>
      <w:proofErr w:type="spellStart"/>
      <w:r w:rsidRPr="00D934A7">
        <w:rPr>
          <w:rFonts w:ascii="Times New Roman" w:hAnsi="Times New Roman" w:cs="Times New Roman"/>
          <w:sz w:val="24"/>
          <w:szCs w:val="24"/>
        </w:rPr>
        <w:t>Trizol</w:t>
      </w:r>
      <w:proofErr w:type="spellEnd"/>
      <w:r w:rsidRPr="00D934A7">
        <w:rPr>
          <w:rFonts w:ascii="Times New Roman" w:hAnsi="Times New Roman" w:cs="Times New Roman"/>
          <w:sz w:val="24"/>
          <w:szCs w:val="24"/>
        </w:rPr>
        <w:t xml:space="preserve"> reagent (15596-018, Life Technologies, Carlsbad, CA, USA) for </w:t>
      </w:r>
      <w:proofErr w:type="spellStart"/>
      <w:r w:rsidRPr="00D934A7">
        <w:rPr>
          <w:rFonts w:ascii="Times New Roman" w:hAnsi="Times New Roman" w:cs="Times New Roman"/>
          <w:sz w:val="24"/>
          <w:szCs w:val="24"/>
        </w:rPr>
        <w:t>qRT</w:t>
      </w:r>
      <w:proofErr w:type="spellEnd"/>
      <w:r w:rsidRPr="00D934A7">
        <w:rPr>
          <w:rFonts w:ascii="Times New Roman" w:hAnsi="Times New Roman" w:cs="Times New Roman"/>
          <w:sz w:val="24"/>
          <w:szCs w:val="24"/>
        </w:rPr>
        <w:t xml:space="preserve">-PCR. </w:t>
      </w:r>
    </w:p>
    <w:p w14:paraId="446A24F1"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p>
    <w:p w14:paraId="371807DE" w14:textId="77777777" w:rsidR="00CB2673" w:rsidRPr="00D934A7" w:rsidRDefault="00CB2673" w:rsidP="00E1156F">
      <w:pPr>
        <w:adjustRightInd w:val="0"/>
        <w:snapToGrid w:val="0"/>
        <w:spacing w:line="480" w:lineRule="auto"/>
        <w:jc w:val="left"/>
        <w:rPr>
          <w:rFonts w:ascii="Times New Roman" w:hAnsi="Times New Roman" w:cs="Times New Roman"/>
          <w:b/>
          <w:iCs/>
          <w:sz w:val="24"/>
          <w:szCs w:val="24"/>
        </w:rPr>
      </w:pPr>
      <w:proofErr w:type="spellStart"/>
      <w:r w:rsidRPr="00D934A7">
        <w:rPr>
          <w:rFonts w:ascii="Times New Roman" w:hAnsi="Times New Roman" w:cs="Times New Roman" w:hint="eastAsia"/>
          <w:b/>
          <w:iCs/>
          <w:sz w:val="24"/>
          <w:szCs w:val="24"/>
        </w:rPr>
        <w:t>q</w:t>
      </w:r>
      <w:r w:rsidRPr="00D934A7">
        <w:rPr>
          <w:rFonts w:ascii="Times New Roman" w:hAnsi="Times New Roman" w:cs="Times New Roman"/>
          <w:b/>
          <w:iCs/>
          <w:sz w:val="24"/>
          <w:szCs w:val="24"/>
        </w:rPr>
        <w:t>RT</w:t>
      </w:r>
      <w:proofErr w:type="spellEnd"/>
      <w:r w:rsidRPr="00D934A7">
        <w:rPr>
          <w:rFonts w:ascii="Times New Roman" w:hAnsi="Times New Roman" w:cs="Times New Roman"/>
          <w:b/>
          <w:iCs/>
          <w:sz w:val="24"/>
          <w:szCs w:val="24"/>
        </w:rPr>
        <w:t>-PCR</w:t>
      </w:r>
    </w:p>
    <w:p w14:paraId="2FF2B314"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Total RNA was purified with an RNeasy Mini Kit (Qiagen, Hilden, Germany). One microgram of total RNA was reverse transcribed using </w:t>
      </w:r>
      <w:proofErr w:type="spellStart"/>
      <w:r w:rsidRPr="00D934A7">
        <w:rPr>
          <w:rFonts w:ascii="Times New Roman" w:hAnsi="Times New Roman" w:cs="Times New Roman"/>
          <w:sz w:val="24"/>
          <w:szCs w:val="24"/>
        </w:rPr>
        <w:t>ReverTraAce</w:t>
      </w:r>
      <w:proofErr w:type="spellEnd"/>
      <w:r w:rsidRPr="00D934A7">
        <w:rPr>
          <w:rFonts w:ascii="Times New Roman" w:hAnsi="Times New Roman" w:cs="Times New Roman"/>
          <w:sz w:val="24"/>
          <w:szCs w:val="24"/>
        </w:rPr>
        <w:t xml:space="preserve"> qPCR RT Master Mix with gDNA Remover (Toyobo, Osaka, Japan). Each PCR reaction contained 1×THUNDERBIRD SYBR qPCR Mix (Toyobo), 0.3 mM specific primers, and 25 ng of cDNA. The copy number was normalized to rodent total RNA (Thermo-Fisher Scientific, Waltham, MA, USA), with rodent glyceraldehyde-3-phosphate dehydrogenase (</w:t>
      </w:r>
      <w:proofErr w:type="spellStart"/>
      <w:r w:rsidRPr="00D934A7">
        <w:rPr>
          <w:rFonts w:ascii="Times New Roman" w:hAnsi="Times New Roman" w:cs="Times New Roman"/>
          <w:i/>
          <w:iCs/>
          <w:sz w:val="24"/>
          <w:szCs w:val="24"/>
        </w:rPr>
        <w:t>Gapdh</w:t>
      </w:r>
      <w:proofErr w:type="spellEnd"/>
      <w:r w:rsidRPr="00D934A7">
        <w:rPr>
          <w:rFonts w:ascii="Times New Roman" w:hAnsi="Times New Roman" w:cs="Times New Roman"/>
          <w:sz w:val="24"/>
          <w:szCs w:val="24"/>
        </w:rPr>
        <w:t>) used as an internal control. All reactions were run in triplicate. Primer sequences are shown in Supplementary Table 8.</w:t>
      </w:r>
    </w:p>
    <w:p w14:paraId="0CCCE188"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p>
    <w:p w14:paraId="2AF4DB06"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b/>
          <w:sz w:val="24"/>
          <w:szCs w:val="24"/>
        </w:rPr>
        <w:t>Construction of expression vectors</w:t>
      </w:r>
    </w:p>
    <w:p w14:paraId="0E834D00"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sz w:val="24"/>
          <w:szCs w:val="24"/>
        </w:rPr>
        <w:t xml:space="preserve">Full-length cDNA sequences were amplified by PCR and cloned into the </w:t>
      </w:r>
      <w:proofErr w:type="spellStart"/>
      <w:r w:rsidRPr="00D934A7">
        <w:rPr>
          <w:rFonts w:ascii="Times New Roman" w:hAnsi="Times New Roman" w:cs="Times New Roman"/>
          <w:sz w:val="24"/>
          <w:szCs w:val="24"/>
        </w:rPr>
        <w:t>pCMV</w:t>
      </w:r>
      <w:proofErr w:type="spellEnd"/>
      <w:r w:rsidRPr="00D934A7">
        <w:rPr>
          <w:rFonts w:ascii="Times New Roman" w:hAnsi="Times New Roman" w:cs="Times New Roman"/>
          <w:sz w:val="24"/>
          <w:szCs w:val="24"/>
        </w:rPr>
        <w:t xml:space="preserve">-HA or </w:t>
      </w:r>
      <w:proofErr w:type="spellStart"/>
      <w:r w:rsidRPr="00D934A7">
        <w:rPr>
          <w:rFonts w:ascii="Times New Roman" w:hAnsi="Times New Roman" w:cs="Times New Roman"/>
          <w:sz w:val="24"/>
          <w:szCs w:val="24"/>
        </w:rPr>
        <w:t>pShuttle</w:t>
      </w:r>
      <w:proofErr w:type="spellEnd"/>
      <w:r w:rsidRPr="00D934A7">
        <w:rPr>
          <w:rFonts w:ascii="Times New Roman" w:hAnsi="Times New Roman" w:cs="Times New Roman"/>
          <w:sz w:val="24"/>
          <w:szCs w:val="24"/>
        </w:rPr>
        <w:t xml:space="preserve"> vector (</w:t>
      </w:r>
      <w:proofErr w:type="spellStart"/>
      <w:r w:rsidRPr="00D934A7">
        <w:rPr>
          <w:rFonts w:ascii="Times New Roman" w:hAnsi="Times New Roman" w:cs="Times New Roman"/>
          <w:sz w:val="24"/>
          <w:szCs w:val="24"/>
        </w:rPr>
        <w:t>Clontech</w:t>
      </w:r>
      <w:proofErr w:type="spellEnd"/>
      <w:r w:rsidRPr="00D934A7">
        <w:rPr>
          <w:rFonts w:ascii="Times New Roman" w:hAnsi="Times New Roman" w:cs="Times New Roman"/>
          <w:sz w:val="24"/>
          <w:szCs w:val="24"/>
        </w:rPr>
        <w:t>). Adenovirus vectors were generated using an Adeno-X expression system (</w:t>
      </w:r>
      <w:proofErr w:type="spellStart"/>
      <w:r w:rsidRPr="00D934A7">
        <w:rPr>
          <w:rFonts w:ascii="Times New Roman" w:hAnsi="Times New Roman" w:cs="Times New Roman"/>
          <w:sz w:val="24"/>
          <w:szCs w:val="24"/>
        </w:rPr>
        <w:t>Clontech</w:t>
      </w:r>
      <w:proofErr w:type="spellEnd"/>
      <w:r w:rsidRPr="00D934A7">
        <w:rPr>
          <w:rFonts w:ascii="Times New Roman" w:hAnsi="Times New Roman" w:cs="Times New Roman"/>
          <w:sz w:val="24"/>
          <w:szCs w:val="24"/>
        </w:rPr>
        <w:t xml:space="preserve">). All vectors were verified by DNA sequencing. </w:t>
      </w:r>
    </w:p>
    <w:p w14:paraId="5E2DA7FB" w14:textId="77777777" w:rsidR="00CB2673" w:rsidRPr="00D934A7"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18921DC1"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sz w:val="24"/>
          <w:szCs w:val="24"/>
        </w:rPr>
        <w:t>Luciferase assay</w:t>
      </w:r>
    </w:p>
    <w:p w14:paraId="388C3939"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Col2a1 enhancer sites (upstream of TSS, intron 1, and intron 6)</w:t>
      </w:r>
      <w:r w:rsidRPr="00D934A7">
        <w:rPr>
          <w:rFonts w:ascii="Times New Roman" w:hAnsi="Times New Roman" w:cs="Times New Roman" w:hint="eastAsia"/>
          <w:sz w:val="24"/>
          <w:szCs w:val="24"/>
        </w:rPr>
        <w:t>,</w:t>
      </w:r>
      <w:r w:rsidRPr="00D934A7">
        <w:rPr>
          <w:rFonts w:ascii="Times New Roman" w:hAnsi="Times New Roman" w:cs="Times New Roman"/>
          <w:sz w:val="24"/>
          <w:szCs w:val="24"/>
        </w:rPr>
        <w:t xml:space="preserve"> upstream of the Mmp13 TSS, Prg4, and </w:t>
      </w:r>
      <w:proofErr w:type="spellStart"/>
      <w:r w:rsidRPr="00D934A7">
        <w:rPr>
          <w:rFonts w:ascii="Times New Roman" w:hAnsi="Times New Roman" w:cs="Times New Roman"/>
          <w:sz w:val="24"/>
          <w:szCs w:val="24"/>
        </w:rPr>
        <w:t>Acan</w:t>
      </w:r>
      <w:proofErr w:type="spellEnd"/>
      <w:r w:rsidRPr="00D934A7">
        <w:rPr>
          <w:rFonts w:ascii="Times New Roman" w:hAnsi="Times New Roman" w:cs="Times New Roman"/>
          <w:sz w:val="24"/>
          <w:szCs w:val="24"/>
        </w:rPr>
        <w:t xml:space="preserve"> were amplified by</w:t>
      </w:r>
      <w:r w:rsidRPr="00D934A7">
        <w:rPr>
          <w:rFonts w:ascii="Times New Roman" w:hAnsi="Times New Roman" w:cs="Times New Roman"/>
          <w:b/>
          <w:sz w:val="24"/>
          <w:szCs w:val="24"/>
        </w:rPr>
        <w:t xml:space="preserve"> </w:t>
      </w:r>
      <w:r w:rsidRPr="00D934A7">
        <w:rPr>
          <w:rFonts w:ascii="Times New Roman" w:hAnsi="Times New Roman" w:cs="Times New Roman"/>
          <w:sz w:val="24"/>
          <w:szCs w:val="24"/>
        </w:rPr>
        <w:t>PCR using mouse genomic DNA as the template and</w:t>
      </w:r>
      <w:r w:rsidRPr="00D934A7">
        <w:rPr>
          <w:rFonts w:ascii="Times New Roman" w:hAnsi="Times New Roman" w:cs="Times New Roman"/>
          <w:b/>
          <w:sz w:val="24"/>
          <w:szCs w:val="24"/>
        </w:rPr>
        <w:t xml:space="preserve"> </w:t>
      </w:r>
      <w:r w:rsidRPr="00D934A7">
        <w:rPr>
          <w:rFonts w:ascii="Times New Roman" w:hAnsi="Times New Roman" w:cs="Times New Roman"/>
          <w:sz w:val="24"/>
          <w:szCs w:val="24"/>
        </w:rPr>
        <w:t xml:space="preserve">cloned into the PGL4.10 [luc2] vector (Promega, Tokyo, Japan). A luciferase assay was performed using primary chondrocytes and the Dual-Luciferase Reporter Assay System (Promega). Results are reported as the ratio of firefly to </w:t>
      </w:r>
      <w:proofErr w:type="spellStart"/>
      <w:r w:rsidRPr="00D934A7">
        <w:rPr>
          <w:rFonts w:ascii="Times New Roman" w:hAnsi="Times New Roman" w:cs="Times New Roman"/>
          <w:sz w:val="24"/>
          <w:szCs w:val="24"/>
        </w:rPr>
        <w:t>Renilla</w:t>
      </w:r>
      <w:proofErr w:type="spellEnd"/>
      <w:r w:rsidRPr="00D934A7">
        <w:rPr>
          <w:rFonts w:ascii="Times New Roman" w:hAnsi="Times New Roman" w:cs="Times New Roman"/>
          <w:sz w:val="24"/>
          <w:szCs w:val="24"/>
        </w:rPr>
        <w:t xml:space="preserve"> activities. Locations of the cloned sequences are shown in Supplementary Table 9.</w:t>
      </w:r>
    </w:p>
    <w:p w14:paraId="767C1DD0"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p>
    <w:p w14:paraId="1290BA2A"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sz w:val="24"/>
          <w:szCs w:val="24"/>
        </w:rPr>
        <w:t>1, 9-dimethylmethylene blue (DMMB) assay</w:t>
      </w:r>
    </w:p>
    <w:p w14:paraId="55428BA3"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The GAG content was measured using a 1, 9-dimethylmethylene blue (DMMB) assay. Lysates (20 </w:t>
      </w:r>
      <w:proofErr w:type="spellStart"/>
      <w:r w:rsidRPr="00D934A7">
        <w:rPr>
          <w:rFonts w:ascii="Times New Roman" w:hAnsi="Times New Roman" w:cs="Times New Roman"/>
          <w:sz w:val="24"/>
          <w:szCs w:val="24"/>
        </w:rPr>
        <w:t>μL</w:t>
      </w:r>
      <w:proofErr w:type="spellEnd"/>
      <w:r w:rsidRPr="00D934A7">
        <w:rPr>
          <w:rFonts w:ascii="Times New Roman" w:hAnsi="Times New Roman" w:cs="Times New Roman"/>
          <w:sz w:val="24"/>
          <w:szCs w:val="24"/>
        </w:rPr>
        <w:t xml:space="preserve">) were mixed with 200 </w:t>
      </w:r>
      <w:proofErr w:type="spellStart"/>
      <w:r w:rsidRPr="00D934A7">
        <w:rPr>
          <w:rFonts w:ascii="Times New Roman" w:hAnsi="Times New Roman" w:cs="Times New Roman"/>
          <w:sz w:val="24"/>
          <w:szCs w:val="24"/>
        </w:rPr>
        <w:t>μL</w:t>
      </w:r>
      <w:proofErr w:type="spellEnd"/>
      <w:r w:rsidRPr="00D934A7">
        <w:rPr>
          <w:rFonts w:ascii="Times New Roman" w:hAnsi="Times New Roman" w:cs="Times New Roman"/>
          <w:sz w:val="24"/>
          <w:szCs w:val="24"/>
        </w:rPr>
        <w:t xml:space="preserve"> of a DMMB (Sigma-Aldrich) working solution for 30 min at room temperature. The absorbance was then measured at 525 nm. Chondroitin sulfate (Sigma-Aldrich) was used as a standard.</w:t>
      </w:r>
    </w:p>
    <w:p w14:paraId="74F3D6C3"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p>
    <w:p w14:paraId="4982DBEB" w14:textId="77777777" w:rsidR="00CB2673" w:rsidRPr="00D934A7" w:rsidRDefault="00CB2673" w:rsidP="00167902">
      <w:pPr>
        <w:adjustRightInd w:val="0"/>
        <w:snapToGrid w:val="0"/>
        <w:spacing w:line="480" w:lineRule="auto"/>
        <w:jc w:val="left"/>
        <w:rPr>
          <w:rFonts w:ascii="Times New Roman" w:hAnsi="Times New Roman" w:cs="Times New Roman"/>
          <w:b/>
          <w:iCs/>
          <w:sz w:val="24"/>
          <w:szCs w:val="24"/>
        </w:rPr>
      </w:pPr>
      <w:proofErr w:type="spellStart"/>
      <w:r w:rsidRPr="00D934A7">
        <w:rPr>
          <w:rFonts w:ascii="Times New Roman" w:hAnsi="Times New Roman" w:cs="Times New Roman"/>
          <w:b/>
          <w:iCs/>
          <w:sz w:val="24"/>
          <w:szCs w:val="24"/>
        </w:rPr>
        <w:t>ChIP</w:t>
      </w:r>
      <w:proofErr w:type="spellEnd"/>
      <w:r w:rsidRPr="00D934A7">
        <w:rPr>
          <w:rFonts w:ascii="Times New Roman" w:hAnsi="Times New Roman" w:cs="Times New Roman"/>
          <w:b/>
          <w:iCs/>
          <w:sz w:val="24"/>
          <w:szCs w:val="24"/>
        </w:rPr>
        <w:t>-seq</w:t>
      </w:r>
    </w:p>
    <w:p w14:paraId="3C3BA18F" w14:textId="77777777" w:rsidR="00CB2673" w:rsidRPr="00D934A7" w:rsidRDefault="00CB2673" w:rsidP="00167902">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Chromatin preparation and </w:t>
      </w:r>
      <w:proofErr w:type="spellStart"/>
      <w:r w:rsidRPr="00D934A7">
        <w:rPr>
          <w:rFonts w:ascii="Times New Roman" w:hAnsi="Times New Roman" w:cs="Times New Roman"/>
          <w:sz w:val="24"/>
          <w:szCs w:val="24"/>
        </w:rPr>
        <w:t>ChIP</w:t>
      </w:r>
      <w:proofErr w:type="spellEnd"/>
      <w:r w:rsidRPr="00D934A7">
        <w:rPr>
          <w:rFonts w:ascii="Times New Roman" w:hAnsi="Times New Roman" w:cs="Times New Roman"/>
          <w:sz w:val="24"/>
          <w:szCs w:val="24"/>
        </w:rPr>
        <w:t xml:space="preserve"> were performed as previously described,</w:t>
      </w:r>
      <w:r w:rsidRPr="00D934A7">
        <w:rPr>
          <w:rFonts w:ascii="Times New Roman" w:hAnsi="Times New Roman" w:cs="Times New Roman"/>
          <w:noProof/>
          <w:sz w:val="24"/>
          <w:szCs w:val="24"/>
          <w:vertAlign w:val="superscript"/>
        </w:rPr>
        <w:t>10-12</w:t>
      </w:r>
      <w:r w:rsidRPr="00D934A7">
        <w:rPr>
          <w:rFonts w:ascii="Times New Roman" w:hAnsi="Times New Roman" w:cs="Times New Roman"/>
          <w:sz w:val="24"/>
          <w:szCs w:val="24"/>
        </w:rPr>
        <w:t xml:space="preserve"> with minor modifications. Briefly, 5 × 10</w:t>
      </w:r>
      <w:r w:rsidRPr="00D934A7">
        <w:rPr>
          <w:rFonts w:ascii="Times New Roman" w:hAnsi="Times New Roman" w:cs="Times New Roman"/>
          <w:sz w:val="24"/>
          <w:szCs w:val="24"/>
          <w:vertAlign w:val="superscript"/>
        </w:rPr>
        <w:t>7</w:t>
      </w:r>
      <w:r w:rsidRPr="00D934A7">
        <w:rPr>
          <w:rFonts w:ascii="Times New Roman" w:hAnsi="Times New Roman" w:cs="Times New Roman"/>
          <w:sz w:val="24"/>
          <w:szCs w:val="24"/>
        </w:rPr>
        <w:t xml:space="preserve"> primary chondrocytes from Runx2-FLAG mice, expressing</w:t>
      </w:r>
      <w:r w:rsidRPr="00D934A7">
        <w:rPr>
          <w:rFonts w:ascii="Times New Roman" w:hAnsi="Times New Roman" w:cs="Times New Roman"/>
          <w:kern w:val="0"/>
          <w:sz w:val="24"/>
          <w:szCs w:val="24"/>
        </w:rPr>
        <w:t xml:space="preserve"> </w:t>
      </w:r>
      <w:r w:rsidRPr="00D934A7">
        <w:rPr>
          <w:rFonts w:ascii="Times New Roman" w:hAnsi="Times New Roman" w:cs="Times New Roman"/>
          <w:sz w:val="24"/>
          <w:szCs w:val="24"/>
        </w:rPr>
        <w:t xml:space="preserve">3×FLAG-tagged Runx2, were cultured for 48 h with or without 1 ng/mL </w:t>
      </w:r>
      <w:r w:rsidRPr="00D934A7">
        <w:rPr>
          <w:rFonts w:ascii="Times New Roman" w:hAnsi="Times New Roman" w:cs="Times New Roman"/>
          <w:sz w:val="24"/>
          <w:szCs w:val="24"/>
        </w:rPr>
        <w:lastRenderedPageBreak/>
        <w:t>IL-1β for 24 h. For Runx3, we used SFZ chondrocytes from WT mice that were treated by lipofection (Lipofectamine 2000; Thermo Fisher Scientific) with vectors expressing</w:t>
      </w:r>
      <w:r w:rsidRPr="00D934A7">
        <w:rPr>
          <w:rFonts w:ascii="Times New Roman" w:hAnsi="Times New Roman" w:cs="Times New Roman"/>
          <w:kern w:val="0"/>
          <w:sz w:val="24"/>
          <w:szCs w:val="24"/>
        </w:rPr>
        <w:t xml:space="preserve"> </w:t>
      </w:r>
      <w:r w:rsidRPr="00D934A7">
        <w:rPr>
          <w:rFonts w:ascii="Times New Roman" w:hAnsi="Times New Roman" w:cs="Times New Roman"/>
          <w:sz w:val="24"/>
          <w:szCs w:val="24"/>
        </w:rPr>
        <w:t>3xFLAG-tagged Runx3. Briefly, 5 × 10</w:t>
      </w:r>
      <w:r w:rsidRPr="00D934A7">
        <w:rPr>
          <w:rFonts w:ascii="Times New Roman" w:hAnsi="Times New Roman" w:cs="Times New Roman"/>
          <w:sz w:val="24"/>
          <w:szCs w:val="24"/>
          <w:vertAlign w:val="superscript"/>
        </w:rPr>
        <w:t xml:space="preserve">7 </w:t>
      </w:r>
      <w:r w:rsidRPr="00D934A7">
        <w:rPr>
          <w:rFonts w:ascii="Times New Roman" w:hAnsi="Times New Roman" w:cs="Times New Roman"/>
          <w:sz w:val="24"/>
          <w:szCs w:val="24"/>
        </w:rPr>
        <w:t xml:space="preserve">chondrocytes were harvested and cross-linked with 1% formaldehyde, followed by quenching with glycine. After cell lysis, chromatin was fragmented by sonication (Branson Digital </w:t>
      </w:r>
      <w:proofErr w:type="spellStart"/>
      <w:r w:rsidRPr="00D934A7">
        <w:rPr>
          <w:rFonts w:ascii="Times New Roman" w:hAnsi="Times New Roman" w:cs="Times New Roman"/>
          <w:sz w:val="24"/>
          <w:szCs w:val="24"/>
        </w:rPr>
        <w:t>Sonifier</w:t>
      </w:r>
      <w:proofErr w:type="spellEnd"/>
      <w:r w:rsidRPr="00D934A7">
        <w:rPr>
          <w:rFonts w:ascii="Times New Roman" w:hAnsi="Times New Roman" w:cs="Times New Roman"/>
          <w:sz w:val="24"/>
          <w:szCs w:val="24"/>
        </w:rPr>
        <w:t xml:space="preserve"> 250, Branson Ultrasonics Corporation Danbury, CT, USA) to obtain 100–600 bp DNA fragments. The fragmented DNA lysate was incubated with </w:t>
      </w:r>
      <w:proofErr w:type="spellStart"/>
      <w:r w:rsidRPr="00D934A7">
        <w:rPr>
          <w:rFonts w:ascii="Times New Roman" w:hAnsi="Times New Roman" w:cs="Times New Roman"/>
          <w:sz w:val="24"/>
          <w:szCs w:val="24"/>
        </w:rPr>
        <w:t>Dynabeads</w:t>
      </w:r>
      <w:proofErr w:type="spellEnd"/>
      <w:r w:rsidRPr="00D934A7">
        <w:rPr>
          <w:rFonts w:ascii="Times New Roman" w:hAnsi="Times New Roman" w:cs="Times New Roman"/>
          <w:sz w:val="24"/>
          <w:szCs w:val="24"/>
        </w:rPr>
        <w:t xml:space="preserve"> M-280 sheep anti-mouse (Thermo Fisher Scientific) and antibody complex overnight at 4°C [anti-FLAG Clone M2 (Sigma-Aldrich) or </w:t>
      </w:r>
      <w:proofErr w:type="spellStart"/>
      <w:r w:rsidRPr="00D934A7">
        <w:rPr>
          <w:rFonts w:ascii="Times New Roman" w:hAnsi="Times New Roman" w:cs="Times New Roman"/>
          <w:sz w:val="24"/>
          <w:szCs w:val="24"/>
        </w:rPr>
        <w:t>antimouse</w:t>
      </w:r>
      <w:proofErr w:type="spellEnd"/>
      <w:r w:rsidRPr="00D934A7">
        <w:rPr>
          <w:rFonts w:ascii="Times New Roman" w:hAnsi="Times New Roman" w:cs="Times New Roman"/>
          <w:sz w:val="24"/>
          <w:szCs w:val="24"/>
        </w:rPr>
        <w:t xml:space="preserve">-IgG (Promega, Madison, WI, USA)]. After washing the beads with radioimmunoprecipitation assay buffer, DNA was eluted with elution buffer at 65°C for 15 min, and the elution was incubated overnight at 65°C for reverse crosslinking. DNA was purified using </w:t>
      </w:r>
      <w:proofErr w:type="spellStart"/>
      <w:r w:rsidRPr="00D934A7">
        <w:rPr>
          <w:rFonts w:ascii="Times New Roman" w:hAnsi="Times New Roman" w:cs="Times New Roman"/>
          <w:sz w:val="24"/>
          <w:szCs w:val="24"/>
        </w:rPr>
        <w:t>ChIP</w:t>
      </w:r>
      <w:proofErr w:type="spellEnd"/>
      <w:r w:rsidRPr="00D934A7">
        <w:rPr>
          <w:rFonts w:ascii="Times New Roman" w:hAnsi="Times New Roman" w:cs="Times New Roman"/>
          <w:sz w:val="24"/>
          <w:szCs w:val="24"/>
        </w:rPr>
        <w:t xml:space="preserve"> DNA Clean and Concentrator (ZYMO Research, Irvine, CA, USA). All buffers contained Complete EDTA-Free Protease Inhibitor Cocktail (Roche). Construction of </w:t>
      </w:r>
      <w:proofErr w:type="spellStart"/>
      <w:r w:rsidRPr="00D934A7">
        <w:rPr>
          <w:rFonts w:ascii="Times New Roman" w:hAnsi="Times New Roman" w:cs="Times New Roman"/>
          <w:sz w:val="24"/>
          <w:szCs w:val="24"/>
        </w:rPr>
        <w:t>ChIP</w:t>
      </w:r>
      <w:proofErr w:type="spellEnd"/>
      <w:r w:rsidRPr="00D934A7">
        <w:rPr>
          <w:rFonts w:ascii="Times New Roman" w:hAnsi="Times New Roman" w:cs="Times New Roman"/>
          <w:sz w:val="24"/>
          <w:szCs w:val="24"/>
        </w:rPr>
        <w:t xml:space="preserve">-seq libraries was performed with a </w:t>
      </w:r>
      <w:proofErr w:type="spellStart"/>
      <w:r w:rsidRPr="00D934A7">
        <w:rPr>
          <w:rFonts w:ascii="Times New Roman" w:hAnsi="Times New Roman" w:cs="Times New Roman"/>
          <w:sz w:val="24"/>
          <w:szCs w:val="24"/>
        </w:rPr>
        <w:t>ThruPLEXFD</w:t>
      </w:r>
      <w:proofErr w:type="spellEnd"/>
      <w:r w:rsidRPr="00D934A7">
        <w:rPr>
          <w:rFonts w:ascii="Times New Roman" w:hAnsi="Times New Roman" w:cs="Times New Roman"/>
          <w:sz w:val="24"/>
          <w:szCs w:val="24"/>
        </w:rPr>
        <w:t xml:space="preserve"> Prep Kit (Takara Bio, </w:t>
      </w:r>
      <w:proofErr w:type="spellStart"/>
      <w:r w:rsidRPr="00D934A7">
        <w:rPr>
          <w:rFonts w:ascii="Times New Roman" w:hAnsi="Times New Roman" w:cs="Times New Roman"/>
          <w:sz w:val="24"/>
          <w:szCs w:val="24"/>
        </w:rPr>
        <w:t>Kusatsu</w:t>
      </w:r>
      <w:proofErr w:type="spellEnd"/>
      <w:r w:rsidRPr="00D934A7">
        <w:rPr>
          <w:rFonts w:ascii="Times New Roman" w:hAnsi="Times New Roman" w:cs="Times New Roman"/>
          <w:sz w:val="24"/>
          <w:szCs w:val="24"/>
        </w:rPr>
        <w:t>, Japan). The library was sequenced on a HiSeq2000 (Illumina, San Diego, CA, USA) platform.</w:t>
      </w:r>
    </w:p>
    <w:p w14:paraId="56B1C6F6" w14:textId="4823A3DA" w:rsidR="00CB2673" w:rsidRPr="00D934A7" w:rsidRDefault="00CB2673" w:rsidP="00167902">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sz w:val="24"/>
          <w:szCs w:val="24"/>
        </w:rPr>
        <w:t xml:space="preserve"> Supercomputing resources were provided by the </w:t>
      </w:r>
      <w:r w:rsidR="00EA0048">
        <w:rPr>
          <w:rFonts w:ascii="Times New Roman" w:hAnsi="Times New Roman" w:cs="Times New Roman"/>
          <w:sz w:val="24"/>
          <w:szCs w:val="24"/>
        </w:rPr>
        <w:t>XXX</w:t>
      </w:r>
      <w:r w:rsidRPr="00D934A7">
        <w:rPr>
          <w:rFonts w:ascii="Times New Roman" w:hAnsi="Times New Roman" w:cs="Times New Roman"/>
          <w:sz w:val="24"/>
          <w:szCs w:val="24"/>
        </w:rPr>
        <w:t>. DNA sequence information was aligned to the unmasked mouse genome reference sequence mm9 by a bowtie aligner.</w:t>
      </w:r>
      <w:r w:rsidRPr="00D934A7">
        <w:rPr>
          <w:rFonts w:ascii="Times New Roman" w:hAnsi="Times New Roman" w:cs="Times New Roman"/>
          <w:noProof/>
          <w:sz w:val="24"/>
          <w:szCs w:val="24"/>
          <w:vertAlign w:val="superscript"/>
        </w:rPr>
        <w:t>13</w:t>
      </w:r>
      <w:r w:rsidRPr="00D934A7">
        <w:rPr>
          <w:rFonts w:ascii="Times New Roman" w:hAnsi="Times New Roman" w:cs="Times New Roman"/>
          <w:sz w:val="24"/>
          <w:szCs w:val="24"/>
        </w:rPr>
        <w:t xml:space="preserve"> Peak calling was performed by two-sample analysis using </w:t>
      </w:r>
      <w:proofErr w:type="spellStart"/>
      <w:r w:rsidRPr="00D934A7">
        <w:rPr>
          <w:rFonts w:ascii="Times New Roman" w:hAnsi="Times New Roman" w:cs="Times New Roman"/>
          <w:sz w:val="24"/>
          <w:szCs w:val="24"/>
        </w:rPr>
        <w:t>CisGenome</w:t>
      </w:r>
      <w:proofErr w:type="spellEnd"/>
      <w:r w:rsidRPr="00D934A7">
        <w:rPr>
          <w:rFonts w:ascii="Times New Roman" w:hAnsi="Times New Roman" w:cs="Times New Roman"/>
          <w:sz w:val="24"/>
          <w:szCs w:val="24"/>
        </w:rPr>
        <w:t xml:space="preserve"> software v2.0</w:t>
      </w:r>
      <w:r w:rsidRPr="00D934A7">
        <w:rPr>
          <w:rFonts w:ascii="Times New Roman" w:hAnsi="Times New Roman" w:cs="Times New Roman"/>
          <w:sz w:val="24"/>
          <w:szCs w:val="24"/>
          <w:vertAlign w:val="superscript"/>
        </w:rPr>
        <w:t xml:space="preserve"> </w:t>
      </w:r>
      <w:r w:rsidRPr="00D934A7">
        <w:rPr>
          <w:rFonts w:ascii="Times New Roman" w:hAnsi="Times New Roman" w:cs="Times New Roman"/>
          <w:sz w:val="24"/>
          <w:szCs w:val="24"/>
        </w:rPr>
        <w:t>(35) with a P-value cut-off of 1 × 10</w:t>
      </w:r>
      <w:r w:rsidRPr="00D934A7">
        <w:rPr>
          <w:rFonts w:ascii="Times New Roman" w:hAnsi="Times New Roman" w:cs="Times New Roman"/>
          <w:sz w:val="24"/>
          <w:szCs w:val="24"/>
          <w:vertAlign w:val="superscript"/>
        </w:rPr>
        <w:t xml:space="preserve">−5 </w:t>
      </w:r>
      <w:r w:rsidRPr="00D934A7">
        <w:rPr>
          <w:rFonts w:ascii="Times New Roman" w:hAnsi="Times New Roman" w:cs="Times New Roman"/>
          <w:sz w:val="24"/>
          <w:szCs w:val="24"/>
        </w:rPr>
        <w:t>compared with the input control. Peaks with a false discovery rate of &lt; 0.01 were incorporated into further analysis. GREAT GO analysis was performed utilizing the online GREAT GO program, version 3.0.0.</w:t>
      </w:r>
      <w:r w:rsidRPr="00D934A7">
        <w:rPr>
          <w:rFonts w:ascii="Times New Roman" w:hAnsi="Times New Roman" w:cs="Times New Roman"/>
          <w:noProof/>
          <w:sz w:val="24"/>
          <w:szCs w:val="24"/>
          <w:vertAlign w:val="superscript"/>
        </w:rPr>
        <w:t>14</w:t>
      </w:r>
      <w:r w:rsidRPr="00D934A7">
        <w:rPr>
          <w:rFonts w:ascii="Times New Roman" w:hAnsi="Times New Roman" w:cs="Times New Roman"/>
          <w:sz w:val="24"/>
          <w:szCs w:val="24"/>
        </w:rPr>
        <w:t xml:space="preserve"> Each peak category was run against a whole-genome background with assembly mm9. </w:t>
      </w:r>
      <w:r w:rsidRPr="00D934A7">
        <w:rPr>
          <w:rFonts w:ascii="Times New Roman" w:hAnsi="Times New Roman" w:cs="Times New Roman"/>
          <w:i/>
          <w:sz w:val="24"/>
          <w:szCs w:val="24"/>
        </w:rPr>
        <w:t>De novo</w:t>
      </w:r>
      <w:r w:rsidRPr="00D934A7">
        <w:rPr>
          <w:rFonts w:ascii="Times New Roman" w:hAnsi="Times New Roman" w:cs="Times New Roman"/>
          <w:sz w:val="24"/>
          <w:szCs w:val="24"/>
        </w:rPr>
        <w:t xml:space="preserve"> motif recovery was performed with MEME-ChIP.</w:t>
      </w:r>
      <w:r w:rsidRPr="00D934A7">
        <w:rPr>
          <w:rFonts w:ascii="Times New Roman" w:hAnsi="Times New Roman" w:cs="Times New Roman"/>
          <w:noProof/>
          <w:sz w:val="24"/>
          <w:szCs w:val="24"/>
          <w:vertAlign w:val="superscript"/>
        </w:rPr>
        <w:t>15</w:t>
      </w:r>
      <w:r w:rsidRPr="00D934A7">
        <w:rPr>
          <w:rFonts w:ascii="Times New Roman" w:hAnsi="Times New Roman" w:cs="Times New Roman"/>
          <w:sz w:val="24"/>
          <w:szCs w:val="24"/>
        </w:rPr>
        <w:t xml:space="preserve"> A 100-bp region </w:t>
      </w:r>
      <w:r w:rsidRPr="00D934A7">
        <w:rPr>
          <w:rFonts w:ascii="Times New Roman" w:hAnsi="Times New Roman" w:cs="Times New Roman"/>
          <w:sz w:val="24"/>
          <w:szCs w:val="24"/>
        </w:rPr>
        <w:lastRenderedPageBreak/>
        <w:t>surrounding the peak center was extracted from mm9 and used for analyses. Raw and processed data are available in the Gene Expression Omnibus database under accession number GSE157328 and GSE165086. Peak data were compared with GSM1692996, GSM1692997, GSM16930001, GSM1693003, and GSM1693005.</w:t>
      </w:r>
      <w:r w:rsidRPr="00D934A7">
        <w:rPr>
          <w:rFonts w:ascii="Times New Roman" w:hAnsi="Times New Roman" w:cs="Times New Roman"/>
          <w:noProof/>
          <w:sz w:val="24"/>
          <w:szCs w:val="24"/>
          <w:vertAlign w:val="superscript"/>
        </w:rPr>
        <w:t>11</w:t>
      </w:r>
    </w:p>
    <w:p w14:paraId="7D2AA74D"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p>
    <w:p w14:paraId="6861304D"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sz w:val="24"/>
          <w:szCs w:val="24"/>
        </w:rPr>
        <w:t>RNA-seq</w:t>
      </w:r>
    </w:p>
    <w:p w14:paraId="7386F993"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sz w:val="24"/>
          <w:szCs w:val="24"/>
        </w:rPr>
        <w:t xml:space="preserve">For Runx3, RNA samples were collected from SFZ/DZ chondrocytes of 5-day-old </w:t>
      </w:r>
      <w:r w:rsidRPr="00D934A7">
        <w:rPr>
          <w:rFonts w:ascii="Times New Roman" w:hAnsi="Times New Roman" w:cs="Times New Roman"/>
          <w:i/>
          <w:sz w:val="24"/>
          <w:szCs w:val="24"/>
        </w:rPr>
        <w:t>Col2a1-Cre;Runx3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and </w:t>
      </w:r>
      <w:r w:rsidRPr="00D934A7">
        <w:rPr>
          <w:rFonts w:ascii="Times New Roman" w:hAnsi="Times New Roman" w:cs="Times New Roman"/>
          <w:i/>
          <w:sz w:val="24"/>
          <w:szCs w:val="24"/>
        </w:rPr>
        <w:t>Runx3</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i/>
          <w:sz w:val="24"/>
          <w:szCs w:val="24"/>
        </w:rPr>
        <w:t xml:space="preserve"> </w:t>
      </w:r>
      <w:r w:rsidRPr="00D934A7">
        <w:rPr>
          <w:rFonts w:ascii="Times New Roman" w:hAnsi="Times New Roman" w:cs="Times New Roman"/>
          <w:sz w:val="24"/>
          <w:szCs w:val="24"/>
        </w:rPr>
        <w:t xml:space="preserve">mice (n = 3, respectively). For Runx2, RNA samples were collected from primary chondrocytes of 5-day-old </w:t>
      </w:r>
      <w:r w:rsidRPr="00D934A7">
        <w:rPr>
          <w:rFonts w:ascii="Times New Roman" w:hAnsi="Times New Roman" w:cs="Times New Roman"/>
          <w:i/>
          <w:sz w:val="24"/>
          <w:szCs w:val="24"/>
        </w:rPr>
        <w:t>Col2a1-Cre</w:t>
      </w:r>
      <w:r w:rsidRPr="00D934A7">
        <w:rPr>
          <w:rFonts w:ascii="Times New Roman" w:hAnsi="Times New Roman" w:cs="Times New Roman"/>
          <w:i/>
          <w:sz w:val="24"/>
          <w:szCs w:val="24"/>
          <w:vertAlign w:val="superscript"/>
        </w:rPr>
        <w:t>ERT2</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sz w:val="24"/>
          <w:szCs w:val="24"/>
        </w:rPr>
        <w:t xml:space="preserve"> and </w:t>
      </w:r>
      <w:r w:rsidRPr="00D934A7">
        <w:rPr>
          <w:rFonts w:ascii="Times New Roman" w:hAnsi="Times New Roman" w:cs="Times New Roman"/>
          <w:i/>
          <w:sz w:val="24"/>
          <w:szCs w:val="24"/>
        </w:rPr>
        <w:t>Runx2</w:t>
      </w:r>
      <w:r w:rsidRPr="00D934A7">
        <w:rPr>
          <w:rFonts w:ascii="Times New Roman" w:hAnsi="Times New Roman" w:cs="Times New Roman"/>
          <w:i/>
          <w:sz w:val="24"/>
          <w:szCs w:val="24"/>
          <w:vertAlign w:val="superscript"/>
        </w:rPr>
        <w:t>fl/</w:t>
      </w:r>
      <w:proofErr w:type="spellStart"/>
      <w:r w:rsidRPr="00D934A7">
        <w:rPr>
          <w:rFonts w:ascii="Times New Roman" w:hAnsi="Times New Roman" w:cs="Times New Roman"/>
          <w:i/>
          <w:sz w:val="24"/>
          <w:szCs w:val="24"/>
          <w:vertAlign w:val="superscript"/>
        </w:rPr>
        <w:t>fl</w:t>
      </w:r>
      <w:proofErr w:type="spellEnd"/>
      <w:r w:rsidRPr="00D934A7">
        <w:rPr>
          <w:rFonts w:ascii="Times New Roman" w:hAnsi="Times New Roman" w:cs="Times New Roman"/>
          <w:i/>
          <w:sz w:val="24"/>
          <w:szCs w:val="24"/>
        </w:rPr>
        <w:t xml:space="preserve"> </w:t>
      </w:r>
      <w:r w:rsidRPr="00D934A7">
        <w:rPr>
          <w:rFonts w:ascii="Times New Roman" w:hAnsi="Times New Roman" w:cs="Times New Roman"/>
          <w:sz w:val="24"/>
          <w:szCs w:val="24"/>
        </w:rPr>
        <w:t>mice (n = 2, respectively) and then subjected to 48-h incubation with 4-hydroxytamoxifen with or without 1 ng/</w:t>
      </w:r>
      <w:proofErr w:type="spellStart"/>
      <w:r w:rsidRPr="00D934A7">
        <w:rPr>
          <w:rFonts w:ascii="Times New Roman" w:hAnsi="Times New Roman" w:cs="Times New Roman"/>
          <w:sz w:val="24"/>
          <w:szCs w:val="24"/>
        </w:rPr>
        <w:t>μL</w:t>
      </w:r>
      <w:proofErr w:type="spellEnd"/>
      <w:r w:rsidRPr="00D934A7">
        <w:rPr>
          <w:rFonts w:ascii="Times New Roman" w:hAnsi="Times New Roman" w:cs="Times New Roman"/>
          <w:sz w:val="24"/>
          <w:szCs w:val="24"/>
        </w:rPr>
        <w:t xml:space="preserve"> IL-1β for 24 h. RNA-seq was conducted on a BGIseq-500 (BGI, Hong Kong, China) to produce 100-bp paired-end reads, which were mapped to the mouse genome (mm9). Quantile normalization was applied and read counts were transformed to log2 counts per million. Linear models were used to test for expression differences between deficient and control samples. Raw and processed data are available in the Gene Expression Omnibus database under accession number GSE157433 and GSE165084.</w:t>
      </w:r>
    </w:p>
    <w:p w14:paraId="1C21630E" w14:textId="77777777" w:rsidR="00CB2673" w:rsidRPr="00D934A7" w:rsidRDefault="00CB2673" w:rsidP="00E1156F">
      <w:pPr>
        <w:tabs>
          <w:tab w:val="left" w:pos="840"/>
        </w:tabs>
        <w:adjustRightInd w:val="0"/>
        <w:snapToGrid w:val="0"/>
        <w:spacing w:line="480" w:lineRule="auto"/>
        <w:jc w:val="left"/>
        <w:rPr>
          <w:rFonts w:ascii="Times New Roman" w:hAnsi="Times New Roman" w:cs="Times New Roman"/>
          <w:bCs/>
          <w:kern w:val="0"/>
          <w:sz w:val="24"/>
          <w:szCs w:val="24"/>
        </w:rPr>
      </w:pPr>
    </w:p>
    <w:p w14:paraId="47E1E43B"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b/>
          <w:iCs/>
          <w:sz w:val="24"/>
          <w:szCs w:val="24"/>
        </w:rPr>
        <w:t>Intra-articular administration of adenoviral vectors</w:t>
      </w:r>
    </w:p>
    <w:p w14:paraId="3FFD8499"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We performed intra-articular administration of an adenoviral vector containing Runx3 or GFP. Injections were performed three times: 1, 4, and 7 weeks after the OA surgery. For each administration, we injected </w:t>
      </w:r>
      <w:r w:rsidRPr="00D934A7">
        <w:rPr>
          <w:rFonts w:ascii="Times New Roman" w:hAnsi="Times New Roman" w:cs="Times New Roman"/>
          <w:bCs/>
          <w:kern w:val="0"/>
          <w:sz w:val="24"/>
          <w:szCs w:val="24"/>
        </w:rPr>
        <w:t xml:space="preserve">10 </w:t>
      </w:r>
      <w:r w:rsidRPr="00D934A7">
        <w:rPr>
          <w:rFonts w:ascii="Times New Roman" w:hAnsi="Times New Roman" w:cs="Times New Roman" w:hint="eastAsia"/>
          <w:bCs/>
          <w:kern w:val="0"/>
          <w:sz w:val="24"/>
          <w:szCs w:val="24"/>
        </w:rPr>
        <w:t>µ</w:t>
      </w:r>
      <w:r w:rsidRPr="00D934A7">
        <w:rPr>
          <w:rFonts w:ascii="Times New Roman" w:hAnsi="Times New Roman" w:cs="Times New Roman"/>
          <w:bCs/>
          <w:kern w:val="0"/>
          <w:sz w:val="24"/>
          <w:szCs w:val="24"/>
        </w:rPr>
        <w:t xml:space="preserve">L of 1 </w:t>
      </w:r>
      <w:r w:rsidRPr="00D934A7">
        <w:rPr>
          <w:rFonts w:ascii="Times New Roman" w:hAnsi="Times New Roman" w:cs="Times New Roman"/>
          <w:sz w:val="24"/>
          <w:szCs w:val="24"/>
        </w:rPr>
        <w:t xml:space="preserve">× </w:t>
      </w:r>
      <w:r w:rsidRPr="00D934A7">
        <w:rPr>
          <w:rFonts w:ascii="Times New Roman" w:hAnsi="Times New Roman" w:cs="Times New Roman"/>
          <w:bCs/>
          <w:kern w:val="0"/>
          <w:sz w:val="24"/>
          <w:szCs w:val="24"/>
        </w:rPr>
        <w:t>10</w:t>
      </w:r>
      <w:r w:rsidRPr="00D934A7">
        <w:rPr>
          <w:rFonts w:ascii="Times New Roman" w:hAnsi="Times New Roman" w:cs="Times New Roman"/>
          <w:bCs/>
          <w:kern w:val="0"/>
          <w:sz w:val="24"/>
          <w:szCs w:val="24"/>
          <w:vertAlign w:val="superscript"/>
        </w:rPr>
        <w:t>9</w:t>
      </w:r>
      <w:r w:rsidRPr="00D934A7">
        <w:rPr>
          <w:rFonts w:ascii="Times New Roman" w:hAnsi="Times New Roman" w:cs="Times New Roman"/>
          <w:bCs/>
          <w:kern w:val="0"/>
          <w:sz w:val="24"/>
          <w:szCs w:val="24"/>
        </w:rPr>
        <w:t xml:space="preserve"> plaque-forming units </w:t>
      </w:r>
      <w:r w:rsidRPr="00D934A7">
        <w:rPr>
          <w:rFonts w:ascii="Times New Roman" w:hAnsi="Times New Roman" w:cs="Times New Roman"/>
          <w:sz w:val="24"/>
          <w:szCs w:val="24"/>
        </w:rPr>
        <w:t>adenoviral vectors solution diluted in PBS.</w:t>
      </w:r>
    </w:p>
    <w:p w14:paraId="7BD4C143"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p>
    <w:p w14:paraId="2C0725D2" w14:textId="77777777" w:rsidR="00CB2673" w:rsidRPr="00D934A7" w:rsidRDefault="00CB2673" w:rsidP="00E1156F">
      <w:pPr>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sz w:val="24"/>
          <w:szCs w:val="24"/>
        </w:rPr>
        <w:lastRenderedPageBreak/>
        <w:t>Statistical analyses</w:t>
      </w:r>
    </w:p>
    <w:p w14:paraId="2942B425" w14:textId="77777777" w:rsidR="00CB2673" w:rsidRPr="00D934A7" w:rsidRDefault="00CB2673" w:rsidP="00E1156F">
      <w:pPr>
        <w:adjustRightInd w:val="0"/>
        <w:snapToGrid w:val="0"/>
        <w:spacing w:line="480" w:lineRule="auto"/>
        <w:jc w:val="left"/>
        <w:rPr>
          <w:rFonts w:ascii="Times New Roman" w:hAnsi="Times New Roman" w:cs="Times New Roman"/>
          <w:sz w:val="24"/>
          <w:szCs w:val="24"/>
        </w:rPr>
      </w:pPr>
      <w:r w:rsidRPr="00D934A7">
        <w:rPr>
          <w:rFonts w:ascii="Times New Roman" w:hAnsi="Times New Roman" w:cs="Times New Roman"/>
          <w:sz w:val="24"/>
          <w:szCs w:val="24"/>
        </w:rPr>
        <w:t xml:space="preserve">Results were analyzed using Prism version 8.4.1 (GraphPad Software, San Diego, CA, USA). </w:t>
      </w:r>
      <w:r w:rsidRPr="00D934A7">
        <w:rPr>
          <w:rFonts w:ascii="Times New Roman" w:hAnsi="Times New Roman" w:cs="Times New Roman"/>
          <w:bCs/>
          <w:kern w:val="0"/>
          <w:sz w:val="24"/>
          <w:szCs w:val="24"/>
        </w:rPr>
        <w:t>Two-tailed Mann–Whitney U test</w:t>
      </w:r>
      <w:r w:rsidRPr="00D934A7">
        <w:rPr>
          <w:rFonts w:ascii="Times New Roman" w:hAnsi="Times New Roman" w:cs="Times New Roman"/>
          <w:sz w:val="24"/>
          <w:szCs w:val="24"/>
        </w:rPr>
        <w:t xml:space="preserve"> was used to establish statistical significance between two groups. One-way ANOVA</w:t>
      </w:r>
      <w:r w:rsidRPr="00D934A7">
        <w:rPr>
          <w:rFonts w:ascii="Times New Roman" w:hAnsi="Times New Roman" w:cs="Times New Roman"/>
          <w:bCs/>
          <w:kern w:val="0"/>
          <w:sz w:val="24"/>
          <w:szCs w:val="24"/>
        </w:rPr>
        <w:t xml:space="preserve"> </w:t>
      </w:r>
      <w:r w:rsidRPr="00D934A7">
        <w:rPr>
          <w:rFonts w:ascii="Times New Roman" w:hAnsi="Times New Roman" w:cs="Times New Roman"/>
          <w:sz w:val="24"/>
          <w:szCs w:val="24"/>
        </w:rPr>
        <w:t>with Turkey’s post hoc test was used to establish statistical significance in more than three groups. Ordinary one-way ANOVA with Dunnett’s multiple comparisons test was used for dose-dependent or time-course comparisons of multiple groups. P-values below 0.05 were considered significant.</w:t>
      </w:r>
    </w:p>
    <w:p w14:paraId="7F05B486"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18EB64A7"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19812AC5"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0B5281B7"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7746FB28"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791E17C7"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12831D04"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4AFCCF56"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5FAAE883"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3AA6D45D"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2D2DC768"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5047AF88"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6925CA92"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69D93EE5"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4E4EBAB2"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3D5D20E5"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38C3D00D"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4B115AEA" w14:textId="77777777" w:rsidR="00CB2673"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73D994D4" w14:textId="77777777" w:rsidR="00CB2673" w:rsidRPr="00D934A7" w:rsidRDefault="00CB2673" w:rsidP="008A7680">
      <w:pPr>
        <w:tabs>
          <w:tab w:val="left" w:pos="840"/>
        </w:tabs>
        <w:adjustRightInd w:val="0"/>
        <w:snapToGrid w:val="0"/>
        <w:spacing w:line="480" w:lineRule="auto"/>
        <w:jc w:val="left"/>
        <w:rPr>
          <w:rFonts w:ascii="Times New Roman" w:hAnsi="Times New Roman" w:cs="Times New Roman"/>
          <w:bCs/>
          <w:kern w:val="0"/>
          <w:sz w:val="24"/>
          <w:szCs w:val="24"/>
        </w:rPr>
      </w:pPr>
    </w:p>
    <w:p w14:paraId="7D2F7057" w14:textId="77777777" w:rsidR="00CB2673" w:rsidRPr="00D934A7" w:rsidRDefault="00CB2673" w:rsidP="00096335">
      <w:pPr>
        <w:tabs>
          <w:tab w:val="left" w:pos="840"/>
        </w:tabs>
        <w:adjustRightInd w:val="0"/>
        <w:snapToGrid w:val="0"/>
        <w:spacing w:line="480" w:lineRule="auto"/>
        <w:jc w:val="left"/>
        <w:rPr>
          <w:rFonts w:ascii="Times New Roman" w:hAnsi="Times New Roman" w:cs="Times New Roman"/>
          <w:b/>
          <w:sz w:val="24"/>
          <w:szCs w:val="24"/>
        </w:rPr>
      </w:pPr>
      <w:r w:rsidRPr="00D934A7">
        <w:rPr>
          <w:rFonts w:ascii="Times New Roman" w:hAnsi="Times New Roman" w:cs="Times New Roman"/>
          <w:b/>
          <w:kern w:val="0"/>
          <w:sz w:val="24"/>
          <w:szCs w:val="24"/>
        </w:rPr>
        <w:t xml:space="preserve">REFERENCES of </w:t>
      </w:r>
      <w:r w:rsidRPr="00D934A7">
        <w:rPr>
          <w:rFonts w:ascii="Times New Roman" w:hAnsi="Times New Roman" w:cs="Times New Roman"/>
          <w:b/>
          <w:sz w:val="24"/>
          <w:szCs w:val="24"/>
        </w:rPr>
        <w:t>Supplementary information</w:t>
      </w:r>
    </w:p>
    <w:p w14:paraId="1FF5A607" w14:textId="77777777" w:rsidR="00CB2673" w:rsidRPr="00D934A7" w:rsidRDefault="00CB2673" w:rsidP="00DA44E1">
      <w:pPr>
        <w:pStyle w:val="EndNoteBibliography"/>
        <w:ind w:left="720" w:hanging="720"/>
        <w:rPr>
          <w:noProof/>
        </w:rPr>
      </w:pPr>
      <w:r w:rsidRPr="00D934A7">
        <w:rPr>
          <w:noProof/>
        </w:rPr>
        <w:t>1</w:t>
      </w:r>
      <w:r w:rsidRPr="00D934A7">
        <w:rPr>
          <w:noProof/>
        </w:rPr>
        <w:tab/>
        <w:t xml:space="preserve">Ovchinnikov, D. A., Deng, J. M., Ogunrinu, G. &amp; Behringer, R. R. Col2a1-directed expression of Cre recombinase in differentiating chondrocytes in transgenic mice. </w:t>
      </w:r>
      <w:r w:rsidRPr="00D934A7">
        <w:rPr>
          <w:i/>
          <w:noProof/>
        </w:rPr>
        <w:t>Genesis</w:t>
      </w:r>
      <w:r w:rsidRPr="00D934A7">
        <w:rPr>
          <w:noProof/>
        </w:rPr>
        <w:t xml:space="preserve"> </w:t>
      </w:r>
      <w:r w:rsidRPr="00D934A7">
        <w:rPr>
          <w:b/>
          <w:noProof/>
        </w:rPr>
        <w:t>26</w:t>
      </w:r>
      <w:r w:rsidRPr="00D934A7">
        <w:rPr>
          <w:noProof/>
        </w:rPr>
        <w:t>, 145-146 (2000).</w:t>
      </w:r>
    </w:p>
    <w:p w14:paraId="2DEF2E17" w14:textId="77777777" w:rsidR="00CB2673" w:rsidRPr="00D934A7" w:rsidRDefault="00CB2673" w:rsidP="00DA44E1">
      <w:pPr>
        <w:pStyle w:val="EndNoteBibliography"/>
        <w:ind w:left="720" w:hanging="720"/>
        <w:rPr>
          <w:noProof/>
        </w:rPr>
      </w:pPr>
      <w:r w:rsidRPr="00D934A7">
        <w:rPr>
          <w:noProof/>
        </w:rPr>
        <w:t>2</w:t>
      </w:r>
      <w:r w:rsidRPr="00D934A7">
        <w:rPr>
          <w:noProof/>
        </w:rPr>
        <w:tab/>
        <w:t>Naoe, Y.</w:t>
      </w:r>
      <w:r w:rsidRPr="00D934A7">
        <w:rPr>
          <w:i/>
          <w:noProof/>
        </w:rPr>
        <w:t xml:space="preserve"> et al.</w:t>
      </w:r>
      <w:r w:rsidRPr="00D934A7">
        <w:rPr>
          <w:noProof/>
        </w:rPr>
        <w:t xml:space="preserve"> Repression of interleukin-4 in T helper type 1 cells by Runx/Cbf beta binding to the Il4 silencer. </w:t>
      </w:r>
      <w:r w:rsidRPr="00D934A7">
        <w:rPr>
          <w:i/>
          <w:noProof/>
        </w:rPr>
        <w:t>J Exp Med</w:t>
      </w:r>
      <w:r w:rsidRPr="00D934A7">
        <w:rPr>
          <w:noProof/>
        </w:rPr>
        <w:t xml:space="preserve"> </w:t>
      </w:r>
      <w:r w:rsidRPr="00D934A7">
        <w:rPr>
          <w:b/>
          <w:noProof/>
        </w:rPr>
        <w:t>204</w:t>
      </w:r>
      <w:r w:rsidRPr="00D934A7">
        <w:rPr>
          <w:noProof/>
        </w:rPr>
        <w:t>, 1749-1755, (2007).</w:t>
      </w:r>
    </w:p>
    <w:p w14:paraId="4BC7F023" w14:textId="77777777" w:rsidR="00CB2673" w:rsidRPr="00D934A7" w:rsidRDefault="00CB2673" w:rsidP="00DA44E1">
      <w:pPr>
        <w:pStyle w:val="EndNoteBibliography"/>
        <w:ind w:left="720" w:hanging="720"/>
        <w:rPr>
          <w:noProof/>
        </w:rPr>
      </w:pPr>
      <w:r w:rsidRPr="00D934A7">
        <w:rPr>
          <w:noProof/>
        </w:rPr>
        <w:t>3</w:t>
      </w:r>
      <w:r w:rsidRPr="00D934A7">
        <w:rPr>
          <w:noProof/>
        </w:rPr>
        <w:tab/>
        <w:t>Kozhemyakina, E.</w:t>
      </w:r>
      <w:r w:rsidRPr="00D934A7">
        <w:rPr>
          <w:i/>
          <w:noProof/>
        </w:rPr>
        <w:t xml:space="preserve"> et al.</w:t>
      </w:r>
      <w:r w:rsidRPr="00D934A7">
        <w:rPr>
          <w:noProof/>
        </w:rPr>
        <w:t xml:space="preserve"> Identification of a Prg4-expressing articular cartilage progenitor cell population in mice. </w:t>
      </w:r>
      <w:r w:rsidRPr="00D934A7">
        <w:rPr>
          <w:i/>
          <w:noProof/>
        </w:rPr>
        <w:t>Arthritis Rheumatol</w:t>
      </w:r>
      <w:r w:rsidRPr="00D934A7">
        <w:rPr>
          <w:noProof/>
        </w:rPr>
        <w:t xml:space="preserve"> </w:t>
      </w:r>
      <w:r w:rsidRPr="00D934A7">
        <w:rPr>
          <w:b/>
          <w:noProof/>
        </w:rPr>
        <w:t>67</w:t>
      </w:r>
      <w:r w:rsidRPr="00D934A7">
        <w:rPr>
          <w:noProof/>
        </w:rPr>
        <w:t>, 1261-1273, (2015).</w:t>
      </w:r>
    </w:p>
    <w:p w14:paraId="50544901" w14:textId="77777777" w:rsidR="00CB2673" w:rsidRPr="00D934A7" w:rsidRDefault="00CB2673" w:rsidP="00DA44E1">
      <w:pPr>
        <w:pStyle w:val="EndNoteBibliography"/>
        <w:ind w:left="720" w:hanging="720"/>
        <w:rPr>
          <w:noProof/>
        </w:rPr>
      </w:pPr>
      <w:r w:rsidRPr="00D934A7">
        <w:rPr>
          <w:noProof/>
        </w:rPr>
        <w:t>4</w:t>
      </w:r>
      <w:r w:rsidRPr="00D934A7">
        <w:rPr>
          <w:noProof/>
        </w:rPr>
        <w:tab/>
        <w:t>Chen, M.</w:t>
      </w:r>
      <w:r w:rsidRPr="00D934A7">
        <w:rPr>
          <w:i/>
          <w:noProof/>
        </w:rPr>
        <w:t xml:space="preserve"> et al.</w:t>
      </w:r>
      <w:r w:rsidRPr="00D934A7">
        <w:rPr>
          <w:noProof/>
        </w:rPr>
        <w:t xml:space="preserve"> Generation of a transgenic mouse model with chondrocyte-specific and tamoxifen-inducible expression of Cre recombinase. </w:t>
      </w:r>
      <w:r w:rsidRPr="00D934A7">
        <w:rPr>
          <w:i/>
          <w:noProof/>
        </w:rPr>
        <w:t>Genesis</w:t>
      </w:r>
      <w:r w:rsidRPr="00D934A7">
        <w:rPr>
          <w:noProof/>
        </w:rPr>
        <w:t xml:space="preserve"> </w:t>
      </w:r>
      <w:r w:rsidRPr="00D934A7">
        <w:rPr>
          <w:b/>
          <w:noProof/>
        </w:rPr>
        <w:t>45</w:t>
      </w:r>
      <w:r w:rsidRPr="00D934A7">
        <w:rPr>
          <w:noProof/>
        </w:rPr>
        <w:t>, 44-50, (2007).</w:t>
      </w:r>
    </w:p>
    <w:p w14:paraId="4C81807B" w14:textId="77777777" w:rsidR="00CB2673" w:rsidRPr="00D934A7" w:rsidRDefault="00CB2673" w:rsidP="00DA44E1">
      <w:pPr>
        <w:pStyle w:val="EndNoteBibliography"/>
        <w:ind w:left="720" w:hanging="720"/>
        <w:rPr>
          <w:noProof/>
        </w:rPr>
      </w:pPr>
      <w:r w:rsidRPr="00D934A7">
        <w:rPr>
          <w:noProof/>
        </w:rPr>
        <w:t>5</w:t>
      </w:r>
      <w:r w:rsidRPr="00D934A7">
        <w:rPr>
          <w:noProof/>
        </w:rPr>
        <w:tab/>
        <w:t>Kamekura, S.</w:t>
      </w:r>
      <w:r w:rsidRPr="00D934A7">
        <w:rPr>
          <w:i/>
          <w:noProof/>
        </w:rPr>
        <w:t xml:space="preserve"> et al.</w:t>
      </w:r>
      <w:r w:rsidRPr="00D934A7">
        <w:rPr>
          <w:noProof/>
        </w:rPr>
        <w:t xml:space="preserve"> Osteoarthritis development in novel experimental mouse models induced by knee joint instability. </w:t>
      </w:r>
      <w:r w:rsidRPr="00D934A7">
        <w:rPr>
          <w:i/>
          <w:noProof/>
        </w:rPr>
        <w:t>Osteoarthritis Cartilage</w:t>
      </w:r>
      <w:r w:rsidRPr="00D934A7">
        <w:rPr>
          <w:noProof/>
        </w:rPr>
        <w:t xml:space="preserve"> </w:t>
      </w:r>
      <w:r w:rsidRPr="00D934A7">
        <w:rPr>
          <w:b/>
          <w:noProof/>
        </w:rPr>
        <w:t>13</w:t>
      </w:r>
      <w:r w:rsidRPr="00D934A7">
        <w:rPr>
          <w:noProof/>
        </w:rPr>
        <w:t>, 632-641, (2005).</w:t>
      </w:r>
    </w:p>
    <w:p w14:paraId="1F2AD5B6" w14:textId="77777777" w:rsidR="00CB2673" w:rsidRPr="00D934A7" w:rsidRDefault="00CB2673" w:rsidP="00DA44E1">
      <w:pPr>
        <w:pStyle w:val="EndNoteBibliography"/>
        <w:ind w:left="720" w:hanging="720"/>
        <w:rPr>
          <w:noProof/>
        </w:rPr>
      </w:pPr>
      <w:r w:rsidRPr="00D934A7">
        <w:rPr>
          <w:noProof/>
        </w:rPr>
        <w:t>6</w:t>
      </w:r>
      <w:r w:rsidRPr="00D934A7">
        <w:rPr>
          <w:noProof/>
        </w:rPr>
        <w:tab/>
        <w:t xml:space="preserve">Glasson, S. S., Blanchet, T. J. &amp; Morris, E. A. The surgical destabilization of the medial meniscus (DMM) model of osteoarthritis in the 129/SvEv mouse. </w:t>
      </w:r>
      <w:r w:rsidRPr="00D934A7">
        <w:rPr>
          <w:i/>
          <w:noProof/>
        </w:rPr>
        <w:t>Osteoarthritis Cartilage</w:t>
      </w:r>
      <w:r w:rsidRPr="00D934A7">
        <w:rPr>
          <w:noProof/>
        </w:rPr>
        <w:t xml:space="preserve"> </w:t>
      </w:r>
      <w:r w:rsidRPr="00D934A7">
        <w:rPr>
          <w:b/>
          <w:noProof/>
        </w:rPr>
        <w:t>15</w:t>
      </w:r>
      <w:r w:rsidRPr="00D934A7">
        <w:rPr>
          <w:noProof/>
        </w:rPr>
        <w:t>, 1061-1069, (2007).</w:t>
      </w:r>
    </w:p>
    <w:p w14:paraId="49557797" w14:textId="77777777" w:rsidR="00CB2673" w:rsidRPr="00D934A7" w:rsidRDefault="00CB2673" w:rsidP="00DA44E1">
      <w:pPr>
        <w:pStyle w:val="EndNoteBibliography"/>
        <w:ind w:left="720" w:hanging="720"/>
        <w:rPr>
          <w:noProof/>
        </w:rPr>
      </w:pPr>
      <w:r w:rsidRPr="00D934A7">
        <w:rPr>
          <w:noProof/>
        </w:rPr>
        <w:t>7</w:t>
      </w:r>
      <w:r w:rsidRPr="00D934A7">
        <w:rPr>
          <w:noProof/>
        </w:rPr>
        <w:tab/>
        <w:t xml:space="preserve">Glasson, S. S., Chambers, M. G., Van Den Berg, W. B. &amp; Little, C. B. The OARSI histopathology initiative - recommendations for histological assessments of osteoarthritis in the mouse. </w:t>
      </w:r>
      <w:r w:rsidRPr="00D934A7">
        <w:rPr>
          <w:i/>
          <w:noProof/>
        </w:rPr>
        <w:t>Osteoarthritis Cartilage</w:t>
      </w:r>
      <w:r w:rsidRPr="00D934A7">
        <w:rPr>
          <w:noProof/>
        </w:rPr>
        <w:t xml:space="preserve"> </w:t>
      </w:r>
      <w:r w:rsidRPr="00D934A7">
        <w:rPr>
          <w:b/>
          <w:noProof/>
        </w:rPr>
        <w:t>18 Suppl 3</w:t>
      </w:r>
      <w:r w:rsidRPr="00D934A7">
        <w:rPr>
          <w:noProof/>
        </w:rPr>
        <w:t>, S17-23, (2010).</w:t>
      </w:r>
    </w:p>
    <w:p w14:paraId="6ED9B8D7" w14:textId="77777777" w:rsidR="00CB2673" w:rsidRPr="00D934A7" w:rsidRDefault="00CB2673" w:rsidP="00DA44E1">
      <w:pPr>
        <w:pStyle w:val="EndNoteBibliography"/>
        <w:ind w:left="720" w:hanging="720"/>
        <w:rPr>
          <w:noProof/>
        </w:rPr>
      </w:pPr>
      <w:r w:rsidRPr="00D934A7">
        <w:rPr>
          <w:noProof/>
        </w:rPr>
        <w:t>8</w:t>
      </w:r>
      <w:r w:rsidRPr="00D934A7">
        <w:rPr>
          <w:noProof/>
        </w:rPr>
        <w:tab/>
        <w:t xml:space="preserve">Gosset, M., Berenbaum, F., Thirion, S. &amp; Jacques, C. Primary culture and phenotyping of murine chondrocytes. </w:t>
      </w:r>
      <w:r w:rsidRPr="00D934A7">
        <w:rPr>
          <w:i/>
          <w:noProof/>
        </w:rPr>
        <w:t>Nat Protoc</w:t>
      </w:r>
      <w:r w:rsidRPr="00D934A7">
        <w:rPr>
          <w:noProof/>
        </w:rPr>
        <w:t xml:space="preserve"> </w:t>
      </w:r>
      <w:r w:rsidRPr="00D934A7">
        <w:rPr>
          <w:b/>
          <w:noProof/>
        </w:rPr>
        <w:t>3</w:t>
      </w:r>
      <w:r w:rsidRPr="00D934A7">
        <w:rPr>
          <w:noProof/>
        </w:rPr>
        <w:t>, 1253-1260, (2008).</w:t>
      </w:r>
    </w:p>
    <w:p w14:paraId="3194F9E8" w14:textId="77777777" w:rsidR="00CB2673" w:rsidRPr="00D934A7" w:rsidRDefault="00CB2673" w:rsidP="00DA44E1">
      <w:pPr>
        <w:pStyle w:val="EndNoteBibliography"/>
        <w:ind w:left="720" w:hanging="720"/>
        <w:rPr>
          <w:noProof/>
        </w:rPr>
      </w:pPr>
      <w:r w:rsidRPr="00D934A7">
        <w:rPr>
          <w:noProof/>
        </w:rPr>
        <w:t>9</w:t>
      </w:r>
      <w:r w:rsidRPr="00D934A7">
        <w:rPr>
          <w:noProof/>
        </w:rPr>
        <w:tab/>
        <w:t>Yasuhara, R.</w:t>
      </w:r>
      <w:r w:rsidRPr="00D934A7">
        <w:rPr>
          <w:i/>
          <w:noProof/>
        </w:rPr>
        <w:t xml:space="preserve"> et al.</w:t>
      </w:r>
      <w:r w:rsidRPr="00D934A7">
        <w:rPr>
          <w:noProof/>
        </w:rPr>
        <w:t xml:space="preserve"> Roles of beta-catenin signaling in phenotypic expression and proliferation of articular cartilage superficial zone cells. </w:t>
      </w:r>
      <w:r w:rsidRPr="00D934A7">
        <w:rPr>
          <w:i/>
          <w:noProof/>
        </w:rPr>
        <w:t>Lab Invest</w:t>
      </w:r>
      <w:r w:rsidRPr="00D934A7">
        <w:rPr>
          <w:noProof/>
        </w:rPr>
        <w:t xml:space="preserve"> </w:t>
      </w:r>
      <w:r w:rsidRPr="00D934A7">
        <w:rPr>
          <w:b/>
          <w:noProof/>
        </w:rPr>
        <w:t>91</w:t>
      </w:r>
      <w:r w:rsidRPr="00D934A7">
        <w:rPr>
          <w:noProof/>
        </w:rPr>
        <w:t>, 1739-1752, (2011).</w:t>
      </w:r>
    </w:p>
    <w:p w14:paraId="3B43FF0A" w14:textId="77777777" w:rsidR="00CB2673" w:rsidRPr="00D934A7" w:rsidRDefault="00CB2673" w:rsidP="00DA44E1">
      <w:pPr>
        <w:pStyle w:val="EndNoteBibliography"/>
        <w:ind w:left="720" w:hanging="720"/>
        <w:rPr>
          <w:noProof/>
        </w:rPr>
      </w:pPr>
      <w:r w:rsidRPr="00D934A7">
        <w:rPr>
          <w:noProof/>
        </w:rPr>
        <w:t>10</w:t>
      </w:r>
      <w:r w:rsidRPr="00D934A7">
        <w:rPr>
          <w:noProof/>
        </w:rPr>
        <w:tab/>
        <w:t>Peterson, K. A.</w:t>
      </w:r>
      <w:r w:rsidRPr="00D934A7">
        <w:rPr>
          <w:i/>
          <w:noProof/>
        </w:rPr>
        <w:t xml:space="preserve"> et al.</w:t>
      </w:r>
      <w:r w:rsidRPr="00D934A7">
        <w:rPr>
          <w:noProof/>
        </w:rPr>
        <w:t xml:space="preserve"> Neural-specific Sox2 input and differential Gli-binding affinity provide context and positional information in Shh-directed neural patterning. </w:t>
      </w:r>
      <w:r w:rsidRPr="00D934A7">
        <w:rPr>
          <w:i/>
          <w:noProof/>
        </w:rPr>
        <w:t>Genes Dev</w:t>
      </w:r>
      <w:r w:rsidRPr="00D934A7">
        <w:rPr>
          <w:noProof/>
        </w:rPr>
        <w:t xml:space="preserve"> </w:t>
      </w:r>
      <w:r w:rsidRPr="00D934A7">
        <w:rPr>
          <w:b/>
          <w:noProof/>
        </w:rPr>
        <w:t>26</w:t>
      </w:r>
      <w:r w:rsidRPr="00D934A7">
        <w:rPr>
          <w:noProof/>
        </w:rPr>
        <w:t>, 2802-2816, (2012).</w:t>
      </w:r>
    </w:p>
    <w:p w14:paraId="3A9C0098" w14:textId="77777777" w:rsidR="00CB2673" w:rsidRPr="00D934A7" w:rsidRDefault="00CB2673" w:rsidP="00DA44E1">
      <w:pPr>
        <w:pStyle w:val="EndNoteBibliography"/>
        <w:ind w:left="720" w:hanging="720"/>
        <w:rPr>
          <w:noProof/>
        </w:rPr>
      </w:pPr>
      <w:r w:rsidRPr="00D934A7">
        <w:rPr>
          <w:noProof/>
        </w:rPr>
        <w:t>11</w:t>
      </w:r>
      <w:r w:rsidRPr="00D934A7">
        <w:rPr>
          <w:noProof/>
        </w:rPr>
        <w:tab/>
        <w:t xml:space="preserve">Ohba, S., He, X., Hojo, H. &amp; McMahon, A. P. Distinct Transcriptional Programs Underlie Sox9 Regulation of the Mammalian Chondrocyte. </w:t>
      </w:r>
      <w:r w:rsidRPr="00D934A7">
        <w:rPr>
          <w:i/>
          <w:noProof/>
        </w:rPr>
        <w:t>Cell Rep</w:t>
      </w:r>
      <w:r w:rsidRPr="00D934A7">
        <w:rPr>
          <w:noProof/>
        </w:rPr>
        <w:t xml:space="preserve"> </w:t>
      </w:r>
      <w:r w:rsidRPr="00D934A7">
        <w:rPr>
          <w:b/>
          <w:noProof/>
        </w:rPr>
        <w:t>12</w:t>
      </w:r>
      <w:r w:rsidRPr="00D934A7">
        <w:rPr>
          <w:noProof/>
        </w:rPr>
        <w:t>, 229-243, (2015).</w:t>
      </w:r>
    </w:p>
    <w:p w14:paraId="0DCF9885" w14:textId="77777777" w:rsidR="00CB2673" w:rsidRPr="00D934A7" w:rsidRDefault="00CB2673" w:rsidP="00DA44E1">
      <w:pPr>
        <w:pStyle w:val="EndNoteBibliography"/>
        <w:ind w:left="720" w:hanging="720"/>
        <w:rPr>
          <w:noProof/>
        </w:rPr>
      </w:pPr>
      <w:r w:rsidRPr="00D934A7">
        <w:rPr>
          <w:noProof/>
        </w:rPr>
        <w:t>12</w:t>
      </w:r>
      <w:r w:rsidRPr="00D934A7">
        <w:rPr>
          <w:noProof/>
        </w:rPr>
        <w:tab/>
        <w:t xml:space="preserve">Hojo, H., Ohba, S., He, X., Lai, L. P. &amp; McMahon, A. P. Sp7/Osterix Is Restricted to Bone-Forming Vertebrates where It Acts as a Dlx Co-factor in Osteoblast Specification. </w:t>
      </w:r>
      <w:r w:rsidRPr="00D934A7">
        <w:rPr>
          <w:i/>
          <w:noProof/>
        </w:rPr>
        <w:t>Dev Cell</w:t>
      </w:r>
      <w:r w:rsidRPr="00D934A7">
        <w:rPr>
          <w:noProof/>
        </w:rPr>
        <w:t xml:space="preserve"> </w:t>
      </w:r>
      <w:r w:rsidRPr="00D934A7">
        <w:rPr>
          <w:b/>
          <w:noProof/>
        </w:rPr>
        <w:t>37</w:t>
      </w:r>
      <w:r w:rsidRPr="00D934A7">
        <w:rPr>
          <w:noProof/>
        </w:rPr>
        <w:t>, 238-253, (2016).</w:t>
      </w:r>
    </w:p>
    <w:p w14:paraId="701ADCDD" w14:textId="77777777" w:rsidR="00CB2673" w:rsidRPr="00D934A7" w:rsidRDefault="00CB2673" w:rsidP="00DA44E1">
      <w:pPr>
        <w:pStyle w:val="EndNoteBibliography"/>
        <w:ind w:left="720" w:hanging="720"/>
        <w:rPr>
          <w:noProof/>
        </w:rPr>
      </w:pPr>
      <w:r w:rsidRPr="00D934A7">
        <w:rPr>
          <w:noProof/>
        </w:rPr>
        <w:t>13</w:t>
      </w:r>
      <w:r w:rsidRPr="00D934A7">
        <w:rPr>
          <w:noProof/>
        </w:rPr>
        <w:tab/>
        <w:t xml:space="preserve">Langmead, B., Trapnell, C., Pop, M. &amp; Salzberg, S. L. Ultrafast and memory-efficient alignment of short DNA sequences to the human genome. </w:t>
      </w:r>
      <w:r w:rsidRPr="00D934A7">
        <w:rPr>
          <w:i/>
          <w:noProof/>
        </w:rPr>
        <w:t>Genome Biol</w:t>
      </w:r>
      <w:r w:rsidRPr="00D934A7">
        <w:rPr>
          <w:noProof/>
        </w:rPr>
        <w:t xml:space="preserve"> </w:t>
      </w:r>
      <w:r w:rsidRPr="00D934A7">
        <w:rPr>
          <w:b/>
          <w:noProof/>
        </w:rPr>
        <w:t>10</w:t>
      </w:r>
      <w:r w:rsidRPr="00D934A7">
        <w:rPr>
          <w:noProof/>
        </w:rPr>
        <w:t>, R25, (2009).</w:t>
      </w:r>
    </w:p>
    <w:p w14:paraId="5197ED1D" w14:textId="77777777" w:rsidR="00CB2673" w:rsidRPr="00D934A7" w:rsidRDefault="00CB2673" w:rsidP="00DA44E1">
      <w:pPr>
        <w:pStyle w:val="EndNoteBibliography"/>
        <w:ind w:left="720" w:hanging="720"/>
        <w:rPr>
          <w:noProof/>
        </w:rPr>
      </w:pPr>
      <w:r w:rsidRPr="00D934A7">
        <w:rPr>
          <w:noProof/>
        </w:rPr>
        <w:t>14</w:t>
      </w:r>
      <w:r w:rsidRPr="00D934A7">
        <w:rPr>
          <w:noProof/>
        </w:rPr>
        <w:tab/>
        <w:t>McLean, C. Y.</w:t>
      </w:r>
      <w:r w:rsidRPr="00D934A7">
        <w:rPr>
          <w:i/>
          <w:noProof/>
        </w:rPr>
        <w:t xml:space="preserve"> et al.</w:t>
      </w:r>
      <w:r w:rsidRPr="00D934A7">
        <w:rPr>
          <w:noProof/>
        </w:rPr>
        <w:t xml:space="preserve"> GREAT improves functional interpretation of cis-regulatory </w:t>
      </w:r>
      <w:r w:rsidRPr="00D934A7">
        <w:rPr>
          <w:noProof/>
        </w:rPr>
        <w:lastRenderedPageBreak/>
        <w:t xml:space="preserve">regions. </w:t>
      </w:r>
      <w:r w:rsidRPr="00D934A7">
        <w:rPr>
          <w:i/>
          <w:noProof/>
        </w:rPr>
        <w:t>Nat Biotechnol</w:t>
      </w:r>
      <w:r w:rsidRPr="00D934A7">
        <w:rPr>
          <w:noProof/>
        </w:rPr>
        <w:t xml:space="preserve"> </w:t>
      </w:r>
      <w:r w:rsidRPr="00D934A7">
        <w:rPr>
          <w:b/>
          <w:noProof/>
        </w:rPr>
        <w:t>28</w:t>
      </w:r>
      <w:r w:rsidRPr="00D934A7">
        <w:rPr>
          <w:noProof/>
        </w:rPr>
        <w:t>, 495-501, (2010).</w:t>
      </w:r>
    </w:p>
    <w:p w14:paraId="4C7061DA" w14:textId="77777777" w:rsidR="002A4A9D" w:rsidRDefault="00CB2673" w:rsidP="00CB2673">
      <w:pPr>
        <w:pStyle w:val="EndNoteBibliography"/>
        <w:ind w:left="720" w:hanging="720"/>
        <w:rPr>
          <w:noProof/>
        </w:rPr>
      </w:pPr>
      <w:r w:rsidRPr="00D934A7">
        <w:rPr>
          <w:noProof/>
        </w:rPr>
        <w:t>15</w:t>
      </w:r>
      <w:r w:rsidRPr="00D934A7">
        <w:rPr>
          <w:noProof/>
        </w:rPr>
        <w:tab/>
        <w:t>Bailey, T. L.</w:t>
      </w:r>
      <w:r w:rsidRPr="00D934A7">
        <w:rPr>
          <w:i/>
          <w:noProof/>
        </w:rPr>
        <w:t xml:space="preserve"> et al.</w:t>
      </w:r>
      <w:r w:rsidRPr="00D934A7">
        <w:rPr>
          <w:noProof/>
        </w:rPr>
        <w:t xml:space="preserve"> MEME SUITE: tools for motif discovery and searching. </w:t>
      </w:r>
      <w:r w:rsidRPr="00D934A7">
        <w:rPr>
          <w:i/>
          <w:noProof/>
        </w:rPr>
        <w:t>Nucleic Acids Res</w:t>
      </w:r>
      <w:r w:rsidRPr="00D934A7">
        <w:rPr>
          <w:noProof/>
        </w:rPr>
        <w:t xml:space="preserve"> </w:t>
      </w:r>
      <w:r w:rsidRPr="00D934A7">
        <w:rPr>
          <w:b/>
          <w:noProof/>
        </w:rPr>
        <w:t>37</w:t>
      </w:r>
      <w:r w:rsidRPr="00D934A7">
        <w:rPr>
          <w:noProof/>
        </w:rPr>
        <w:t>, W202-208, (2009).</w:t>
      </w:r>
    </w:p>
    <w:sectPr w:rsidR="002A4A9D" w:rsidSect="000601FF">
      <w:headerReference w:type="even" r:id="rId7"/>
      <w:footerReference w:type="even" r:id="rId8"/>
      <w:footerReference w:type="default" r:id="rId9"/>
      <w:pgSz w:w="11900" w:h="16840"/>
      <w:pgMar w:top="1985" w:right="1701" w:bottom="1701" w:left="1701" w:header="851" w:footer="992" w:gutter="0"/>
      <w:lnNumType w:countBy="1" w:restart="continuous"/>
      <w:cols w:space="425"/>
      <w:docGrid w:type="lines" w:linePitch="3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598AD7" w14:textId="77777777" w:rsidR="00B268B4" w:rsidRDefault="00B268B4">
      <w:r>
        <w:separator/>
      </w:r>
    </w:p>
  </w:endnote>
  <w:endnote w:type="continuationSeparator" w:id="0">
    <w:p w14:paraId="631CDBDD" w14:textId="77777777" w:rsidR="00B268B4" w:rsidRDefault="00B268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平成明朝">
    <w:altName w:val="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12606" w14:textId="77777777" w:rsidR="00167902" w:rsidRDefault="00CB2673" w:rsidP="007355A5">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14:paraId="493C7478" w14:textId="77777777" w:rsidR="00167902" w:rsidRDefault="00B268B4">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9B316" w14:textId="77777777" w:rsidR="00167902" w:rsidRDefault="00CB2673" w:rsidP="007355A5">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separate"/>
    </w:r>
    <w:r w:rsidR="000054BD">
      <w:rPr>
        <w:rStyle w:val="af0"/>
        <w:noProof/>
      </w:rPr>
      <w:t>1</w:t>
    </w:r>
    <w:r>
      <w:rPr>
        <w:rStyle w:val="af0"/>
      </w:rPr>
      <w:fldChar w:fldCharType="end"/>
    </w:r>
  </w:p>
  <w:p w14:paraId="78C8148D" w14:textId="77777777" w:rsidR="00167902" w:rsidRDefault="00B268B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1BD59" w14:textId="77777777" w:rsidR="00B268B4" w:rsidRDefault="00B268B4">
      <w:r>
        <w:separator/>
      </w:r>
    </w:p>
  </w:footnote>
  <w:footnote w:type="continuationSeparator" w:id="0">
    <w:p w14:paraId="5BBB322F" w14:textId="77777777" w:rsidR="00B268B4" w:rsidRDefault="00B268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7C12C" w14:textId="77777777" w:rsidR="00167902" w:rsidRDefault="00CB2673">
    <w:pPr>
      <w:pStyle w:val="a7"/>
    </w:pPr>
    <w:r>
      <w:ptab w:relativeTo="margin" w:alignment="center" w:leader="none"/>
    </w:r>
    <w:r>
      <w:ptab w:relativeTo="margin" w:alignment="right" w:leader="none"/>
    </w:r>
  </w:p>
  <w:p w14:paraId="1F6AA30E" w14:textId="77777777" w:rsidR="00167902" w:rsidRDefault="00B268B4">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FF5312"/>
    <w:multiLevelType w:val="hybridMultilevel"/>
    <w:tmpl w:val="66288C08"/>
    <w:lvl w:ilvl="0" w:tplc="B55C1F38">
      <w:start w:val="1"/>
      <w:numFmt w:val="bullet"/>
      <w:lvlText w:val="•"/>
      <w:lvlJc w:val="left"/>
      <w:pPr>
        <w:tabs>
          <w:tab w:val="num" w:pos="720"/>
        </w:tabs>
        <w:ind w:left="720" w:hanging="360"/>
      </w:pPr>
      <w:rPr>
        <w:rFonts w:ascii="Arial" w:hAnsi="Arial" w:hint="default"/>
      </w:rPr>
    </w:lvl>
    <w:lvl w:ilvl="1" w:tplc="25DCDDE4" w:tentative="1">
      <w:start w:val="1"/>
      <w:numFmt w:val="bullet"/>
      <w:lvlText w:val="•"/>
      <w:lvlJc w:val="left"/>
      <w:pPr>
        <w:tabs>
          <w:tab w:val="num" w:pos="1440"/>
        </w:tabs>
        <w:ind w:left="1440" w:hanging="360"/>
      </w:pPr>
      <w:rPr>
        <w:rFonts w:ascii="Arial" w:hAnsi="Arial" w:hint="default"/>
      </w:rPr>
    </w:lvl>
    <w:lvl w:ilvl="2" w:tplc="2C30AE34" w:tentative="1">
      <w:start w:val="1"/>
      <w:numFmt w:val="bullet"/>
      <w:lvlText w:val="•"/>
      <w:lvlJc w:val="left"/>
      <w:pPr>
        <w:tabs>
          <w:tab w:val="num" w:pos="2160"/>
        </w:tabs>
        <w:ind w:left="2160" w:hanging="360"/>
      </w:pPr>
      <w:rPr>
        <w:rFonts w:ascii="Arial" w:hAnsi="Arial" w:hint="default"/>
      </w:rPr>
    </w:lvl>
    <w:lvl w:ilvl="3" w:tplc="7D14D3FC" w:tentative="1">
      <w:start w:val="1"/>
      <w:numFmt w:val="bullet"/>
      <w:lvlText w:val="•"/>
      <w:lvlJc w:val="left"/>
      <w:pPr>
        <w:tabs>
          <w:tab w:val="num" w:pos="2880"/>
        </w:tabs>
        <w:ind w:left="2880" w:hanging="360"/>
      </w:pPr>
      <w:rPr>
        <w:rFonts w:ascii="Arial" w:hAnsi="Arial" w:hint="default"/>
      </w:rPr>
    </w:lvl>
    <w:lvl w:ilvl="4" w:tplc="F7263584" w:tentative="1">
      <w:start w:val="1"/>
      <w:numFmt w:val="bullet"/>
      <w:lvlText w:val="•"/>
      <w:lvlJc w:val="left"/>
      <w:pPr>
        <w:tabs>
          <w:tab w:val="num" w:pos="3600"/>
        </w:tabs>
        <w:ind w:left="3600" w:hanging="360"/>
      </w:pPr>
      <w:rPr>
        <w:rFonts w:ascii="Arial" w:hAnsi="Arial" w:hint="default"/>
      </w:rPr>
    </w:lvl>
    <w:lvl w:ilvl="5" w:tplc="63148E26" w:tentative="1">
      <w:start w:val="1"/>
      <w:numFmt w:val="bullet"/>
      <w:lvlText w:val="•"/>
      <w:lvlJc w:val="left"/>
      <w:pPr>
        <w:tabs>
          <w:tab w:val="num" w:pos="4320"/>
        </w:tabs>
        <w:ind w:left="4320" w:hanging="360"/>
      </w:pPr>
      <w:rPr>
        <w:rFonts w:ascii="Arial" w:hAnsi="Arial" w:hint="default"/>
      </w:rPr>
    </w:lvl>
    <w:lvl w:ilvl="6" w:tplc="BF048FD2" w:tentative="1">
      <w:start w:val="1"/>
      <w:numFmt w:val="bullet"/>
      <w:lvlText w:val="•"/>
      <w:lvlJc w:val="left"/>
      <w:pPr>
        <w:tabs>
          <w:tab w:val="num" w:pos="5040"/>
        </w:tabs>
        <w:ind w:left="5040" w:hanging="360"/>
      </w:pPr>
      <w:rPr>
        <w:rFonts w:ascii="Arial" w:hAnsi="Arial" w:hint="default"/>
      </w:rPr>
    </w:lvl>
    <w:lvl w:ilvl="7" w:tplc="E046916E" w:tentative="1">
      <w:start w:val="1"/>
      <w:numFmt w:val="bullet"/>
      <w:lvlText w:val="•"/>
      <w:lvlJc w:val="left"/>
      <w:pPr>
        <w:tabs>
          <w:tab w:val="num" w:pos="5760"/>
        </w:tabs>
        <w:ind w:left="5760" w:hanging="360"/>
      </w:pPr>
      <w:rPr>
        <w:rFonts w:ascii="Arial" w:hAnsi="Arial" w:hint="default"/>
      </w:rPr>
    </w:lvl>
    <w:lvl w:ilvl="8" w:tplc="982A0918"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B0000D2"/>
    <w:multiLevelType w:val="hybridMultilevel"/>
    <w:tmpl w:val="4020654C"/>
    <w:lvl w:ilvl="0" w:tplc="A0B263F2">
      <w:start w:val="1"/>
      <w:numFmt w:val="bullet"/>
      <w:lvlText w:val="•"/>
      <w:lvlJc w:val="left"/>
      <w:pPr>
        <w:tabs>
          <w:tab w:val="num" w:pos="720"/>
        </w:tabs>
        <w:ind w:left="720" w:hanging="360"/>
      </w:pPr>
      <w:rPr>
        <w:rFonts w:ascii="Arial" w:hAnsi="Arial" w:hint="default"/>
      </w:rPr>
    </w:lvl>
    <w:lvl w:ilvl="1" w:tplc="C250F556" w:tentative="1">
      <w:start w:val="1"/>
      <w:numFmt w:val="bullet"/>
      <w:lvlText w:val="•"/>
      <w:lvlJc w:val="left"/>
      <w:pPr>
        <w:tabs>
          <w:tab w:val="num" w:pos="1440"/>
        </w:tabs>
        <w:ind w:left="1440" w:hanging="360"/>
      </w:pPr>
      <w:rPr>
        <w:rFonts w:ascii="Arial" w:hAnsi="Arial" w:hint="default"/>
      </w:rPr>
    </w:lvl>
    <w:lvl w:ilvl="2" w:tplc="ACA25EC6" w:tentative="1">
      <w:start w:val="1"/>
      <w:numFmt w:val="bullet"/>
      <w:lvlText w:val="•"/>
      <w:lvlJc w:val="left"/>
      <w:pPr>
        <w:tabs>
          <w:tab w:val="num" w:pos="2160"/>
        </w:tabs>
        <w:ind w:left="2160" w:hanging="360"/>
      </w:pPr>
      <w:rPr>
        <w:rFonts w:ascii="Arial" w:hAnsi="Arial" w:hint="default"/>
      </w:rPr>
    </w:lvl>
    <w:lvl w:ilvl="3" w:tplc="2968D48E" w:tentative="1">
      <w:start w:val="1"/>
      <w:numFmt w:val="bullet"/>
      <w:lvlText w:val="•"/>
      <w:lvlJc w:val="left"/>
      <w:pPr>
        <w:tabs>
          <w:tab w:val="num" w:pos="2880"/>
        </w:tabs>
        <w:ind w:left="2880" w:hanging="360"/>
      </w:pPr>
      <w:rPr>
        <w:rFonts w:ascii="Arial" w:hAnsi="Arial" w:hint="default"/>
      </w:rPr>
    </w:lvl>
    <w:lvl w:ilvl="4" w:tplc="F37A3178" w:tentative="1">
      <w:start w:val="1"/>
      <w:numFmt w:val="bullet"/>
      <w:lvlText w:val="•"/>
      <w:lvlJc w:val="left"/>
      <w:pPr>
        <w:tabs>
          <w:tab w:val="num" w:pos="3600"/>
        </w:tabs>
        <w:ind w:left="3600" w:hanging="360"/>
      </w:pPr>
      <w:rPr>
        <w:rFonts w:ascii="Arial" w:hAnsi="Arial" w:hint="default"/>
      </w:rPr>
    </w:lvl>
    <w:lvl w:ilvl="5" w:tplc="4676780E" w:tentative="1">
      <w:start w:val="1"/>
      <w:numFmt w:val="bullet"/>
      <w:lvlText w:val="•"/>
      <w:lvlJc w:val="left"/>
      <w:pPr>
        <w:tabs>
          <w:tab w:val="num" w:pos="4320"/>
        </w:tabs>
        <w:ind w:left="4320" w:hanging="360"/>
      </w:pPr>
      <w:rPr>
        <w:rFonts w:ascii="Arial" w:hAnsi="Arial" w:hint="default"/>
      </w:rPr>
    </w:lvl>
    <w:lvl w:ilvl="6" w:tplc="49CEF77E" w:tentative="1">
      <w:start w:val="1"/>
      <w:numFmt w:val="bullet"/>
      <w:lvlText w:val="•"/>
      <w:lvlJc w:val="left"/>
      <w:pPr>
        <w:tabs>
          <w:tab w:val="num" w:pos="5040"/>
        </w:tabs>
        <w:ind w:left="5040" w:hanging="360"/>
      </w:pPr>
      <w:rPr>
        <w:rFonts w:ascii="Arial" w:hAnsi="Arial" w:hint="default"/>
      </w:rPr>
    </w:lvl>
    <w:lvl w:ilvl="7" w:tplc="476ECF4A" w:tentative="1">
      <w:start w:val="1"/>
      <w:numFmt w:val="bullet"/>
      <w:lvlText w:val="•"/>
      <w:lvlJc w:val="left"/>
      <w:pPr>
        <w:tabs>
          <w:tab w:val="num" w:pos="5760"/>
        </w:tabs>
        <w:ind w:left="5760" w:hanging="360"/>
      </w:pPr>
      <w:rPr>
        <w:rFonts w:ascii="Arial" w:hAnsi="Arial" w:hint="default"/>
      </w:rPr>
    </w:lvl>
    <w:lvl w:ilvl="8" w:tplc="FDBCA62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3F74B38"/>
    <w:multiLevelType w:val="hybridMultilevel"/>
    <w:tmpl w:val="B91E622E"/>
    <w:lvl w:ilvl="0" w:tplc="E68E7F5C">
      <w:start w:val="1"/>
      <w:numFmt w:val="bullet"/>
      <w:lvlText w:val="•"/>
      <w:lvlJc w:val="left"/>
      <w:pPr>
        <w:tabs>
          <w:tab w:val="num" w:pos="720"/>
        </w:tabs>
        <w:ind w:left="720" w:hanging="360"/>
      </w:pPr>
      <w:rPr>
        <w:rFonts w:ascii="Arial" w:hAnsi="Arial" w:hint="default"/>
      </w:rPr>
    </w:lvl>
    <w:lvl w:ilvl="1" w:tplc="8062BF12" w:tentative="1">
      <w:start w:val="1"/>
      <w:numFmt w:val="bullet"/>
      <w:lvlText w:val="•"/>
      <w:lvlJc w:val="left"/>
      <w:pPr>
        <w:tabs>
          <w:tab w:val="num" w:pos="1440"/>
        </w:tabs>
        <w:ind w:left="1440" w:hanging="360"/>
      </w:pPr>
      <w:rPr>
        <w:rFonts w:ascii="Arial" w:hAnsi="Arial" w:hint="default"/>
      </w:rPr>
    </w:lvl>
    <w:lvl w:ilvl="2" w:tplc="D17AF6C8" w:tentative="1">
      <w:start w:val="1"/>
      <w:numFmt w:val="bullet"/>
      <w:lvlText w:val="•"/>
      <w:lvlJc w:val="left"/>
      <w:pPr>
        <w:tabs>
          <w:tab w:val="num" w:pos="2160"/>
        </w:tabs>
        <w:ind w:left="2160" w:hanging="360"/>
      </w:pPr>
      <w:rPr>
        <w:rFonts w:ascii="Arial" w:hAnsi="Arial" w:hint="default"/>
      </w:rPr>
    </w:lvl>
    <w:lvl w:ilvl="3" w:tplc="FC26E16A" w:tentative="1">
      <w:start w:val="1"/>
      <w:numFmt w:val="bullet"/>
      <w:lvlText w:val="•"/>
      <w:lvlJc w:val="left"/>
      <w:pPr>
        <w:tabs>
          <w:tab w:val="num" w:pos="2880"/>
        </w:tabs>
        <w:ind w:left="2880" w:hanging="360"/>
      </w:pPr>
      <w:rPr>
        <w:rFonts w:ascii="Arial" w:hAnsi="Arial" w:hint="default"/>
      </w:rPr>
    </w:lvl>
    <w:lvl w:ilvl="4" w:tplc="54D60372" w:tentative="1">
      <w:start w:val="1"/>
      <w:numFmt w:val="bullet"/>
      <w:lvlText w:val="•"/>
      <w:lvlJc w:val="left"/>
      <w:pPr>
        <w:tabs>
          <w:tab w:val="num" w:pos="3600"/>
        </w:tabs>
        <w:ind w:left="3600" w:hanging="360"/>
      </w:pPr>
      <w:rPr>
        <w:rFonts w:ascii="Arial" w:hAnsi="Arial" w:hint="default"/>
      </w:rPr>
    </w:lvl>
    <w:lvl w:ilvl="5" w:tplc="77E4C03C" w:tentative="1">
      <w:start w:val="1"/>
      <w:numFmt w:val="bullet"/>
      <w:lvlText w:val="•"/>
      <w:lvlJc w:val="left"/>
      <w:pPr>
        <w:tabs>
          <w:tab w:val="num" w:pos="4320"/>
        </w:tabs>
        <w:ind w:left="4320" w:hanging="360"/>
      </w:pPr>
      <w:rPr>
        <w:rFonts w:ascii="Arial" w:hAnsi="Arial" w:hint="default"/>
      </w:rPr>
    </w:lvl>
    <w:lvl w:ilvl="6" w:tplc="5B4E2952" w:tentative="1">
      <w:start w:val="1"/>
      <w:numFmt w:val="bullet"/>
      <w:lvlText w:val="•"/>
      <w:lvlJc w:val="left"/>
      <w:pPr>
        <w:tabs>
          <w:tab w:val="num" w:pos="5040"/>
        </w:tabs>
        <w:ind w:left="5040" w:hanging="360"/>
      </w:pPr>
      <w:rPr>
        <w:rFonts w:ascii="Arial" w:hAnsi="Arial" w:hint="default"/>
      </w:rPr>
    </w:lvl>
    <w:lvl w:ilvl="7" w:tplc="853CF23C" w:tentative="1">
      <w:start w:val="1"/>
      <w:numFmt w:val="bullet"/>
      <w:lvlText w:val="•"/>
      <w:lvlJc w:val="left"/>
      <w:pPr>
        <w:tabs>
          <w:tab w:val="num" w:pos="5760"/>
        </w:tabs>
        <w:ind w:left="5760" w:hanging="360"/>
      </w:pPr>
      <w:rPr>
        <w:rFonts w:ascii="Arial" w:hAnsi="Arial" w:hint="default"/>
      </w:rPr>
    </w:lvl>
    <w:lvl w:ilvl="8" w:tplc="9378FB8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8307B76"/>
    <w:multiLevelType w:val="hybridMultilevel"/>
    <w:tmpl w:val="5B24DF78"/>
    <w:lvl w:ilvl="0" w:tplc="C284E418">
      <w:start w:val="1"/>
      <w:numFmt w:val="bullet"/>
      <w:lvlText w:val="•"/>
      <w:lvlJc w:val="left"/>
      <w:pPr>
        <w:tabs>
          <w:tab w:val="num" w:pos="720"/>
        </w:tabs>
        <w:ind w:left="720" w:hanging="360"/>
      </w:pPr>
      <w:rPr>
        <w:rFonts w:ascii="Arial" w:hAnsi="Arial" w:hint="default"/>
      </w:rPr>
    </w:lvl>
    <w:lvl w:ilvl="1" w:tplc="2E106096" w:tentative="1">
      <w:start w:val="1"/>
      <w:numFmt w:val="bullet"/>
      <w:lvlText w:val="•"/>
      <w:lvlJc w:val="left"/>
      <w:pPr>
        <w:tabs>
          <w:tab w:val="num" w:pos="1440"/>
        </w:tabs>
        <w:ind w:left="1440" w:hanging="360"/>
      </w:pPr>
      <w:rPr>
        <w:rFonts w:ascii="Arial" w:hAnsi="Arial" w:hint="default"/>
      </w:rPr>
    </w:lvl>
    <w:lvl w:ilvl="2" w:tplc="DCD4588E" w:tentative="1">
      <w:start w:val="1"/>
      <w:numFmt w:val="bullet"/>
      <w:lvlText w:val="•"/>
      <w:lvlJc w:val="left"/>
      <w:pPr>
        <w:tabs>
          <w:tab w:val="num" w:pos="2160"/>
        </w:tabs>
        <w:ind w:left="2160" w:hanging="360"/>
      </w:pPr>
      <w:rPr>
        <w:rFonts w:ascii="Arial" w:hAnsi="Arial" w:hint="default"/>
      </w:rPr>
    </w:lvl>
    <w:lvl w:ilvl="3" w:tplc="96304010" w:tentative="1">
      <w:start w:val="1"/>
      <w:numFmt w:val="bullet"/>
      <w:lvlText w:val="•"/>
      <w:lvlJc w:val="left"/>
      <w:pPr>
        <w:tabs>
          <w:tab w:val="num" w:pos="2880"/>
        </w:tabs>
        <w:ind w:left="2880" w:hanging="360"/>
      </w:pPr>
      <w:rPr>
        <w:rFonts w:ascii="Arial" w:hAnsi="Arial" w:hint="default"/>
      </w:rPr>
    </w:lvl>
    <w:lvl w:ilvl="4" w:tplc="108AC34A" w:tentative="1">
      <w:start w:val="1"/>
      <w:numFmt w:val="bullet"/>
      <w:lvlText w:val="•"/>
      <w:lvlJc w:val="left"/>
      <w:pPr>
        <w:tabs>
          <w:tab w:val="num" w:pos="3600"/>
        </w:tabs>
        <w:ind w:left="3600" w:hanging="360"/>
      </w:pPr>
      <w:rPr>
        <w:rFonts w:ascii="Arial" w:hAnsi="Arial" w:hint="default"/>
      </w:rPr>
    </w:lvl>
    <w:lvl w:ilvl="5" w:tplc="6E60BACE" w:tentative="1">
      <w:start w:val="1"/>
      <w:numFmt w:val="bullet"/>
      <w:lvlText w:val="•"/>
      <w:lvlJc w:val="left"/>
      <w:pPr>
        <w:tabs>
          <w:tab w:val="num" w:pos="4320"/>
        </w:tabs>
        <w:ind w:left="4320" w:hanging="360"/>
      </w:pPr>
      <w:rPr>
        <w:rFonts w:ascii="Arial" w:hAnsi="Arial" w:hint="default"/>
      </w:rPr>
    </w:lvl>
    <w:lvl w:ilvl="6" w:tplc="16227E86" w:tentative="1">
      <w:start w:val="1"/>
      <w:numFmt w:val="bullet"/>
      <w:lvlText w:val="•"/>
      <w:lvlJc w:val="left"/>
      <w:pPr>
        <w:tabs>
          <w:tab w:val="num" w:pos="5040"/>
        </w:tabs>
        <w:ind w:left="5040" w:hanging="360"/>
      </w:pPr>
      <w:rPr>
        <w:rFonts w:ascii="Arial" w:hAnsi="Arial" w:hint="default"/>
      </w:rPr>
    </w:lvl>
    <w:lvl w:ilvl="7" w:tplc="55728F6A" w:tentative="1">
      <w:start w:val="1"/>
      <w:numFmt w:val="bullet"/>
      <w:lvlText w:val="•"/>
      <w:lvlJc w:val="left"/>
      <w:pPr>
        <w:tabs>
          <w:tab w:val="num" w:pos="5760"/>
        </w:tabs>
        <w:ind w:left="5760" w:hanging="360"/>
      </w:pPr>
      <w:rPr>
        <w:rFonts w:ascii="Arial" w:hAnsi="Arial" w:hint="default"/>
      </w:rPr>
    </w:lvl>
    <w:lvl w:ilvl="8" w:tplc="4DFC223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74052674"/>
    <w:multiLevelType w:val="hybridMultilevel"/>
    <w:tmpl w:val="D38AEA16"/>
    <w:lvl w:ilvl="0" w:tplc="56402A58">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960"/>
  <w:drawingGridHorizontalSpacing w:val="105"/>
  <w:drawingGridVerticalSpacing w:val="164"/>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CB2673"/>
    <w:rsid w:val="000054BD"/>
    <w:rsid w:val="002A4A9D"/>
    <w:rsid w:val="002C43EC"/>
    <w:rsid w:val="006F6ADA"/>
    <w:rsid w:val="00AD5D73"/>
    <w:rsid w:val="00B268B4"/>
    <w:rsid w:val="00CB2673"/>
    <w:rsid w:val="00DA4006"/>
    <w:rsid w:val="00EA00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3BE6DBF8"/>
  <w14:defaultImageDpi w14:val="300"/>
  <w15:docId w15:val="{9764F961-441D-431D-9438-851FD7280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2673"/>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CB2673"/>
  </w:style>
  <w:style w:type="paragraph" w:styleId="Web">
    <w:name w:val="Normal (Web)"/>
    <w:basedOn w:val="a"/>
    <w:uiPriority w:val="99"/>
    <w:semiHidden/>
    <w:unhideWhenUsed/>
    <w:rsid w:val="00CB2673"/>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4">
    <w:name w:val="Balloon Text"/>
    <w:basedOn w:val="a"/>
    <w:link w:val="a5"/>
    <w:uiPriority w:val="99"/>
    <w:semiHidden/>
    <w:unhideWhenUsed/>
    <w:rsid w:val="00CB267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CB2673"/>
    <w:rPr>
      <w:rFonts w:asciiTheme="majorHAnsi" w:eastAsiaTheme="majorEastAsia" w:hAnsiTheme="majorHAnsi" w:cstheme="majorBidi"/>
      <w:sz w:val="18"/>
      <w:szCs w:val="18"/>
    </w:rPr>
  </w:style>
  <w:style w:type="paragraph" w:styleId="a6">
    <w:name w:val="List Paragraph"/>
    <w:basedOn w:val="a"/>
    <w:uiPriority w:val="34"/>
    <w:qFormat/>
    <w:rsid w:val="00CB2673"/>
    <w:pPr>
      <w:widowControl/>
      <w:ind w:leftChars="400" w:left="840"/>
      <w:jc w:val="left"/>
    </w:pPr>
    <w:rPr>
      <w:rFonts w:ascii="ＭＳ Ｐゴシック" w:eastAsia="ＭＳ Ｐゴシック" w:hAnsi="ＭＳ Ｐゴシック" w:cs="ＭＳ Ｐゴシック"/>
      <w:kern w:val="0"/>
      <w:sz w:val="24"/>
      <w:szCs w:val="24"/>
    </w:rPr>
  </w:style>
  <w:style w:type="paragraph" w:styleId="a7">
    <w:name w:val="header"/>
    <w:basedOn w:val="a"/>
    <w:link w:val="a8"/>
    <w:uiPriority w:val="99"/>
    <w:unhideWhenUsed/>
    <w:rsid w:val="00CB2673"/>
    <w:pPr>
      <w:tabs>
        <w:tab w:val="center" w:pos="4252"/>
        <w:tab w:val="right" w:pos="8504"/>
      </w:tabs>
      <w:snapToGrid w:val="0"/>
    </w:pPr>
  </w:style>
  <w:style w:type="character" w:customStyle="1" w:styleId="a8">
    <w:name w:val="ヘッダー (文字)"/>
    <w:basedOn w:val="a0"/>
    <w:link w:val="a7"/>
    <w:uiPriority w:val="99"/>
    <w:rsid w:val="00CB2673"/>
    <w:rPr>
      <w:sz w:val="21"/>
      <w:szCs w:val="22"/>
    </w:rPr>
  </w:style>
  <w:style w:type="paragraph" w:styleId="a9">
    <w:name w:val="footer"/>
    <w:basedOn w:val="a"/>
    <w:link w:val="aa"/>
    <w:uiPriority w:val="99"/>
    <w:unhideWhenUsed/>
    <w:rsid w:val="00CB2673"/>
    <w:pPr>
      <w:tabs>
        <w:tab w:val="center" w:pos="4252"/>
        <w:tab w:val="right" w:pos="8504"/>
      </w:tabs>
      <w:snapToGrid w:val="0"/>
    </w:pPr>
  </w:style>
  <w:style w:type="character" w:customStyle="1" w:styleId="aa">
    <w:name w:val="フッター (文字)"/>
    <w:basedOn w:val="a0"/>
    <w:link w:val="a9"/>
    <w:uiPriority w:val="99"/>
    <w:rsid w:val="00CB2673"/>
    <w:rPr>
      <w:sz w:val="21"/>
      <w:szCs w:val="22"/>
    </w:rPr>
  </w:style>
  <w:style w:type="character" w:styleId="ab">
    <w:name w:val="annotation reference"/>
    <w:uiPriority w:val="99"/>
    <w:semiHidden/>
    <w:unhideWhenUsed/>
    <w:rsid w:val="00CB2673"/>
    <w:rPr>
      <w:sz w:val="18"/>
      <w:szCs w:val="18"/>
    </w:rPr>
  </w:style>
  <w:style w:type="paragraph" w:styleId="ac">
    <w:name w:val="annotation text"/>
    <w:basedOn w:val="a"/>
    <w:link w:val="ad"/>
    <w:uiPriority w:val="99"/>
    <w:unhideWhenUsed/>
    <w:rsid w:val="00CB2673"/>
    <w:pPr>
      <w:jc w:val="left"/>
    </w:pPr>
    <w:rPr>
      <w:rFonts w:ascii="Century" w:eastAsia="ＭＳ 明朝" w:hAnsi="Century" w:cs="Times New Roman"/>
    </w:rPr>
  </w:style>
  <w:style w:type="character" w:customStyle="1" w:styleId="ad">
    <w:name w:val="コメント文字列 (文字)"/>
    <w:basedOn w:val="a0"/>
    <w:link w:val="ac"/>
    <w:uiPriority w:val="99"/>
    <w:rsid w:val="00CB2673"/>
    <w:rPr>
      <w:rFonts w:ascii="Century" w:eastAsia="ＭＳ 明朝" w:hAnsi="Century" w:cs="Times New Roman"/>
      <w:sz w:val="21"/>
      <w:szCs w:val="22"/>
    </w:rPr>
  </w:style>
  <w:style w:type="paragraph" w:styleId="ae">
    <w:name w:val="annotation subject"/>
    <w:basedOn w:val="ac"/>
    <w:next w:val="ac"/>
    <w:link w:val="af"/>
    <w:uiPriority w:val="99"/>
    <w:semiHidden/>
    <w:unhideWhenUsed/>
    <w:rsid w:val="00CB2673"/>
    <w:rPr>
      <w:b/>
      <w:bCs/>
    </w:rPr>
  </w:style>
  <w:style w:type="character" w:customStyle="1" w:styleId="af">
    <w:name w:val="コメント内容 (文字)"/>
    <w:basedOn w:val="ad"/>
    <w:link w:val="ae"/>
    <w:uiPriority w:val="99"/>
    <w:semiHidden/>
    <w:rsid w:val="00CB2673"/>
    <w:rPr>
      <w:rFonts w:ascii="Century" w:eastAsia="ＭＳ 明朝" w:hAnsi="Century" w:cs="Times New Roman"/>
      <w:b/>
      <w:bCs/>
      <w:sz w:val="21"/>
      <w:szCs w:val="22"/>
    </w:rPr>
  </w:style>
  <w:style w:type="character" w:styleId="af0">
    <w:name w:val="page number"/>
    <w:basedOn w:val="a0"/>
    <w:uiPriority w:val="99"/>
    <w:semiHidden/>
    <w:unhideWhenUsed/>
    <w:rsid w:val="00CB2673"/>
  </w:style>
  <w:style w:type="paragraph" w:customStyle="1" w:styleId="EndNoteBibliography">
    <w:name w:val="EndNote Bibliography"/>
    <w:basedOn w:val="a"/>
    <w:rsid w:val="00CB2673"/>
    <w:rPr>
      <w:rFonts w:ascii="Century" w:hAnsi="Century"/>
      <w:sz w:val="20"/>
      <w:szCs w:val="24"/>
    </w:rPr>
  </w:style>
  <w:style w:type="paragraph" w:customStyle="1" w:styleId="EndNoteBibliographyTitle">
    <w:name w:val="EndNote Bibliography Title"/>
    <w:basedOn w:val="a"/>
    <w:rsid w:val="00CB2673"/>
    <w:pPr>
      <w:jc w:val="center"/>
    </w:pPr>
    <w:rPr>
      <w:rFonts w:ascii="Century" w:hAnsi="Century"/>
      <w:sz w:val="20"/>
    </w:rPr>
  </w:style>
  <w:style w:type="character" w:styleId="af1">
    <w:name w:val="Hyperlink"/>
    <w:basedOn w:val="a0"/>
    <w:uiPriority w:val="99"/>
    <w:unhideWhenUsed/>
    <w:rsid w:val="00CB2673"/>
    <w:rPr>
      <w:color w:val="0000FF" w:themeColor="hyperlink"/>
      <w:u w:val="single"/>
    </w:rPr>
  </w:style>
  <w:style w:type="paragraph" w:styleId="af2">
    <w:name w:val="Revision"/>
    <w:hidden/>
    <w:uiPriority w:val="99"/>
    <w:semiHidden/>
    <w:rsid w:val="00CB2673"/>
    <w:rPr>
      <w:sz w:val="21"/>
      <w:szCs w:val="22"/>
    </w:rPr>
  </w:style>
  <w:style w:type="paragraph" w:customStyle="1" w:styleId="PaperStyle">
    <w:name w:val="Paper Style"/>
    <w:basedOn w:val="a"/>
    <w:uiPriority w:val="99"/>
    <w:rsid w:val="00CB2673"/>
    <w:pPr>
      <w:widowControl/>
      <w:overflowPunct w:val="0"/>
      <w:autoSpaceDE w:val="0"/>
      <w:autoSpaceDN w:val="0"/>
      <w:adjustRightInd w:val="0"/>
      <w:spacing w:line="480" w:lineRule="auto"/>
      <w:jc w:val="left"/>
      <w:textAlignment w:val="baseline"/>
    </w:pPr>
    <w:rPr>
      <w:rFonts w:ascii="Times New Roman" w:eastAsia="平成明朝" w:hAnsi="Times New Roman"/>
      <w:noProof/>
      <w:kern w:val="0"/>
      <w:sz w:val="24"/>
      <w:szCs w:val="21"/>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2430</Words>
  <Characters>13856</Characters>
  <Application>Microsoft Office Word</Application>
  <DocSecurity>0</DocSecurity>
  <Lines>115</Lines>
  <Paragraphs>32</Paragraphs>
  <ScaleCrop>false</ScaleCrop>
  <Company/>
  <LinksUpToDate>false</LinksUpToDate>
  <CharactersWithSpaces>16254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Nagata Kosei</dc:creator>
  <cp:keywords/>
  <dc:description/>
  <cp:lastModifiedBy>齋藤 琢</cp:lastModifiedBy>
  <cp:revision>3</cp:revision>
  <dcterms:created xsi:type="dcterms:W3CDTF">2021-11-04T10:31:00Z</dcterms:created>
  <dcterms:modified xsi:type="dcterms:W3CDTF">2021-11-04T10:33:00Z</dcterms:modified>
</cp:coreProperties>
</file>