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00270" w14:textId="77777777" w:rsidR="00D74585" w:rsidRPr="00F518CB" w:rsidRDefault="00D74585" w:rsidP="00D74585">
      <w:pPr>
        <w:rPr>
          <w:rFonts w:ascii="Times New Roman" w:hAnsi="Times New Roman" w:cs="Times New Roman"/>
          <w:b/>
          <w:bCs/>
        </w:rPr>
      </w:pPr>
      <w:r w:rsidRPr="00F518CB">
        <w:rPr>
          <w:rFonts w:ascii="Times New Roman" w:hAnsi="Times New Roman" w:cs="Times New Roman"/>
          <w:b/>
          <w:bCs/>
        </w:rPr>
        <w:t>Table 1. Demographic and clinical characteristics of study population</w:t>
      </w:r>
    </w:p>
    <w:tbl>
      <w:tblPr>
        <w:tblW w:w="0" w:type="auto"/>
        <w:jc w:val="center"/>
        <w:tblLayout w:type="fixed"/>
        <w:tblLook w:val="0420" w:firstRow="1" w:lastRow="0" w:firstColumn="0" w:lastColumn="0" w:noHBand="0" w:noVBand="1"/>
      </w:tblPr>
      <w:tblGrid>
        <w:gridCol w:w="5040"/>
        <w:gridCol w:w="2160"/>
      </w:tblGrid>
      <w:tr w:rsidR="00D74585" w14:paraId="4FEAEBDD" w14:textId="77777777" w:rsidTr="00371362">
        <w:trPr>
          <w:tblHeader/>
          <w:jc w:val="center"/>
        </w:trPr>
        <w:tc>
          <w:tcPr>
            <w:tcW w:w="5040" w:type="dxa"/>
            <w:tcBorders>
              <w:top w:val="single" w:sz="12"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3A2A52F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Characteristic</w:t>
            </w:r>
          </w:p>
        </w:tc>
        <w:tc>
          <w:tcPr>
            <w:tcW w:w="2160" w:type="dxa"/>
            <w:tcBorders>
              <w:top w:val="single" w:sz="12"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04BC894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 (%)</w:t>
            </w:r>
          </w:p>
        </w:tc>
      </w:tr>
      <w:tr w:rsidR="00D74585" w14:paraId="4A274DF6" w14:textId="77777777" w:rsidTr="00371362">
        <w:trPr>
          <w:jc w:val="center"/>
        </w:trPr>
        <w:tc>
          <w:tcPr>
            <w:tcW w:w="5040" w:type="dxa"/>
            <w:tcBorders>
              <w:top w:val="single" w:sz="12"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67684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Age (years)</w:t>
            </w:r>
          </w:p>
        </w:tc>
        <w:tc>
          <w:tcPr>
            <w:tcW w:w="2160" w:type="dxa"/>
            <w:tcBorders>
              <w:top w:val="single" w:sz="12"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187AA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p>
        </w:tc>
      </w:tr>
      <w:tr w:rsidR="00D74585" w14:paraId="54ADF3A3"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E6C4A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Mean (SD)</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136F9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53.8 (15.6)</w:t>
            </w:r>
          </w:p>
        </w:tc>
      </w:tr>
      <w:tr w:rsidR="00D74585" w14:paraId="6A675B87"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689BF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&lt;30 years</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3528B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 (7.2%)</w:t>
            </w:r>
          </w:p>
        </w:tc>
      </w:tr>
      <w:tr w:rsidR="00D74585" w14:paraId="2C4A5C91"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2F379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30-39 years</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7464C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81 (13.9%)</w:t>
            </w:r>
          </w:p>
        </w:tc>
      </w:tr>
      <w:tr w:rsidR="00D74585" w14:paraId="6004E1A0"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CDE45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40-49 years</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BDCA4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91 (15.6%)</w:t>
            </w:r>
          </w:p>
        </w:tc>
      </w:tr>
      <w:tr w:rsidR="00D74585" w14:paraId="0AF91A64"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5091F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50-59 years</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FB83B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130 (22.3%)</w:t>
            </w:r>
          </w:p>
        </w:tc>
      </w:tr>
      <w:tr w:rsidR="00D74585" w14:paraId="3C7AF375"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761B1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60-69 years</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8F92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143 (24.6%)</w:t>
            </w:r>
          </w:p>
        </w:tc>
      </w:tr>
      <w:tr w:rsidR="00D74585" w14:paraId="0AE36D08"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DAA27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≥70 years</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96F28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 (16.3%)</w:t>
            </w:r>
          </w:p>
        </w:tc>
      </w:tr>
      <w:tr w:rsidR="00D74585" w14:paraId="00375016"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A77A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Sex</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2D919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p>
        </w:tc>
      </w:tr>
      <w:tr w:rsidR="00D74585" w14:paraId="6FA6FDC0"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0803A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Female</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8014B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389 (66.8%)</w:t>
            </w:r>
          </w:p>
        </w:tc>
      </w:tr>
      <w:tr w:rsidR="00D74585" w14:paraId="05268CA7"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61B02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Male</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AF965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193 (33.2%)</w:t>
            </w:r>
          </w:p>
        </w:tc>
      </w:tr>
      <w:tr w:rsidR="00D74585" w14:paraId="466F72F8"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EE935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Race/Ethnicity</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987FE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p>
        </w:tc>
      </w:tr>
      <w:tr w:rsidR="00D74585" w14:paraId="35DE75B9"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9A7AD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Black/African American</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66A54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263 (45.2%)</w:t>
            </w:r>
          </w:p>
        </w:tc>
      </w:tr>
      <w:tr w:rsidR="00D74585" w14:paraId="6D36332C"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56FC2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Hispanic/Latino</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13EB4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215 (36.9%)</w:t>
            </w:r>
          </w:p>
        </w:tc>
      </w:tr>
      <w:tr w:rsidR="00D74585" w14:paraId="5F6FD4D4"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560F2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White</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9021D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 (12.0%)</w:t>
            </w:r>
          </w:p>
        </w:tc>
      </w:tr>
      <w:tr w:rsidR="00D74585" w14:paraId="26C2FDD6"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4B60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Asian</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085C1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 (2.4%)</w:t>
            </w:r>
          </w:p>
        </w:tc>
      </w:tr>
      <w:tr w:rsidR="00D74585" w14:paraId="169C75CD"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0B5C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More than one race</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9ABEF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(0.7%)</w:t>
            </w:r>
          </w:p>
        </w:tc>
      </w:tr>
      <w:tr w:rsidR="00D74585" w14:paraId="62A6C466"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0072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Unreported/Unknown</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000AA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 (2.2%)</w:t>
            </w:r>
          </w:p>
        </w:tc>
      </w:tr>
      <w:tr w:rsidR="00D74585" w14:paraId="016CA91E"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C95B6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Smoking Status</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3D91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p>
        </w:tc>
      </w:tr>
      <w:tr w:rsidR="00D74585" w14:paraId="5875B6C0"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A0A25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Never</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7FBCA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297 (68.2%)</w:t>
            </w:r>
          </w:p>
        </w:tc>
      </w:tr>
      <w:tr w:rsidR="00D74585" w14:paraId="2760B03F"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F0BA4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Former</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27A13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78 (13.4%)</w:t>
            </w:r>
          </w:p>
        </w:tc>
      </w:tr>
      <w:tr w:rsidR="00D74585" w14:paraId="4784DDEA"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561EA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Current</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E1D3B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107 (18.4%)</w:t>
            </w:r>
          </w:p>
        </w:tc>
      </w:tr>
      <w:tr w:rsidR="00D74585" w14:paraId="1DF0E949"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42353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Healthcare Access</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FF9B2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p>
        </w:tc>
      </w:tr>
      <w:tr w:rsidR="00D74585" w14:paraId="49680537"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26A7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Primary care visit in past year</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2C168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312 (53.6%)</w:t>
            </w:r>
          </w:p>
        </w:tc>
      </w:tr>
      <w:tr w:rsidR="00D74585" w14:paraId="2665A042"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9CEB3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Medications</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F88DD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p>
        </w:tc>
      </w:tr>
      <w:tr w:rsidR="00D74585" w14:paraId="451E146D"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C1DE3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  Antihypertensive medication</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75CBF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177 (30.4%)</w:t>
            </w:r>
          </w:p>
        </w:tc>
      </w:tr>
      <w:tr w:rsidR="00D74585" w14:paraId="15C91A07"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0269B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Lipid-lowering medication</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9DB22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 (17.5%)</w:t>
            </w:r>
          </w:p>
        </w:tc>
      </w:tr>
      <w:tr w:rsidR="00D74585" w14:paraId="649919DA"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F8426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Self-Reported Cardiometabolic Conditions</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193F2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p>
        </w:tc>
      </w:tr>
      <w:tr w:rsidR="00D74585" w14:paraId="41BF2C25"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81BA1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Hypertension</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CD659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225 (38.7%)</w:t>
            </w:r>
          </w:p>
        </w:tc>
      </w:tr>
      <w:tr w:rsidR="00D74585" w14:paraId="56D2712F"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0D5CA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Diabetes</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7A0D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115 (19.8%)</w:t>
            </w:r>
          </w:p>
        </w:tc>
      </w:tr>
      <w:tr w:rsidR="00D74585" w14:paraId="215BB077"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4CF56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Dyslipidemia</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70899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169 (29.0%)</w:t>
            </w:r>
          </w:p>
        </w:tc>
      </w:tr>
      <w:tr w:rsidR="00D74585" w14:paraId="02120B3F"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8D7EB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Coronary artery disease</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427F1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 (3.3%)</w:t>
            </w:r>
          </w:p>
        </w:tc>
      </w:tr>
      <w:tr w:rsidR="00D74585" w14:paraId="15F4A015"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460F5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Heart failure</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C7FAF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 (2.2%)</w:t>
            </w:r>
          </w:p>
        </w:tc>
      </w:tr>
      <w:tr w:rsidR="00D74585" w14:paraId="1391729A" w14:textId="77777777" w:rsidTr="00371362">
        <w:trPr>
          <w:jc w:val="center"/>
        </w:trPr>
        <w:tc>
          <w:tcPr>
            <w:tcW w:w="50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AE0A9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Peripheral artery disease</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D8145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 (1.2%)</w:t>
            </w:r>
          </w:p>
        </w:tc>
      </w:tr>
      <w:tr w:rsidR="00D74585" w14:paraId="65C84C33" w14:textId="77777777" w:rsidTr="00371362">
        <w:trPr>
          <w:jc w:val="center"/>
        </w:trPr>
        <w:tc>
          <w:tcPr>
            <w:tcW w:w="5040" w:type="dxa"/>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4DE6305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Obstructive sleep apnea</w:t>
            </w:r>
          </w:p>
        </w:tc>
        <w:tc>
          <w:tcPr>
            <w:tcW w:w="2160" w:type="dxa"/>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12DA8FB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 (7.9%)</w:t>
            </w:r>
          </w:p>
        </w:tc>
      </w:tr>
    </w:tbl>
    <w:p w14:paraId="50202FDF" w14:textId="77777777" w:rsidR="00D74585" w:rsidRDefault="00D74585" w:rsidP="00D74585">
      <w:pPr>
        <w:rPr>
          <w:rFonts w:ascii="Times New Roman" w:hAnsi="Times New Roman" w:cs="Times New Roman"/>
        </w:rPr>
      </w:pPr>
    </w:p>
    <w:p w14:paraId="7DD954B3" w14:textId="77777777" w:rsidR="00D74585" w:rsidRPr="0083582E" w:rsidRDefault="00D74585" w:rsidP="00D74585">
      <w:pPr>
        <w:spacing w:line="480" w:lineRule="auto"/>
        <w:jc w:val="center"/>
        <w:rPr>
          <w:rFonts w:ascii="Times New Roman" w:eastAsia="Times New Roman" w:hAnsi="Times New Roman" w:cs="Times New Roman"/>
          <w:iCs/>
          <w:color w:val="000000"/>
        </w:rPr>
      </w:pPr>
      <w:r w:rsidRPr="0083582E">
        <w:rPr>
          <w:rFonts w:ascii="Times New Roman" w:eastAsia="Times New Roman" w:hAnsi="Times New Roman" w:cs="Times New Roman"/>
          <w:iCs/>
          <w:color w:val="000000"/>
        </w:rPr>
        <w:t>Self-reported demographic information collected from community health screening event participants at food pantries in Chicago, Illinois (N=582). Self-reported cardiometabolic conditions were collected via structured questionnaire and defined as either a self-reported prior diagnosis and/or current use of targeted medication (antihypertensive agents for hypertension, hypoglycemic agents for diabetes; lipid-lowering agents for dyslipidemia). Medication use self-reported at enrollment. Data are presented as n(%) for categorical variables.</w:t>
      </w:r>
    </w:p>
    <w:p w14:paraId="15935D4D" w14:textId="77777777" w:rsidR="00D74585" w:rsidRPr="00856355" w:rsidRDefault="00D74585" w:rsidP="00D74585">
      <w:pPr>
        <w:spacing w:line="240" w:lineRule="auto"/>
        <w:jc w:val="center"/>
        <w:rPr>
          <w:rFonts w:ascii="Times New Roman" w:eastAsia="Times New Roman" w:hAnsi="Times New Roman" w:cs="Times New Roman"/>
          <w:i/>
          <w:color w:val="000000"/>
        </w:rPr>
      </w:pPr>
      <w:r w:rsidRPr="00856355">
        <w:rPr>
          <w:rFonts w:ascii="Times New Roman" w:eastAsia="Times New Roman" w:hAnsi="Times New Roman" w:cs="Times New Roman"/>
          <w:i/>
          <w:color w:val="000000"/>
        </w:rPr>
        <w:t xml:space="preserve">. </w:t>
      </w:r>
    </w:p>
    <w:p w14:paraId="516F19A1" w14:textId="77777777" w:rsidR="00D74585" w:rsidRPr="00856355" w:rsidRDefault="00D74585" w:rsidP="00D74585">
      <w:pPr>
        <w:pStyle w:val="Heading1"/>
        <w:rPr>
          <w:rFonts w:ascii="Times New Roman" w:hAnsi="Times New Roman" w:cs="Times New Roman"/>
          <w:b/>
          <w:bCs/>
          <w:color w:val="000000" w:themeColor="text1"/>
          <w:sz w:val="24"/>
          <w:szCs w:val="24"/>
        </w:rPr>
      </w:pPr>
      <w:r w:rsidRPr="00856355">
        <w:rPr>
          <w:rFonts w:ascii="Times New Roman" w:hAnsi="Times New Roman" w:cs="Times New Roman"/>
          <w:b/>
          <w:bCs/>
          <w:color w:val="000000" w:themeColor="text1"/>
          <w:sz w:val="24"/>
          <w:szCs w:val="24"/>
        </w:rPr>
        <w:t>Table 2. Cardiometabolic outcomes measured among food-insecure adults in Chicago food pantries.</w:t>
      </w:r>
    </w:p>
    <w:tbl>
      <w:tblPr>
        <w:tblW w:w="0" w:type="auto"/>
        <w:jc w:val="center"/>
        <w:tblLayout w:type="fixed"/>
        <w:tblLook w:val="0420" w:firstRow="1" w:lastRow="0" w:firstColumn="0" w:lastColumn="0" w:noHBand="0" w:noVBand="1"/>
      </w:tblPr>
      <w:tblGrid>
        <w:gridCol w:w="5760"/>
        <w:gridCol w:w="2160"/>
      </w:tblGrid>
      <w:tr w:rsidR="00D74585" w14:paraId="2B7B67C2" w14:textId="77777777" w:rsidTr="00371362">
        <w:trPr>
          <w:tblHeader/>
          <w:jc w:val="center"/>
        </w:trPr>
        <w:tc>
          <w:tcPr>
            <w:tcW w:w="5760" w:type="dxa"/>
            <w:tcBorders>
              <w:top w:val="single" w:sz="12"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2E371A5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Category</w:t>
            </w:r>
          </w:p>
        </w:tc>
        <w:tc>
          <w:tcPr>
            <w:tcW w:w="2160" w:type="dxa"/>
            <w:tcBorders>
              <w:top w:val="single" w:sz="12"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12FA682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 (%)</w:t>
            </w:r>
          </w:p>
        </w:tc>
      </w:tr>
      <w:tr w:rsidR="00D74585" w14:paraId="67674104" w14:textId="77777777" w:rsidTr="00371362">
        <w:trPr>
          <w:jc w:val="center"/>
        </w:trPr>
        <w:tc>
          <w:tcPr>
            <w:tcW w:w="5760" w:type="dxa"/>
            <w:tcBorders>
              <w:top w:val="single" w:sz="12"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48360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Blood Pressure</w:t>
            </w:r>
          </w:p>
        </w:tc>
        <w:tc>
          <w:tcPr>
            <w:tcW w:w="2160" w:type="dxa"/>
            <w:tcBorders>
              <w:top w:val="single" w:sz="12"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4E498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582</w:t>
            </w:r>
          </w:p>
        </w:tc>
      </w:tr>
      <w:tr w:rsidR="00D74585" w14:paraId="71263C9B"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361E2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Overall hypertension (measured or self-reported)</w:t>
            </w:r>
            <w:r w:rsidRPr="009D38B9">
              <w:rPr>
                <w:rFonts w:ascii="Times New Roman" w:eastAsia="Times New Roman" w:hAnsi="Times New Roman" w:cs="Times New Roman"/>
                <w:b/>
                <w:color w:val="000000"/>
                <w:sz w:val="20"/>
                <w:szCs w:val="20"/>
                <w:vertAlign w:val="superscript"/>
              </w:rPr>
              <w:t>a</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FA6F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429 (73.7%)</w:t>
            </w:r>
          </w:p>
        </w:tc>
      </w:tr>
      <w:tr w:rsidR="00D74585" w14:paraId="49928813"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EFFA7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Measured blood pressure staging</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67D63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566</w:t>
            </w:r>
          </w:p>
        </w:tc>
      </w:tr>
      <w:tr w:rsidR="00D74585" w14:paraId="6F55CB15"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7B174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Normal (&lt;120/80 mmHg)</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982A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133 (23.5%)</w:t>
            </w:r>
          </w:p>
        </w:tc>
      </w:tr>
      <w:tr w:rsidR="00D74585" w14:paraId="10C0F8F4"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5CC7F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    Elevated (120-129/&lt;80 mmHg)</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70E2F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 (7.6%)</w:t>
            </w:r>
          </w:p>
        </w:tc>
      </w:tr>
      <w:tr w:rsidR="00D74585" w14:paraId="49A549F4"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1B517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Stage 1 HTN (130-139/80-89 mmHg)</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118EE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233 (41.2%)</w:t>
            </w:r>
          </w:p>
        </w:tc>
      </w:tr>
      <w:tr w:rsidR="00D74585" w14:paraId="2C4791F5"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12FB7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Stage 2 HTN (≥140/≥90 mmHg)</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45FEA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157 (27.7%)</w:t>
            </w:r>
          </w:p>
        </w:tc>
      </w:tr>
      <w:tr w:rsidR="00D74585" w14:paraId="1845CEE9"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B7217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Glycated Hemoglobin (HbA1c)</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AEA2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582</w:t>
            </w:r>
          </w:p>
        </w:tc>
      </w:tr>
      <w:tr w:rsidR="00D74585" w14:paraId="59D5C86E"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1F73F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Overall diabetes (measured or self-reported)</w:t>
            </w:r>
            <w:r w:rsidRPr="009D38B9">
              <w:rPr>
                <w:rFonts w:ascii="Times New Roman" w:eastAsia="Times New Roman" w:hAnsi="Times New Roman" w:cs="Times New Roman"/>
                <w:b/>
                <w:color w:val="000000"/>
                <w:sz w:val="20"/>
                <w:szCs w:val="20"/>
                <w:vertAlign w:val="superscript"/>
              </w:rPr>
              <w:t>b</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B0DB3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124 (21.3%)</w:t>
            </w:r>
          </w:p>
        </w:tc>
      </w:tr>
      <w:tr w:rsidR="00D74585" w14:paraId="6406B3F7"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7717C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Measured HbA1c</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D8E64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494</w:t>
            </w:r>
          </w:p>
        </w:tc>
      </w:tr>
      <w:tr w:rsidR="00D74585" w14:paraId="6726789A"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32EED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Normal (&lt;5.7%)</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0154F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270 (54.7%)</w:t>
            </w:r>
          </w:p>
        </w:tc>
      </w:tr>
      <w:tr w:rsidR="00D74585" w14:paraId="39DD5072"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ED8E2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Pre-diabetes (5.7-6.4%)</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74333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151 (30.6%)</w:t>
            </w:r>
          </w:p>
        </w:tc>
      </w:tr>
      <w:tr w:rsidR="00D74585" w14:paraId="60DBB1AE"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63F73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Diabetes (≥6.5%)</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0A01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73 (14.8%)</w:t>
            </w:r>
          </w:p>
        </w:tc>
      </w:tr>
      <w:tr w:rsidR="00D74585" w14:paraId="5B1F5965"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3C5A0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Body Mass Index</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573F2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529</w:t>
            </w:r>
          </w:p>
        </w:tc>
      </w:tr>
      <w:tr w:rsidR="00D74585" w14:paraId="2F26D817"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B54C6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Underweight (&lt;18.5 kg/m²)</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228E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 (1.3%)</w:t>
            </w:r>
          </w:p>
        </w:tc>
      </w:tr>
      <w:tr w:rsidR="00D74585" w14:paraId="105E8A47"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3CC57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Normal weight (18.5-24.9 kg/m²)</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7061A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126 (23.8%)</w:t>
            </w:r>
          </w:p>
        </w:tc>
      </w:tr>
      <w:tr w:rsidR="00D74585" w14:paraId="45482BB6"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EB826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Overweight (25.0-29.9 kg/m²)</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F6CDF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160 (30.2%)</w:t>
            </w:r>
          </w:p>
        </w:tc>
      </w:tr>
      <w:tr w:rsidR="00D74585" w14:paraId="080BC88C"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C1BAA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Obese (≥30.0 kg/m²)</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23B60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236 (44.6%)</w:t>
            </w:r>
          </w:p>
        </w:tc>
      </w:tr>
      <w:tr w:rsidR="00D74585" w14:paraId="0903145C"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1962B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Dyslipidemia</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EC3D9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582</w:t>
            </w:r>
          </w:p>
        </w:tc>
      </w:tr>
      <w:tr w:rsidR="00D74585" w14:paraId="79952A2E"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30CCB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Overall dyslipidemia (measured or self-reported)</w:t>
            </w:r>
            <w:r w:rsidRPr="009D38B9">
              <w:rPr>
                <w:rFonts w:ascii="Times New Roman" w:eastAsia="Times New Roman" w:hAnsi="Times New Roman" w:cs="Times New Roman"/>
                <w:b/>
                <w:color w:val="000000"/>
                <w:sz w:val="20"/>
                <w:szCs w:val="20"/>
                <w:vertAlign w:val="superscript"/>
              </w:rPr>
              <w:t>c</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2B34C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392 (67.4%)</w:t>
            </w:r>
          </w:p>
        </w:tc>
      </w:tr>
      <w:tr w:rsidR="00D74585" w14:paraId="279E7CE5"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80302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Measured dyslipidemia</w:t>
            </w:r>
            <w:r w:rsidRPr="009D38B9">
              <w:rPr>
                <w:rFonts w:ascii="Times New Roman" w:eastAsia="Times New Roman" w:hAnsi="Times New Roman" w:cs="Times New Roman"/>
                <w:color w:val="000000"/>
                <w:sz w:val="20"/>
                <w:szCs w:val="20"/>
                <w:vertAlign w:val="superscript"/>
              </w:rPr>
              <w:t>d</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C340E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442</w:t>
            </w:r>
          </w:p>
        </w:tc>
      </w:tr>
      <w:tr w:rsidR="00D74585" w14:paraId="4603A7DE"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A2AE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Any dyslipidemia by lipid panel</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BC548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314 (71.0%)</w:t>
            </w:r>
          </w:p>
        </w:tc>
      </w:tr>
      <w:tr w:rsidR="00D74585" w14:paraId="31947092"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4BCDE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LDL ≥130 mg/dL</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272A7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104 (23.5%)</w:t>
            </w:r>
          </w:p>
        </w:tc>
      </w:tr>
      <w:tr w:rsidR="00D74585" w14:paraId="1C04B536"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AF4F0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Low HDL (&lt;40 mg/dL men / &lt;50 mg/dL women)</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76BB8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176 (39.8%)</w:t>
            </w:r>
          </w:p>
        </w:tc>
      </w:tr>
      <w:tr w:rsidR="00D74585" w14:paraId="1193EA30"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88E9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Triglycerides ≥150 mg/dL</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72222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151 (34.2%)</w:t>
            </w:r>
          </w:p>
        </w:tc>
      </w:tr>
      <w:tr w:rsidR="00D74585" w14:paraId="4812376A"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8BEEA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Total cholesterol ≥200 mg/dL</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4E835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134 (30.3%)</w:t>
            </w:r>
          </w:p>
        </w:tc>
      </w:tr>
      <w:tr w:rsidR="00D74585" w14:paraId="16383919"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E4B2F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10-Year ASCVD Risk</w:t>
            </w:r>
            <w:r w:rsidRPr="009D38B9">
              <w:rPr>
                <w:rFonts w:ascii="Times New Roman" w:eastAsia="Times New Roman" w:hAnsi="Times New Roman" w:cs="Times New Roman"/>
                <w:b/>
                <w:color w:val="000000"/>
                <w:sz w:val="20"/>
                <w:szCs w:val="20"/>
                <w:vertAlign w:val="superscript"/>
              </w:rPr>
              <w:t>e</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B3EA8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435</w:t>
            </w:r>
          </w:p>
        </w:tc>
      </w:tr>
      <w:tr w:rsidR="00D74585" w14:paraId="3111E5D4"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F32C9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Low risk (&lt;5%)</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0201F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204 (46.9%)</w:t>
            </w:r>
          </w:p>
        </w:tc>
      </w:tr>
      <w:tr w:rsidR="00D74585" w14:paraId="157A1B20"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AB6F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Borderline risk (5.0-&lt;7.5%)</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A812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 (11.5%)</w:t>
            </w:r>
          </w:p>
        </w:tc>
      </w:tr>
      <w:tr w:rsidR="00D74585" w14:paraId="475E71D0"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6F5F9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Intermediate risk (7.5-&lt;20%)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B1CEF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115 (26.4%)</w:t>
            </w:r>
          </w:p>
        </w:tc>
      </w:tr>
      <w:tr w:rsidR="00D74585" w14:paraId="7E814046"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41115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    High risk (≥20%)</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438CE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66 (15.2%)</w:t>
            </w:r>
          </w:p>
        </w:tc>
      </w:tr>
      <w:tr w:rsidR="00D74585" w14:paraId="1F8DB96A" w14:textId="77777777" w:rsidTr="00371362">
        <w:trPr>
          <w:jc w:val="center"/>
        </w:trPr>
        <w:tc>
          <w:tcPr>
            <w:tcW w:w="57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BACC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Cardiometabolic Multimorbidity</w:t>
            </w:r>
          </w:p>
        </w:tc>
        <w:tc>
          <w:tcPr>
            <w:tcW w:w="21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6FFEC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582</w:t>
            </w:r>
          </w:p>
        </w:tc>
      </w:tr>
      <w:tr w:rsidR="00D74585" w14:paraId="1F07308E" w14:textId="77777777" w:rsidTr="00371362">
        <w:trPr>
          <w:jc w:val="center"/>
        </w:trPr>
        <w:tc>
          <w:tcPr>
            <w:tcW w:w="5760" w:type="dxa"/>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1B0ED61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≥2 Cardiometabolic conditions</w:t>
            </w:r>
          </w:p>
        </w:tc>
        <w:tc>
          <w:tcPr>
            <w:tcW w:w="2160" w:type="dxa"/>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2337641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378 (64.9%)</w:t>
            </w:r>
          </w:p>
        </w:tc>
      </w:tr>
    </w:tbl>
    <w:p w14:paraId="71DE7087" w14:textId="77777777" w:rsidR="00D74585" w:rsidRDefault="00D74585" w:rsidP="00D74585"/>
    <w:p w14:paraId="7D8FED0A" w14:textId="77777777" w:rsidR="00D74585" w:rsidRDefault="00D74585" w:rsidP="00D74585">
      <w:pPr>
        <w:spacing w:line="480" w:lineRule="auto"/>
        <w:jc w:val="center"/>
      </w:pPr>
      <w:r w:rsidRPr="00207DE3">
        <w:rPr>
          <w:rFonts w:ascii="Times New Roman" w:hAnsi="Times New Roman" w:cs="Times New Roman"/>
          <w:color w:val="000000" w:themeColor="text1"/>
        </w:rPr>
        <w:t xml:space="preserve">Data are presented as n (%). Total analytic sample N=582. </w:t>
      </w:r>
      <w:r w:rsidRPr="00207DE3">
        <w:rPr>
          <w:rFonts w:ascii="Times New Roman" w:eastAsia="Times New Roman" w:hAnsi="Times New Roman" w:cs="Times New Roman"/>
          <w:color w:val="000000"/>
        </w:rPr>
        <w:t xml:space="preserve">Cardiometabolic conditions were assessed among food pantry participants in Chicago, Illinois. Overall prevalence reflects combined measured and self-reported diagnoses. Blood pressure staging follows the ACC/AHA guidelines </w:t>
      </w:r>
      <w:r w:rsidRPr="00207DE3">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{"citationID":"38zLLmAg","properties":{"unsorted":false,"formattedCitation":"(29)","plainCitation":"(29)","noteIndex":0},"citationItems":[{"id":39,"uris":["http://zotero.org/users/20793432/items/E9KJTKMM"],"itemData":{"id":39,"type":"article-journal","abstract":"AIM: The \"2025 AHA/ACC/AANP/AAPA/ABC/ACCP/ACPM/AGS/AMA/ASPC/NMA/PCNA/SGIM Guideline for the Prevention, Detection, Evaluation, and Management of High Blood Pressure in Adults\" retires and replaces the \"2017 ACC/AHA/AAPA/ABC/ACPM/AGS/APhA/ASH/ASPC/NMA/PCNA Guideline for the Prevention, Detection, Evaluation, and Management of High Blood Pressure in Adults.\"\nMETHODS: A comprehensive literature search was conducted from December 2023 to June 2024 to identify clinical studies, reviews, and other evidence performed on human subjects that were published since February 2015 in English from MEDLINE (through PubMed), EMBASE, the Cochrane Library, the Agency for Healthcare Research and Quality, and other selected databases relevant to this guideline.\nSTRUCTURE: The focus of this clinical practice guideline is to create a living, working document updating current knowledge in the field of high blood pressure aimed at all practicing primary care and specialty clinicians who manage patients with hypertension.","container-title":"Journal of the American College of Cardiology","DOI":"10.1016/j.jacc.2025.05.007","ISSN":"1558-3597","issue":"18","journalAbbreviation":"J Am Coll Cardiol","language":"eng","page":"1567-1678","PMID":"40815242","source":"PubMed","title":"2025 AHA/ACC/AANP/AAPA/ABC/ACCP/ACPM/AGS/AMA/ASPC/NMA/PCNA/SGIM Guideline for the Prevention, Detection, Evaluation, and Management of High Blood Pressure in Adults: A Report of the American College of Cardiology/American Heart Association Joint Committee on Clinical Practice Guidelines","title-short":"2025 AHA/ACC/AANP/AAPA/ABC/ACCP/ACPM/AGS/AMA/ASPC/NMA/PCNA/SGIM Guideline for the Prevention, Detection, Evaluation, and Management of High Blood Pressure in Adults","volume":"86","author":[{"family":"Jones","given":"Daniel W."},{"family":"Ferdinand","given":"Keith C."},{"family":"Taler","given":"Sandra J."},{"family":"Johnson","given":"Heather M."},{"family":"Shimbo","given":"Daichi"},{"family":"Abdalla","given":"Marwah"},{"family":"Altieri","given":"M. Martine"},{"family":"Bansal","given":"Nisha"},{"family":"Bello","given":"Natalie A."},{"family":"Bress","given":"Adam P."},{"family":"Carter","given":"Jocelyn"},{"family":"Cohen","given":"Jordana B."},{"family":"Collins","given":"Karen J."},{"family":"Commodore-Mensah","given":"Yvonne"},{"family":"Davis","given":"Leslie L."},{"family":"Egan","given":"Brent"},{"family":"Khan","given":"Sadiya S."},{"family":"Lloyd-Jones","given":"Donald M."},{"family":"Melnyk","given":"Bernadette Mazurek"},{"family":"Mistry","given":"Eva A."},{"family":"Ogunniyi","given":"Modele O."},{"family":"Schott","given":"Stacey L."},{"family":"Smith","given":"Sidney C."},{"family":"Talbot","given":"Amy W."},{"family":"Vongpatanasin","given":"Wanpen"},{"family":"Watson","given":"Karol E."},{"family":"Whelton","given":"Paul K."},{"family":"Williamson","given":"Jeff D."},{"literal":"Peer Review Committee Members"}],"issued":{"date-parts":[["2025",11,4]]}}}],"schema":"https://github.com/citation-style-language/schema/raw/master/csl-citation.json"} </w:instrText>
      </w:r>
      <w:r w:rsidRPr="00207DE3">
        <w:rPr>
          <w:rFonts w:ascii="Times New Roman" w:eastAsia="Times New Roman" w:hAnsi="Times New Roman" w:cs="Times New Roman"/>
          <w:color w:val="000000"/>
        </w:rPr>
        <w:fldChar w:fldCharType="separate"/>
      </w:r>
      <w:r w:rsidRPr="00207DE3">
        <w:rPr>
          <w:rFonts w:ascii="Times New Roman" w:eastAsia="Times New Roman" w:hAnsi="Times New Roman" w:cs="Times New Roman"/>
          <w:noProof/>
          <w:color w:val="000000"/>
        </w:rPr>
        <w:t>(29)</w:t>
      </w:r>
      <w:r w:rsidRPr="00207DE3">
        <w:rPr>
          <w:rFonts w:ascii="Times New Roman" w:eastAsia="Times New Roman" w:hAnsi="Times New Roman" w:cs="Times New Roman"/>
          <w:color w:val="000000"/>
        </w:rPr>
        <w:fldChar w:fldCharType="end"/>
      </w:r>
      <w:r w:rsidRPr="00207DE3">
        <w:rPr>
          <w:rFonts w:ascii="Times New Roman" w:eastAsia="Times New Roman" w:hAnsi="Times New Roman" w:cs="Times New Roman"/>
          <w:color w:val="000000"/>
        </w:rPr>
        <w:t xml:space="preserve">. Pre-Diabetes and Diabetes cutoffs follow the ADA guidelines </w:t>
      </w:r>
      <w:r w:rsidRPr="00207DE3">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{"citationID":"zzXD3sW9","properties":{"unsorted":false,"formattedCitation":"(38)","plainCitation":"(38)","noteIndex":0},"citationItems":[{"id":41,"uris":["http://zotero.org/users/20793432/items/9G3YZM7I"],"itemData":{"id":41,"type":"article-journal","abstract":"The American Diabetes Association (ADA) “Standards of Care in Diabetes” includes the ADA’s current clinical practice recommendations and is intended to provide the components of diabetes care, general treatment goals and guidelines, and tools to evaluate quality of care. Members of the ADA Professional Practice Committee for Diabetes, an interprofessional expert committee, are responsible for updating the Standards of Care annually, or more frequently as warranted. For a detailed description of ADA standards, statements, and reports, as well as the evidence-grading system for ADA’s clinical practice recommendations and a full list of Professional Practice Committee members, please refer to Introduction and Methodology. Readers who wish to comment on the Standards of Care are invited to do so at professional.diabetes.org/SOC.","container-title":"Diabetes Care","DOI":"10.2337/dc26-S002","ISSN":"0149-5992","issue":"Suppl 1","journalAbbreviation":"Diabetes Care","page":"S27-S49","PMID":"41358893","PMCID":"PMC12690183","source":"PubMed Central","title":"2. Diagnosis and Classification of Diabetes: Standards of Care in Diabetes—2026","title-short":"2. Diagnosis and Classification of Diabetes","volume":"49","issued":{"date-parts":[["2025",12,8]]}}}],"schema":"https://github.com/citation-style-language/schema/raw/master/csl-citation.json"} </w:instrText>
      </w:r>
      <w:r w:rsidRPr="00207DE3">
        <w:rPr>
          <w:rFonts w:ascii="Times New Roman" w:eastAsia="Times New Roman" w:hAnsi="Times New Roman" w:cs="Times New Roman"/>
          <w:color w:val="000000"/>
        </w:rPr>
        <w:fldChar w:fldCharType="separate"/>
      </w:r>
      <w:r w:rsidRPr="00207DE3">
        <w:rPr>
          <w:rFonts w:ascii="Times New Roman" w:eastAsia="Times New Roman" w:hAnsi="Times New Roman" w:cs="Times New Roman"/>
          <w:noProof/>
          <w:color w:val="000000"/>
        </w:rPr>
        <w:t>(38)</w:t>
      </w:r>
      <w:r w:rsidRPr="00207DE3">
        <w:rPr>
          <w:rFonts w:ascii="Times New Roman" w:eastAsia="Times New Roman" w:hAnsi="Times New Roman" w:cs="Times New Roman"/>
          <w:color w:val="000000"/>
        </w:rPr>
        <w:fldChar w:fldCharType="end"/>
      </w:r>
      <w:r w:rsidRPr="00207DE3">
        <w:rPr>
          <w:rFonts w:ascii="Times New Roman" w:eastAsia="Times New Roman" w:hAnsi="Times New Roman" w:cs="Times New Roman"/>
          <w:color w:val="000000"/>
        </w:rPr>
        <w:t xml:space="preserve">. BMI categories follow the CDC/ACC guidelines </w:t>
      </w:r>
      <w:r w:rsidRPr="00207DE3">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{"citationID":"EAqUQcp3","properties":{"unsorted":false,"formattedCitation":"(39,40)","plainCitation":"(39,40)","noteIndex":0},"citationItems":[{"id":45,"uris":["http://zotero.org/users/20793432/items/MASVQS3M"],"itemData":{"id":45,"type":"webpage","abstract":"For adults, body mass index categories are underweight, healthy weight, overweight, and obesity.","container-title":"BMI","language":"en-us","title":"Adult BMI Categories","URL":"https://www.cdc.gov/bmi/adult-calculator/bmi-categories.html","author":[{"family":"CDC","given":""}],"accessed":{"date-parts":[["2026",6,10]]},"issued":{"date-parts":[["2024",7,1]]}}},{"id":44,"uris":["http://zotero.org/users/20793432/items/UDLY6LSE"],"itemData":{"id":44,"type":"article-journal","container-title":"JACC","DOI":"10.1016/j.jacc.2025.05.024","ISSN":"07351097","issue":"7","journalAbbreviation":"JACC","language":"en","page":"536-555","source":"DOI.org (Crossref)","title":"2025 Concise Clinical Guidance: An ACC Expert Consensus Statement on Medical Weight Management for Optimization of Cardiovascular Health","title-short":"2025 Concise Clinical Guidance","volume":"86","author":[{"family":"Gilbert","given":"Olivia"},{"family":"Gulati","given":"Martha"},{"family":"Gluckman","given":"Ty J."},{"family":"Kittleson","given":"Michelle M."},{"family":"Rikhi","given":"Rishi"},{"family":"Saseen","given":"Joseph J."},{"family":"Tchang","given":"Beverly G."}],"issued":{"date-parts":[["2025",8]]}}}],"schema":"https://github.com/citation-style-language/schema/raw/master/csl-citation.json"} </w:instrText>
      </w:r>
      <w:r w:rsidRPr="00207DE3">
        <w:rPr>
          <w:rFonts w:ascii="Times New Roman" w:eastAsia="Times New Roman" w:hAnsi="Times New Roman" w:cs="Times New Roman"/>
          <w:color w:val="000000"/>
        </w:rPr>
        <w:fldChar w:fldCharType="separate"/>
      </w:r>
      <w:r w:rsidRPr="00207DE3">
        <w:rPr>
          <w:rFonts w:ascii="Times New Roman" w:eastAsia="Times New Roman" w:hAnsi="Times New Roman" w:cs="Times New Roman"/>
          <w:noProof/>
          <w:color w:val="000000"/>
        </w:rPr>
        <w:t>(39,40)</w:t>
      </w:r>
      <w:r w:rsidRPr="00207DE3">
        <w:rPr>
          <w:rFonts w:ascii="Times New Roman" w:eastAsia="Times New Roman" w:hAnsi="Times New Roman" w:cs="Times New Roman"/>
          <w:color w:val="000000"/>
        </w:rPr>
        <w:fldChar w:fldCharType="end"/>
      </w:r>
      <w:r w:rsidRPr="00207DE3">
        <w:rPr>
          <w:rFonts w:ascii="Times New Roman" w:eastAsia="Times New Roman" w:hAnsi="Times New Roman" w:cs="Times New Roman"/>
          <w:color w:val="000000"/>
        </w:rPr>
        <w:t xml:space="preserve">.  Obesity defined as BMI </w:t>
      </w:r>
      <w:r w:rsidRPr="00207DE3">
        <w:rPr>
          <w:rStyle w:val="Strong"/>
          <w:rFonts w:ascii="Times New Roman" w:hAnsi="Times New Roman" w:cs="Times New Roman"/>
          <w:b w:val="0"/>
          <w:bCs w:val="0"/>
          <w:color w:val="0A0A0A"/>
          <w:shd w:val="clear" w:color="auto" w:fill="FDFDFC"/>
        </w:rPr>
        <w:t>≥30 kg/m².</w:t>
      </w:r>
      <w:r w:rsidRPr="00207DE3">
        <w:rPr>
          <w:rFonts w:ascii="Segoe UI" w:hAnsi="Segoe UI" w:cs="Segoe UI"/>
          <w:color w:val="0A0A0A"/>
          <w:sz w:val="21"/>
          <w:szCs w:val="21"/>
          <w:shd w:val="clear" w:color="auto" w:fill="FDFDFC"/>
        </w:rPr>
        <w:t> </w:t>
      </w:r>
      <w:r w:rsidRPr="00207DE3">
        <w:rPr>
          <w:rFonts w:ascii="Times New Roman" w:eastAsia="Times New Roman" w:hAnsi="Times New Roman" w:cs="Times New Roman"/>
          <w:color w:val="000000"/>
        </w:rPr>
        <w:t xml:space="preserve">Dyslipidemia cutoffs follow the JACC guidelines </w:t>
      </w:r>
      <w:r w:rsidRPr="00207DE3">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hEXVQaEo","properties":{"unsorted":false,"formattedCitation":"(41,42)","plainCitation":"(41,42)","noteIndex":0},"citationItems":[{"id":50,"uris":["http://zotero.org/users/20793432/items/CET3XAB4"],"itemData":{"id":50,"type":"article-journal","abstract":"Cardiovascular disease is the number 1 cause of death in the western world and 1 of the leading causes of death worldwide. The lifetime risk of atherosclerotic cardiovascular disease (CVD) for persons at age 50 years, on average, is estimated to be 52% for men and 39% for women, with a wide variation depending on risk factor burden. Assessing patients' cardiovascular risk may be used for the targeting of preventive treatments of individual patients who are asymptomatic but at sufficiently high risk for the development of CVD. Risk stratifying patients for CVD remains challenging, particularly for those with low or intermediate short-term risk. Several algorithms have been described to facilitate the assessment of risk in individual patients. We describe 6 risk algorithms (Framingham Risk Score for coronary heart disease events and for cardiovascular events, Adult Treatment Panel III, SCORE [Systematic Coronary Risk Evaluation] project, Reynolds Risk Score, ASSIGN [Assessing Cardiovascular Risk to Scottish Intercollegiate Guidelines Network/SIGN to Assign Preventative Treatment], and QRISK [QRESEARCH Cardiovascular Risk Algorithm]) for outcomes, population derived/validated, receiver-operating characteristic, variables included, and limitations. Areas of uncertainty include 10-year versus lifetime risk, prediction of CVD or coronary heart disease end points, nonlaboratory-based risk scores, age at which to start, race and sex differences, and whether a risk score should guide therapy. We believe that the best high-risk approach to CVD evaluation and prevention lies in routine testing for cardiovascular risk factors and risk score assessment. We recommend that health care providers discuss the global cardiovascular risk and lifetime cardiovascular risk score assessment with each patient to better explain each patient's future risk. Appropriate intervention, guided by risk assessment, has the potential to bring about a significant reduction in population levels of risk.","container-title":"Journal of the American College of Cardiology","DOI":"10.1016/j.jacc.2009.09.066","ISSN":"1558-3597","issue":"12","journalAbbreviation":"J Am Coll Cardiol","language":"eng","page":"1169-1177","PMID":"20298922","source":"PubMed","title":"Screening for cardiovascular risk in asymptomatic patients","volume":"55","author":[{"family":"Berger","given":"Jeffrey S."},{"family":"Jordan","given":"Courtney O."},{"family":"Lloyd-Jones","given":"Donald"},{"family":"Blumenthal","given":"Roger S."}],"issued":{"date-parts":[["2010",3,23]]}}},{"id":48,"uris":["http://zotero.org/users/20793432/items/I9K4AH6T"],"itemData":{"id":48,"type":"article-journal","abstract":"Managing risk related to low-density lipoprotein (LDL) is vital in therapy for patients at risk for atherosclerotic cardiovascular disease (ASCVD) events given its important etiologic role in atherogenesis. Despite decades of research showing reduction of ASCVD risk with multiple approaches to lowering of LDL cholesterol, there continue to be significant gaps in care with inadequate numbers of patients receiving standard of care lipid-lowering therapy. Confusion regarding implementation of the multiple published clinical practice guidelines has been identified as one contributor to suboptimal management of LDL-related risk. This review summarizes the current guidelines for reduction of LDL-related cardiovascular risk provided by a number of major professional societies, which have broad applicability to diverse populations worldwide. Statements have varied in the process and methodology of development of recommendations, the grading system for level and strength of evidence, the inclusion or exclusion of expert opinion, the suggested ASCVD risk assessment tool, the lipoproteins recommended for risk assessment, and the lipoprotein targets of therapy. The similarities and differences among important guidelines in the United States and internationally are discussed, with recommendations for future strategies to improve consistency in approaches to LDL-related ASCVD risk and to reduce gaps in implementation of evidence-based therapies.","container-title":"Journal of the American College of Cardiology","DOI":"10.1016/j.jacc.2014.05.015","ISSN":"1558-3597","issue":"2","journalAbbreviation":"J Am Coll Cardiol","language":"eng","page":"196-206","PMID":"25011724","source":"PubMed","title":"Review of clinical practice guidelines for the management of LDL-related risk","volume":"64","author":[{"family":"Morris","given":"Pamela B."},{"family":"Ballantyne","given":"Christie M."},{"family":"Birtcher","given":"Kim K."},{"family":"Dunn","given":"Steven P."},{"family":"Urbina","given":"Elaine M."}],"issued":{"date-parts":[["2014",7,15]]}}}],"schema":"https://github.com/citation-style-language/schema/raw/master/csl-citation.json"} </w:instrText>
      </w:r>
      <w:r w:rsidRPr="00207DE3">
        <w:rPr>
          <w:rFonts w:ascii="Times New Roman" w:eastAsia="Times New Roman" w:hAnsi="Times New Roman" w:cs="Times New Roman"/>
          <w:color w:val="000000"/>
        </w:rPr>
        <w:fldChar w:fldCharType="separate"/>
      </w:r>
      <w:r w:rsidRPr="00207DE3">
        <w:rPr>
          <w:rFonts w:ascii="Times New Roman" w:eastAsia="Times New Roman" w:hAnsi="Times New Roman" w:cs="Times New Roman"/>
          <w:noProof/>
          <w:color w:val="000000"/>
        </w:rPr>
        <w:t>(41,42)</w:t>
      </w:r>
      <w:r w:rsidRPr="00207DE3">
        <w:rPr>
          <w:rFonts w:ascii="Times New Roman" w:eastAsia="Times New Roman" w:hAnsi="Times New Roman" w:cs="Times New Roman"/>
          <w:color w:val="000000"/>
        </w:rPr>
        <w:fldChar w:fldCharType="end"/>
      </w:r>
      <w:r w:rsidRPr="00207DE3">
        <w:rPr>
          <w:rFonts w:ascii="Times New Roman" w:eastAsia="Times New Roman" w:hAnsi="Times New Roman" w:cs="Times New Roman"/>
          <w:color w:val="000000"/>
        </w:rPr>
        <w:t xml:space="preserve">. ASCVD risk categories follow the ACC/AHA guidelines </w:t>
      </w:r>
      <w:r w:rsidRPr="00207DE3">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{"citationID":"Jczo0QoW","properties":{"unsorted":false,"formattedCitation":"(43)","plainCitation":"(43)","noteIndex":0},"citationItems":[{"id":46,"uris":["http://zotero.org/users/20793432/items/U94UNCSH"],"itemData":{"id":46,"type":"article-journal","container-title":"Journal of the American College of Cardiology","DOI":"10.1016/j.jacc.2019.03.010","ISSN":"0735-1097","issue":"10","journalAbbreviation":"J Am Coll Cardiol","page":"e177-e232","PMID":"30894318","PMCID":"PMC7685565","source":"PubMed Central","title":"2019 ACC/AHA Guideline on the Primary Prevention of Cardiovascular Disease","volume":"74","author":[{"family":"Arnett","given":"Donna K."},{"family":"Blumenthal","given":"Roger S."},{"family":"Albert","given":"Michelle A."},{"family":"Buroker","given":"Andrew B."},{"family":"Goldberger","given":"Zachary D."},{"family":"Hahn","given":"Ellen J."},{"family":"Himmelfarb","given":"Cheryl Dennison"},{"family":"Khera","given":"Amit"},{"family":"Lloyd-Jones","given":"Donald"},{"family":"McEvoy","given":"J. William"},{"family":"Michos","given":"Erin D."},{"family":"Miedema","given":"Michael D."},{"family":"Muñoz","given":"Daniel"},{"family":"Smith","given":"Sidney C."},{"family":"Virani","given":"Salim S."},{"family":"Williams","given":"Kim A."},{"family":"Yeboah","given":"Joseph"},{"family":"Ziaeian","given":"Boback"}],"issued":{"date-parts":[["2019",9,10]]}}}],"schema":"https://github.com/citation-style-language/schema/raw/master/csl-citation.json"} </w:instrText>
      </w:r>
      <w:r w:rsidRPr="00207DE3">
        <w:rPr>
          <w:rFonts w:ascii="Times New Roman" w:eastAsia="Times New Roman" w:hAnsi="Times New Roman" w:cs="Times New Roman"/>
          <w:color w:val="000000"/>
        </w:rPr>
        <w:fldChar w:fldCharType="separate"/>
      </w:r>
      <w:r w:rsidRPr="00207DE3">
        <w:rPr>
          <w:rFonts w:ascii="Times New Roman" w:eastAsia="Times New Roman" w:hAnsi="Times New Roman" w:cs="Times New Roman"/>
          <w:noProof/>
          <w:color w:val="000000"/>
        </w:rPr>
        <w:t>(43)</w:t>
      </w:r>
      <w:r w:rsidRPr="00207DE3">
        <w:rPr>
          <w:rFonts w:ascii="Times New Roman" w:eastAsia="Times New Roman" w:hAnsi="Times New Roman" w:cs="Times New Roman"/>
          <w:color w:val="000000"/>
        </w:rPr>
        <w:fldChar w:fldCharType="end"/>
      </w:r>
      <w:r w:rsidRPr="00207DE3">
        <w:rPr>
          <w:rFonts w:ascii="Times New Roman" w:eastAsia="Times New Roman" w:hAnsi="Times New Roman" w:cs="Times New Roman"/>
          <w:color w:val="000000"/>
        </w:rPr>
        <w:t xml:space="preserve">. Cardiometabolic multimorbidity defined as presence of two or more cardiometabolic risk factors (hypertension, diabetes, obesity, dyslipidemia) either measured, self-reported, or treated with condition-specific medication (antihypertensives, lipid-lowering agents, or hypoglycemic agents). </w:t>
      </w:r>
      <w:r w:rsidRPr="00207DE3">
        <w:rPr>
          <w:rFonts w:ascii="Times New Roman" w:eastAsia="Times New Roman" w:hAnsi="Times New Roman" w:cs="Times New Roman"/>
          <w:color w:val="000000"/>
          <w:vertAlign w:val="superscript"/>
        </w:rPr>
        <w:t>a</w:t>
      </w:r>
      <w:r w:rsidRPr="00207DE3">
        <w:rPr>
          <w:rFonts w:ascii="Times New Roman" w:eastAsia="Times New Roman" w:hAnsi="Times New Roman" w:cs="Times New Roman"/>
          <w:color w:val="000000"/>
        </w:rPr>
        <w:t>=measured systolic BP ≥130 or diastolic BP ≥80 mmHg, self-reported diagnosis, or antihypertensive medication use.</w:t>
      </w:r>
      <w:r w:rsidRPr="00207DE3">
        <w:rPr>
          <w:rFonts w:ascii="Times New Roman" w:eastAsia="Times New Roman" w:hAnsi="Times New Roman" w:cs="Times New Roman"/>
          <w:color w:val="000000"/>
          <w:vertAlign w:val="superscript"/>
        </w:rPr>
        <w:t xml:space="preserve"> b</w:t>
      </w:r>
      <w:r w:rsidRPr="00207DE3">
        <w:rPr>
          <w:rFonts w:ascii="Times New Roman" w:eastAsia="Times New Roman" w:hAnsi="Times New Roman" w:cs="Times New Roman"/>
          <w:color w:val="000000"/>
        </w:rPr>
        <w:t xml:space="preserve">= Measured HbA1c ≥6.5% or self-reported diagnosis. </w:t>
      </w:r>
      <w:r w:rsidRPr="00207DE3">
        <w:rPr>
          <w:rFonts w:ascii="Times New Roman" w:eastAsia="Times New Roman" w:hAnsi="Times New Roman" w:cs="Times New Roman"/>
          <w:color w:val="000000"/>
          <w:vertAlign w:val="superscript"/>
        </w:rPr>
        <w:t>c</w:t>
      </w:r>
      <w:r w:rsidRPr="00207DE3">
        <w:rPr>
          <w:rFonts w:ascii="Times New Roman" w:eastAsia="Times New Roman" w:hAnsi="Times New Roman" w:cs="Times New Roman"/>
          <w:color w:val="000000"/>
        </w:rPr>
        <w:t xml:space="preserve">= Measured lipid criteria or self-reported dyslipidemia diagnosis. </w:t>
      </w:r>
      <w:r w:rsidRPr="00207DE3">
        <w:rPr>
          <w:rFonts w:ascii="Times New Roman" w:eastAsia="Times New Roman" w:hAnsi="Times New Roman" w:cs="Times New Roman"/>
          <w:color w:val="000000"/>
          <w:vertAlign w:val="superscript"/>
        </w:rPr>
        <w:t>d</w:t>
      </w:r>
      <w:r w:rsidRPr="00207DE3">
        <w:rPr>
          <w:rFonts w:ascii="Times New Roman" w:eastAsia="Times New Roman" w:hAnsi="Times New Roman" w:cs="Times New Roman"/>
          <w:color w:val="000000"/>
        </w:rPr>
        <w:t xml:space="preserve">=Among n=442 with complete lipid panel. Subcategories not mutually exclusive. </w:t>
      </w:r>
      <w:r w:rsidRPr="00207DE3">
        <w:rPr>
          <w:rFonts w:ascii="Times New Roman" w:eastAsia="Times New Roman" w:hAnsi="Times New Roman" w:cs="Times New Roman"/>
          <w:color w:val="000000"/>
          <w:vertAlign w:val="superscript"/>
        </w:rPr>
        <w:t>e</w:t>
      </w:r>
      <w:r w:rsidRPr="00207DE3">
        <w:rPr>
          <w:rFonts w:ascii="Times New Roman" w:eastAsia="Times New Roman" w:hAnsi="Times New Roman" w:cs="Times New Roman"/>
          <w:color w:val="000000"/>
        </w:rPr>
        <w:t>= ASCVD risk calculated using 2018 ACC/AHA Pooled Cohort Equations</w:t>
      </w:r>
      <w:r w:rsidRPr="00207DE3">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ZOTERO_ITEM CSL_CITATION {"citationID":"2uRmO3Ic","properties":{"unsorted":false,"formattedCitation":"(43)","plainCitation":"(43)","noteIndex":0},"citationItems":[{"id":46,"uris":["http://zotero.org/users/20793432/items/U94UNCSH"],"itemData":{"id":46,"type":"article-journal","container-title":"Journal of the American College of Cardiology","DOI":"10.1016/j.jacc.2019.03.010","ISSN":"0735-1097","issue":"10","journalAbbreviation":"J Am Coll Cardiol","page":"e177-e232","PMID":"30894318","PMCID":"PMC7685565","source":"PubMed Central","title":"2019 ACC/AHA Guideline on the Primary Prevention of Cardiovascular Disease","volume":"74","author":[{"family":"Arnett","given":"Donna K."},{"family":"Blumenthal","given":"Roger S."},{"family":"Albert","given":"Michelle A."},{"family":"Buroker","given":"Andrew B."},{"family":"Goldberger","given":"Zachary D."},{"family":"Hahn","given":"Ellen J."},{"family":"Himmelfarb","given":"Cheryl Dennison"},{"family":"Khera","given":"Amit"},{"family":"Lloyd-Jones","given":"Donald"},{"family":"McEvoy","given":"J. William"},{"family":"Michos","given":"Erin D."},{"family":"Miedema","given":"Michael D."},{"family":"Muñoz","given":"Daniel"},{"family":"Smith","given":"Sidney C."},{"family":"Virani","given":"Salim S."},{"family":"Williams","given":"Kim A."},{"family":"Yeboah","given":"Joseph"},{"family":"Ziaeian","given":"Boback"}],"issued":{"date-parts":[["2019",9,10]]}}}],"schema":"https://github.com/citation-style-language/schema/raw/master/csl-citation.json"} </w:instrText>
      </w:r>
      <w:r w:rsidRPr="00207DE3">
        <w:rPr>
          <w:rFonts w:ascii="Times New Roman" w:eastAsia="Times New Roman" w:hAnsi="Times New Roman" w:cs="Times New Roman"/>
          <w:color w:val="000000"/>
        </w:rPr>
        <w:fldChar w:fldCharType="separate"/>
      </w:r>
      <w:r w:rsidRPr="00207DE3">
        <w:rPr>
          <w:rFonts w:ascii="Times New Roman" w:eastAsia="Times New Roman" w:hAnsi="Times New Roman" w:cs="Times New Roman"/>
          <w:noProof/>
          <w:color w:val="000000"/>
        </w:rPr>
        <w:t>(43)</w:t>
      </w:r>
      <w:r w:rsidRPr="00207DE3">
        <w:rPr>
          <w:rFonts w:ascii="Times New Roman" w:eastAsia="Times New Roman" w:hAnsi="Times New Roman" w:cs="Times New Roman"/>
          <w:color w:val="000000"/>
        </w:rPr>
        <w:fldChar w:fldCharType="end"/>
      </w:r>
      <w:r w:rsidRPr="00207DE3">
        <w:rPr>
          <w:rFonts w:ascii="Times New Roman" w:eastAsia="Times New Roman" w:hAnsi="Times New Roman" w:cs="Times New Roman"/>
          <w:color w:val="000000"/>
        </w:rPr>
        <w:t>.  HTN=hypertension;  ASCVD = atherosclerotic cardiovascular disease; BMI = body mass index; HbA1c = glycated hemoglobin; LDL= low-density lipoprotein; HDL=high-density lipoprotein.</w:t>
      </w:r>
    </w:p>
    <w:p w14:paraId="15859E88" w14:textId="77777777" w:rsidR="00D74585" w:rsidRDefault="00D74585" w:rsidP="00D74585"/>
    <w:p w14:paraId="421F91A9" w14:textId="77777777" w:rsidR="00D74585" w:rsidRPr="002C3A33" w:rsidRDefault="00D74585" w:rsidP="00D74585">
      <w:pPr>
        <w:rPr>
          <w:rFonts w:ascii="Times New Roman" w:hAnsi="Times New Roman" w:cs="Times New Roman"/>
        </w:rPr>
      </w:pPr>
      <w:r w:rsidRPr="002C3A33">
        <w:rPr>
          <w:rFonts w:ascii="Times New Roman" w:hAnsi="Times New Roman" w:cs="Times New Roman"/>
        </w:rPr>
        <w:t>Supplemental_Material_1</w:t>
      </w:r>
    </w:p>
    <w:p w14:paraId="5023DA75" w14:textId="77777777" w:rsidR="00D74585" w:rsidRPr="002C3A33" w:rsidRDefault="00D74585" w:rsidP="00D74585">
      <w:pPr>
        <w:rPr>
          <w:rFonts w:ascii="Times New Roman" w:hAnsi="Times New Roman" w:cs="Times New Roman"/>
        </w:rPr>
      </w:pPr>
      <w:r w:rsidRPr="002C3A33">
        <w:rPr>
          <w:rFonts w:ascii="Times New Roman" w:hAnsi="Times New Roman" w:cs="Times New Roman"/>
        </w:rPr>
        <w:t>Docx.</w:t>
      </w:r>
    </w:p>
    <w:p w14:paraId="0A80A116" w14:textId="77777777" w:rsidR="00D74585" w:rsidRPr="00E91087" w:rsidRDefault="00D74585" w:rsidP="00D74585">
      <w:pPr>
        <w:spacing w:line="480" w:lineRule="auto"/>
        <w:jc w:val="center"/>
      </w:pPr>
      <w:r w:rsidRPr="006001C0">
        <w:rPr>
          <w:rFonts w:ascii="Times New Roman" w:hAnsi="Times New Roman" w:cs="Times New Roman"/>
          <w:b/>
          <w:bCs/>
        </w:rPr>
        <w:lastRenderedPageBreak/>
        <w:t xml:space="preserve">Supplemental Table 1. Associations between all neighborhood exposures and cardiometabolic outcomes in food-insecure adults in Chicago. </w:t>
      </w:r>
      <w:r>
        <w:rPr>
          <w:rFonts w:ascii="Times New Roman" w:hAnsi="Times New Roman" w:cs="Times New Roman"/>
        </w:rPr>
        <w:t>Results are presented for six neighborhood exposures across 14 cardiometabolic outcomes. Primary exposures were NDVI, violent crime rate, and ADI. Secondary exposures were non-violent crime rate, park density, and park coverage. All exposures were standardized to one standard deviation units prior to modeling. Linear regression models are presented as</w:t>
      </w:r>
      <w:r w:rsidRPr="008764DC">
        <w:rPr>
          <w:rFonts w:ascii="Times New Roman" w:hAnsi="Times New Roman" w:cs="Times New Roman"/>
        </w:rPr>
        <w:t xml:space="preserve"> </w:t>
      </w:r>
      <w:r w:rsidRPr="008764DC">
        <w:rPr>
          <w:rFonts w:ascii="Times New Roman" w:eastAsia="Times New Roman" w:hAnsi="Times New Roman" w:cs="Times New Roman"/>
          <w:color w:val="000000"/>
        </w:rPr>
        <w:t>β</w:t>
      </w:r>
      <w:r>
        <w:rPr>
          <w:rFonts w:ascii="Times New Roman" w:eastAsia="Times New Roman" w:hAnsi="Times New Roman" w:cs="Times New Roman"/>
          <w:color w:val="000000"/>
        </w:rPr>
        <w:t xml:space="preserve"> (95% CI) and logistic regression models as OR (95% CI). All models were adjusted for age, sex, race/ethnicity, smoking status, and primary care utilization. </w:t>
      </w:r>
      <w:r>
        <w:rPr>
          <w:rFonts w:ascii="Times New Roman" w:hAnsi="Times New Roman" w:cs="Times New Roman"/>
        </w:rPr>
        <w:t>Clustered standard errors using CR2 bias reduced linearization estimator with Satterthwaite correction were used to account for within zip code clustering. 95% CIs reflect Satterthwaite corrected values. Sample size varied across models due to listwise deletion of missing outcome or covariate data.  Crime models were restricted to Chicago zip codes. NDVI was derived from NASA MODIS satellite imagery. ADI, area deprivation index; BMI, body mass index; CI confidence interval; HbA1c, glycated hemoglobin; HDL, high-density lipoprotein; LDL, low-density lipoprotein; NDVI, normalized difference vegetation index; OR, odds ratio.</w:t>
      </w:r>
    </w:p>
    <w:p w14:paraId="03B06FA9" w14:textId="77777777" w:rsidR="00D74585" w:rsidRPr="006001C0" w:rsidRDefault="00D74585" w:rsidP="00D74585">
      <w:pPr>
        <w:rPr>
          <w:rFonts w:ascii="Times New Roman" w:hAnsi="Times New Roman" w:cs="Times New Roman"/>
          <w:b/>
          <w:bCs/>
        </w:rPr>
      </w:pPr>
    </w:p>
    <w:tbl>
      <w:tblPr>
        <w:tblW w:w="9936" w:type="dxa"/>
        <w:jc w:val="center"/>
        <w:tblLayout w:type="fixed"/>
        <w:tblLook w:val="0420" w:firstRow="1" w:lastRow="0" w:firstColumn="0" w:lastColumn="0" w:noHBand="0" w:noVBand="1"/>
      </w:tblPr>
      <w:tblGrid>
        <w:gridCol w:w="2016"/>
        <w:gridCol w:w="2592"/>
        <w:gridCol w:w="2592"/>
        <w:gridCol w:w="1008"/>
        <w:gridCol w:w="720"/>
        <w:gridCol w:w="1008"/>
      </w:tblGrid>
      <w:tr w:rsidR="00D74585" w14:paraId="6E5AE965" w14:textId="77777777" w:rsidTr="00371362">
        <w:trPr>
          <w:tblHeader/>
          <w:jc w:val="center"/>
        </w:trPr>
        <w:tc>
          <w:tcPr>
            <w:tcW w:w="2016" w:type="dxa"/>
            <w:tcBorders>
              <w:top w:val="single" w:sz="12"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22B84F6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Outcome</w:t>
            </w:r>
          </w:p>
        </w:tc>
        <w:tc>
          <w:tcPr>
            <w:tcW w:w="2592" w:type="dxa"/>
            <w:tcBorders>
              <w:top w:val="single" w:sz="12"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13CA23C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Neighborhood Exposure</w:t>
            </w:r>
          </w:p>
        </w:tc>
        <w:tc>
          <w:tcPr>
            <w:tcW w:w="2592" w:type="dxa"/>
            <w:tcBorders>
              <w:top w:val="single" w:sz="12"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4CCBD74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β or OR (95% CI)</w:t>
            </w:r>
          </w:p>
        </w:tc>
        <w:tc>
          <w:tcPr>
            <w:tcW w:w="1008" w:type="dxa"/>
            <w:tcBorders>
              <w:top w:val="single" w:sz="12"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430E589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p-value</w:t>
            </w:r>
          </w:p>
        </w:tc>
        <w:tc>
          <w:tcPr>
            <w:tcW w:w="720" w:type="dxa"/>
            <w:tcBorders>
              <w:top w:val="single" w:sz="12"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18689F1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N</w:t>
            </w:r>
          </w:p>
        </w:tc>
        <w:tc>
          <w:tcPr>
            <w:tcW w:w="1008" w:type="dxa"/>
            <w:tcBorders>
              <w:top w:val="single" w:sz="12"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00AC558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N Zip Codes</w:t>
            </w:r>
          </w:p>
        </w:tc>
      </w:tr>
      <w:tr w:rsidR="00D74585" w14:paraId="47B7A69F" w14:textId="77777777" w:rsidTr="00371362">
        <w:trPr>
          <w:jc w:val="center"/>
        </w:trPr>
        <w:tc>
          <w:tcPr>
            <w:tcW w:w="2016" w:type="dxa"/>
            <w:tcBorders>
              <w:top w:val="single" w:sz="12"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30B8CC7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Blood Pressure</w:t>
            </w:r>
          </w:p>
        </w:tc>
        <w:tc>
          <w:tcPr>
            <w:tcW w:w="2592" w:type="dxa"/>
            <w:tcBorders>
              <w:top w:val="single" w:sz="12"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3C88D18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single" w:sz="12"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67DA781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p>
        </w:tc>
        <w:tc>
          <w:tcPr>
            <w:tcW w:w="1008" w:type="dxa"/>
            <w:tcBorders>
              <w:top w:val="single" w:sz="12"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433DDA9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p>
        </w:tc>
        <w:tc>
          <w:tcPr>
            <w:tcW w:w="720" w:type="dxa"/>
            <w:tcBorders>
              <w:top w:val="single" w:sz="12"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36F8346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p>
        </w:tc>
        <w:tc>
          <w:tcPr>
            <w:tcW w:w="1008" w:type="dxa"/>
            <w:tcBorders>
              <w:top w:val="single" w:sz="12"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6AFEB02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p>
        </w:tc>
      </w:tr>
      <w:tr w:rsidR="00D74585" w14:paraId="5FE6874C" w14:textId="77777777" w:rsidTr="00371362">
        <w:trPr>
          <w:jc w:val="center"/>
        </w:trPr>
        <w:tc>
          <w:tcPr>
            <w:tcW w:w="2016" w:type="dxa"/>
            <w:vMerge w:val="restart"/>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800A4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Systolic BP (mmHg)</w:t>
            </w:r>
          </w:p>
        </w:tc>
        <w:tc>
          <w:tcPr>
            <w:tcW w:w="2592"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177B4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NDVI</w:t>
            </w:r>
          </w:p>
        </w:tc>
        <w:tc>
          <w:tcPr>
            <w:tcW w:w="2592"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E0DD8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0.29 (-2.35, 2.93)</w:t>
            </w:r>
          </w:p>
        </w:tc>
        <w:tc>
          <w:tcPr>
            <w:tcW w:w="1008"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9E9D1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0.79</w:t>
            </w:r>
          </w:p>
        </w:tc>
        <w:tc>
          <w:tcPr>
            <w:tcW w:w="720"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D658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561</w:t>
            </w:r>
          </w:p>
        </w:tc>
        <w:tc>
          <w:tcPr>
            <w:tcW w:w="1008"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2CD4A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67</w:t>
            </w:r>
          </w:p>
        </w:tc>
      </w:tr>
      <w:tr w:rsidR="00D74585" w14:paraId="651B2D25"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E158C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17D94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Violent crime rate</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F6825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-0.80 (-3.57, 1.96)</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F2CA0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3E200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5F751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w:t>
            </w:r>
          </w:p>
        </w:tc>
      </w:tr>
      <w:tr w:rsidR="00D74585" w14:paraId="7808E698"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9FDD1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F10CA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Non-violent crime rate</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801C7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-0.81 (-4.55, 2.94)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D0F65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7643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C482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w:t>
            </w:r>
          </w:p>
        </w:tc>
      </w:tr>
      <w:tr w:rsidR="00D74585" w14:paraId="1406AE78"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833AA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6EB03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Area Deprivation Index</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6B6F7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0.79 (-0.99, 2.56)</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9F421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0.35</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B7C98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561</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BBBB2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67</w:t>
            </w:r>
          </w:p>
        </w:tc>
      </w:tr>
      <w:tr w:rsidR="00D74585" w14:paraId="1256C8C4"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5FDE0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D5815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Park density (per km²)</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0D04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-1.05 (-3.33, 1.23)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D351F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C5B9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558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52175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66</w:t>
            </w:r>
          </w:p>
        </w:tc>
      </w:tr>
      <w:tr w:rsidR="00D74585" w14:paraId="36516ACF"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60BE5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73508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Park coverage (fraction)</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E5DA2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-0.80 (-2.80, 1.19)</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EE2AE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F1F1D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558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D75E8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66</w:t>
            </w:r>
          </w:p>
        </w:tc>
      </w:tr>
      <w:tr w:rsidR="00D74585" w14:paraId="715CC444" w14:textId="77777777" w:rsidTr="00371362">
        <w:trPr>
          <w:jc w:val="center"/>
        </w:trPr>
        <w:tc>
          <w:tcPr>
            <w:tcW w:w="2016" w:type="dxa"/>
            <w:vMerge w:val="restar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7B48E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Diastolic BP (mmHg)</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8F7F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NDVI</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CEEE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1.09 (-0.73, 2.92)</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A70F8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0AA93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09BB2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67</w:t>
            </w:r>
          </w:p>
        </w:tc>
      </w:tr>
      <w:tr w:rsidR="00D74585" w14:paraId="13EA091C"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E2586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5DF8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Violent crime rate</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3DFB4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-0.22 (-2.14, 1.69)</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DE224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0.75</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5897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081A6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w:t>
            </w:r>
          </w:p>
        </w:tc>
      </w:tr>
      <w:tr w:rsidR="00D74585" w14:paraId="7484BAEC"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6C3E4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9E121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Non-violent crime rate</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28F69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-0.31 (-3.11, 2.49)</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87D5F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0.70</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2854E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4DD22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w:t>
            </w:r>
          </w:p>
        </w:tc>
      </w:tr>
      <w:tr w:rsidR="00D74585" w14:paraId="52089AB3"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03E0F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9B5C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Area Deprivation Index</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20460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0.06 (-1.15, 1.26)</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C2C9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B8D00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11E84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67</w:t>
            </w:r>
          </w:p>
        </w:tc>
      </w:tr>
      <w:tr w:rsidR="00D74585" w14:paraId="49005F94"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2393A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E34FB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Park density (per km²)</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76239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-0.15 (-2.12, 1.83)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3FC78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0.81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D6399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557</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6C54D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66</w:t>
            </w:r>
          </w:p>
        </w:tc>
      </w:tr>
      <w:tr w:rsidR="00D74585" w14:paraId="76F3E053"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5F7A9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EE09A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Park coverage (fraction)</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F54AF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0.07 (-1.74, 1.87)</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49FD3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0.89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4CB4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557</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772C8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66</w:t>
            </w:r>
          </w:p>
        </w:tc>
      </w:tr>
      <w:tr w:rsidR="00D74585" w14:paraId="1FB9A395" w14:textId="77777777" w:rsidTr="00371362">
        <w:trPr>
          <w:jc w:val="center"/>
        </w:trPr>
        <w:tc>
          <w:tcPr>
            <w:tcW w:w="2016" w:type="dxa"/>
            <w:vMerge w:val="restar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F1D39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Hypertension</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EAAB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NDVI</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F7C8B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0.98 (0.66, 1.45)</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B914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0.90</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60721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567</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05848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67</w:t>
            </w:r>
          </w:p>
        </w:tc>
      </w:tr>
      <w:tr w:rsidR="00D74585" w14:paraId="152765EA"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C546A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3242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Violent crime rate</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FE65E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1.00 (0.71, 1.41)</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97125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A6CCB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08B57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w:t>
            </w:r>
          </w:p>
        </w:tc>
      </w:tr>
      <w:tr w:rsidR="00D74585" w14:paraId="61942D95"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7D6BE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A0F84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Non-violent crime rate</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61653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1.04 (0.68, 1.60)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754D1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0.82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A6DB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EF54C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w:t>
            </w:r>
          </w:p>
        </w:tc>
      </w:tr>
      <w:tr w:rsidR="00D74585" w14:paraId="1BF266F7"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A59E8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BE412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Area Deprivation Index</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D67F4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1.07 (0.86, 1.32)</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DCFE1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D710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567</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B6193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67</w:t>
            </w:r>
          </w:p>
        </w:tc>
      </w:tr>
      <w:tr w:rsidR="00D74585" w14:paraId="7326D4F5"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64E19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2FC2E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Park density (per km²)</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55490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0.83 (0.64, 1.08)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E03A7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0.10</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307AD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E4809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66</w:t>
            </w:r>
          </w:p>
        </w:tc>
      </w:tr>
      <w:tr w:rsidR="00D74585" w14:paraId="452F9BEA"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C4B79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4B83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Park coverage (fraction)</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DBAF9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0.86 (0.54, 1.39)</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ECABC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87667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727CE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66</w:t>
            </w:r>
          </w:p>
        </w:tc>
      </w:tr>
      <w:tr w:rsidR="00D74585" w14:paraId="225C79CE" w14:textId="77777777" w:rsidTr="00371362">
        <w:trPr>
          <w:jc w:val="center"/>
        </w:trPr>
        <w:tc>
          <w:tcPr>
            <w:tcW w:w="2016"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4E7D379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Glycemia</w:t>
            </w:r>
          </w:p>
        </w:tc>
        <w:tc>
          <w:tcPr>
            <w:tcW w:w="2592"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34CACF6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6382C48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p>
        </w:tc>
        <w:tc>
          <w:tcPr>
            <w:tcW w:w="1008"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2ABA7EC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p>
        </w:tc>
        <w:tc>
          <w:tcPr>
            <w:tcW w:w="720"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4F9D9AC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p>
        </w:tc>
        <w:tc>
          <w:tcPr>
            <w:tcW w:w="1008"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6C4807B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p>
        </w:tc>
      </w:tr>
      <w:tr w:rsidR="00D74585" w14:paraId="2201C14F" w14:textId="77777777" w:rsidTr="00371362">
        <w:trPr>
          <w:jc w:val="center"/>
        </w:trPr>
        <w:tc>
          <w:tcPr>
            <w:tcW w:w="2016" w:type="dxa"/>
            <w:vMerge w:val="restart"/>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B99F9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HbA1c (%)</w:t>
            </w:r>
          </w:p>
        </w:tc>
        <w:tc>
          <w:tcPr>
            <w:tcW w:w="2592"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2C2FD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NDVI</w:t>
            </w:r>
          </w:p>
        </w:tc>
        <w:tc>
          <w:tcPr>
            <w:tcW w:w="2592"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33DF4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-0.02 (-0.17, 0.14)</w:t>
            </w:r>
          </w:p>
        </w:tc>
        <w:tc>
          <w:tcPr>
            <w:tcW w:w="1008"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8E1E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0.81</w:t>
            </w:r>
          </w:p>
        </w:tc>
        <w:tc>
          <w:tcPr>
            <w:tcW w:w="720"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D06A7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489</w:t>
            </w:r>
          </w:p>
        </w:tc>
        <w:tc>
          <w:tcPr>
            <w:tcW w:w="1008"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9011A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w:t>
            </w:r>
          </w:p>
        </w:tc>
      </w:tr>
      <w:tr w:rsidR="00D74585" w14:paraId="28007047"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61A96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D772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Violent crime rate</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070E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-0.05 (-0.18, 0.09)</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B90D9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0.38</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A228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306</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1A9CD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w:t>
            </w:r>
          </w:p>
        </w:tc>
      </w:tr>
      <w:tr w:rsidR="00D74585" w14:paraId="0C8A7F23"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E00AC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0ACDA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Non-violent crime rate</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80A3E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-0.01 (-0.27, 0.25)</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1D017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0.90</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CE8B7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306</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C8845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w:t>
            </w:r>
          </w:p>
        </w:tc>
      </w:tr>
      <w:tr w:rsidR="00D74585" w14:paraId="1F5D6213"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3C20A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BD96A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Area Deprivation Index</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4AA69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0.05 (-0.07, 0.18)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E6DCB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EC9E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489</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45FD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w:t>
            </w:r>
          </w:p>
        </w:tc>
      </w:tr>
      <w:tr w:rsidR="00D74585" w14:paraId="68D54107"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88286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82697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Park density (per km²)</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1405C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-0.01 (-0.27, 0.25)</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F0C6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0.88</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B5BC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487</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FBC58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59</w:t>
            </w:r>
          </w:p>
        </w:tc>
      </w:tr>
      <w:tr w:rsidR="00D74585" w14:paraId="5C3C5472"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2C8ED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70E47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Park coverage (fraction)</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FA581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-0.05 (-0.17, 0.07)</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124B8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E8B72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487</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C78B6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59</w:t>
            </w:r>
          </w:p>
        </w:tc>
      </w:tr>
      <w:tr w:rsidR="00D74585" w14:paraId="2834CBF3" w14:textId="77777777" w:rsidTr="00371362">
        <w:trPr>
          <w:jc w:val="center"/>
        </w:trPr>
        <w:tc>
          <w:tcPr>
            <w:tcW w:w="2016" w:type="dxa"/>
            <w:vMerge w:val="restar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808BA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Diabetes Mellitus</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7B6C2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NDVI</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EFE04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0.90 (0.54, 1.49)</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7B65F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0.61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03D00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489</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5197A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w:t>
            </w:r>
          </w:p>
        </w:tc>
      </w:tr>
      <w:tr w:rsidR="00D74585" w14:paraId="45C479A1"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80E5B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FA9A4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Violent crime rate</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FD004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0.82 (0.56, 1.20)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00EBB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5F238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306</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E36C7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w:t>
            </w:r>
          </w:p>
        </w:tc>
      </w:tr>
      <w:tr w:rsidR="00D74585" w14:paraId="57ED564E"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7AE70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FD298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Non-violent crime rate</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2F8FF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0.90 (0.57, 1.40)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B2C1B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0.53</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BF1C5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306</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AE332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35</w:t>
            </w:r>
          </w:p>
        </w:tc>
      </w:tr>
      <w:tr w:rsidR="00D74585" w14:paraId="72C2D521"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14C0D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3684B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Area Deprivation Index</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8D67E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1.17 (0.81, 1.69)</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8989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637B4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489</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7CF4A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w:t>
            </w:r>
          </w:p>
        </w:tc>
      </w:tr>
      <w:tr w:rsidR="00D74585" w14:paraId="7311218B"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7735B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55A37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Park density (per km²)</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6C3C0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0.72 (0.45, 1.16)</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48D7C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8BB0D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487</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0BC1A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59</w:t>
            </w:r>
          </w:p>
        </w:tc>
      </w:tr>
      <w:tr w:rsidR="00D74585" w14:paraId="730DF93A"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40D7B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F876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Park coverage (fraction)</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1B509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0.75 (0.49, 1.14)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F0861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0.10</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48E7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487</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E99BE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59</w:t>
            </w:r>
          </w:p>
        </w:tc>
      </w:tr>
      <w:tr w:rsidR="00D74585" w14:paraId="568D9B86" w14:textId="77777777" w:rsidTr="00371362">
        <w:trPr>
          <w:jc w:val="center"/>
        </w:trPr>
        <w:tc>
          <w:tcPr>
            <w:tcW w:w="2016"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7A1F14E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Adiposity</w:t>
            </w:r>
          </w:p>
        </w:tc>
        <w:tc>
          <w:tcPr>
            <w:tcW w:w="2592"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15713B2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33F8312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p>
        </w:tc>
        <w:tc>
          <w:tcPr>
            <w:tcW w:w="1008"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538245B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p>
        </w:tc>
        <w:tc>
          <w:tcPr>
            <w:tcW w:w="720"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47B8445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p>
        </w:tc>
        <w:tc>
          <w:tcPr>
            <w:tcW w:w="1008"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0322511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p>
        </w:tc>
      </w:tr>
      <w:tr w:rsidR="00D74585" w14:paraId="0465DB71" w14:textId="77777777" w:rsidTr="00371362">
        <w:trPr>
          <w:jc w:val="center"/>
        </w:trPr>
        <w:tc>
          <w:tcPr>
            <w:tcW w:w="2016" w:type="dxa"/>
            <w:vMerge w:val="restart"/>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94380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BMI (kg/m²)</w:t>
            </w:r>
          </w:p>
        </w:tc>
        <w:tc>
          <w:tcPr>
            <w:tcW w:w="2592"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37296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NDVI</w:t>
            </w:r>
          </w:p>
        </w:tc>
        <w:tc>
          <w:tcPr>
            <w:tcW w:w="2592"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3D519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-0.36 (-1.04, 0.32)</w:t>
            </w:r>
          </w:p>
        </w:tc>
        <w:tc>
          <w:tcPr>
            <w:tcW w:w="1008"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6F74E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0.23</w:t>
            </w:r>
          </w:p>
        </w:tc>
        <w:tc>
          <w:tcPr>
            <w:tcW w:w="720"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E4AF7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524</w:t>
            </w:r>
          </w:p>
        </w:tc>
        <w:tc>
          <w:tcPr>
            <w:tcW w:w="1008"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2C312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65</w:t>
            </w:r>
          </w:p>
        </w:tc>
      </w:tr>
      <w:tr w:rsidR="00D74585" w14:paraId="17DEAEF1"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A03BB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FC82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Violent crime rate</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4D5C0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-0.10 (-1.51, 1.30)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CF46D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0.84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C791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331</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1E7E4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36</w:t>
            </w:r>
          </w:p>
        </w:tc>
      </w:tr>
      <w:tr w:rsidR="00D74585" w14:paraId="04EC83C5"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EA003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16D4F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Non-violent crime rate</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F5985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-0.15 (-2.50, 2.21)</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E1544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0.82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6B4DE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331</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98B1D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36</w:t>
            </w:r>
          </w:p>
        </w:tc>
      </w:tr>
      <w:tr w:rsidR="00D74585" w14:paraId="75BFAC0B"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87C22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313F9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Area Deprivation Index</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617EB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0.89 (-0.51, 2.30)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47F9D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489D7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CEFCA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65</w:t>
            </w:r>
          </w:p>
        </w:tc>
      </w:tr>
      <w:tr w:rsidR="00D74585" w14:paraId="5CD986AC"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381B3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797C6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Park density (per km²)</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A555D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-0.63 (-2.09, 0.84)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DA6F8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F5226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521</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3672A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64</w:t>
            </w:r>
          </w:p>
        </w:tc>
      </w:tr>
      <w:tr w:rsidR="00D74585" w14:paraId="01193181"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10673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53ECE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Park coverage (fraction)</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B3A6B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-0.44 (-1.34, 0.45)</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109E8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9EF3F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521</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0230D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64</w:t>
            </w:r>
          </w:p>
        </w:tc>
      </w:tr>
      <w:tr w:rsidR="00D74585" w14:paraId="2EAAA24A" w14:textId="77777777" w:rsidTr="00371362">
        <w:trPr>
          <w:jc w:val="center"/>
        </w:trPr>
        <w:tc>
          <w:tcPr>
            <w:tcW w:w="2016" w:type="dxa"/>
            <w:vMerge w:val="restar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8CE39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Obesity</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0363B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NDVI</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14EBE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0.86 (0.69, 1.07)</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A9B10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0.15</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F99D1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0CF1F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65</w:t>
            </w:r>
          </w:p>
        </w:tc>
      </w:tr>
      <w:tr w:rsidR="00D74585" w14:paraId="79AC3A70"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20AE8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D51D8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Violent crime rate</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D9C63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1.07 (0.80, 1.43)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96ED0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10CBD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331</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9A35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36</w:t>
            </w:r>
          </w:p>
        </w:tc>
      </w:tr>
      <w:tr w:rsidR="00D74585" w14:paraId="67C337D4"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4AC1D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FC19C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Non-violent crime rate</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5764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1.02 (0.63, 1.67)</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7683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0.86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7611C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331</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9596B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36</w:t>
            </w:r>
          </w:p>
        </w:tc>
      </w:tr>
      <w:tr w:rsidR="00D74585" w14:paraId="4DC7EF2F"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41A1F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EEAA4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Area Deprivation Index</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06B50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1.18 (0.95, 1.46)</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5B2AC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0.13</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4E35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524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1272B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65</w:t>
            </w:r>
          </w:p>
        </w:tc>
      </w:tr>
      <w:tr w:rsidR="00D74585" w14:paraId="261AAC9E"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2FBEF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BD918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Park density (per km²)</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84975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0.89 (0.60, 1.30)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AE163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97AF6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521</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31A1D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64</w:t>
            </w:r>
          </w:p>
        </w:tc>
      </w:tr>
      <w:tr w:rsidR="00D74585" w14:paraId="037A12CF"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5CF85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13F9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Park coverage (fraction)</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E126A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0.92 (0.52, 1.63)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93866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9781F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521</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62DB0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64</w:t>
            </w:r>
          </w:p>
        </w:tc>
      </w:tr>
      <w:tr w:rsidR="00D74585" w14:paraId="1607EAA0" w14:textId="77777777" w:rsidTr="00371362">
        <w:trPr>
          <w:jc w:val="center"/>
        </w:trPr>
        <w:tc>
          <w:tcPr>
            <w:tcW w:w="2016"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7D30528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Lipids</w:t>
            </w:r>
          </w:p>
        </w:tc>
        <w:tc>
          <w:tcPr>
            <w:tcW w:w="2592"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41DC1D1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345550A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p>
        </w:tc>
        <w:tc>
          <w:tcPr>
            <w:tcW w:w="1008"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4804DBB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p>
        </w:tc>
        <w:tc>
          <w:tcPr>
            <w:tcW w:w="720"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7D6D86F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p>
        </w:tc>
        <w:tc>
          <w:tcPr>
            <w:tcW w:w="1008"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6DDEC3B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p>
        </w:tc>
      </w:tr>
      <w:tr w:rsidR="00D74585" w14:paraId="04705477" w14:textId="77777777" w:rsidTr="00371362">
        <w:trPr>
          <w:jc w:val="center"/>
        </w:trPr>
        <w:tc>
          <w:tcPr>
            <w:tcW w:w="2016" w:type="dxa"/>
            <w:vMerge w:val="restart"/>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C0C22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LDL (mg/dL)</w:t>
            </w:r>
          </w:p>
        </w:tc>
        <w:tc>
          <w:tcPr>
            <w:tcW w:w="2592"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E6588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NDVI</w:t>
            </w:r>
          </w:p>
        </w:tc>
        <w:tc>
          <w:tcPr>
            <w:tcW w:w="2592"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DFB3A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2.22 (-4.57, 9.01)</w:t>
            </w:r>
          </w:p>
        </w:tc>
        <w:tc>
          <w:tcPr>
            <w:tcW w:w="1008"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FCABE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0.43</w:t>
            </w:r>
          </w:p>
        </w:tc>
        <w:tc>
          <w:tcPr>
            <w:tcW w:w="720"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B44F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440</w:t>
            </w:r>
          </w:p>
        </w:tc>
        <w:tc>
          <w:tcPr>
            <w:tcW w:w="1008"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706F7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55</w:t>
            </w:r>
          </w:p>
        </w:tc>
      </w:tr>
      <w:tr w:rsidR="00D74585" w14:paraId="24F8D00E"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6509D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38125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Violent crime rate</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24702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1.40 (-3.30, 6.10)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EEFB6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0.40</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30897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267</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15B62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w:t>
            </w:r>
          </w:p>
        </w:tc>
      </w:tr>
      <w:tr w:rsidR="00D74585" w14:paraId="3A14419E"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52682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735DF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Non-violent crime rate</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E7A71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1.79 (-4.85, 8.44)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00F9B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0.35</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78A05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267</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AC390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w:t>
            </w:r>
          </w:p>
        </w:tc>
      </w:tr>
      <w:tr w:rsidR="00D74585" w14:paraId="1FD1910D"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262B3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45DC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Area Deprivation Index</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9F819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-1.54 (-7.18, 4.11)</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BBBC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A06C8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440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716F8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55</w:t>
            </w:r>
          </w:p>
        </w:tc>
      </w:tr>
      <w:tr w:rsidR="00D74585" w14:paraId="4C890674"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B659D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A271B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Park density (per km²)</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F0573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2.05 (-11.95, 16.06)</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4D95C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0.62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85FE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438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0485A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54</w:t>
            </w:r>
          </w:p>
        </w:tc>
      </w:tr>
      <w:tr w:rsidR="00D74585" w14:paraId="07691289"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C96A5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01F33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Park coverage (fraction)</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DC236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3.55 (-6.02, 13.12)</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46F68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C067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438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0B4E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54</w:t>
            </w:r>
          </w:p>
        </w:tc>
      </w:tr>
      <w:tr w:rsidR="00D74585" w14:paraId="2136FC43" w14:textId="77777777" w:rsidTr="00371362">
        <w:trPr>
          <w:jc w:val="center"/>
        </w:trPr>
        <w:tc>
          <w:tcPr>
            <w:tcW w:w="2016" w:type="dxa"/>
            <w:vMerge w:val="restar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F8B49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HDL (mg/dL)</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35C74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NDVI</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2A36E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-1.52 (-4.44, 1.40)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88DC1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6F28B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7A5C6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57</w:t>
            </w:r>
          </w:p>
        </w:tc>
      </w:tr>
      <w:tr w:rsidR="00D74585" w14:paraId="7F6C26FC"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78561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8C136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Violent crime rate</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D0A50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0.77 (-2.25, 3.78)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5855F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0.48</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E5A1D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7EA42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w:t>
            </w:r>
          </w:p>
        </w:tc>
      </w:tr>
      <w:tr w:rsidR="00D74585" w14:paraId="712EBDD5"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20820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289FA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Non-violent crime rate</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81BF8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0.94 (-3.15, 5.02)</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9D938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319B0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1628F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w:t>
            </w:r>
          </w:p>
        </w:tc>
      </w:tr>
      <w:tr w:rsidR="00D74585" w14:paraId="053847E1"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358B5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3059B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Area Deprivation Index</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EE565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0.33 (-1.55, 2.20)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72019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0.71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B314F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37C97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57</w:t>
            </w:r>
          </w:p>
        </w:tc>
      </w:tr>
      <w:tr w:rsidR="00D74585" w14:paraId="4DBD1BFF"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2A22F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8BEEE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Park density (per km²)</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586B2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-0.90 (-4.86, 3.07)</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13BE9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827CC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456</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F95EF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r>
      <w:tr w:rsidR="00D74585" w14:paraId="5994D45B"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E7DF8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77FCD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Park coverage (fraction)</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2C7FA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-0.85 (-5.33, 3.62)</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29191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B3189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456</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C21B0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r>
      <w:tr w:rsidR="00D74585" w14:paraId="15D2CDD3" w14:textId="77777777" w:rsidTr="00371362">
        <w:trPr>
          <w:jc w:val="center"/>
        </w:trPr>
        <w:tc>
          <w:tcPr>
            <w:tcW w:w="2016" w:type="dxa"/>
            <w:vMerge w:val="restar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A392F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Triglycerides (mg/dL)</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498A0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NDVI</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423F1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-6.16 (-17.44, 5.12)</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7BF0F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D7D47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456</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FF0E4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55</w:t>
            </w:r>
          </w:p>
        </w:tc>
      </w:tr>
      <w:tr w:rsidR="00D74585" w14:paraId="203302B4"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2ED4F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AC11B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Violent crime rate</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30967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2.40 (-18.11, 22.92)</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0905C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0.73</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30A0F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281</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9C7B4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w:t>
            </w:r>
          </w:p>
        </w:tc>
      </w:tr>
      <w:tr w:rsidR="00D74585" w14:paraId="6EC4AE26"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FB830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DEF3B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Non-violent crime rate</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37BE1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2.59 (-32.12, 37.30)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837A2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0.77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2EEA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281</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BB7D5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30</w:t>
            </w:r>
          </w:p>
        </w:tc>
      </w:tr>
      <w:tr w:rsidR="00D74585" w14:paraId="083BE170"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59DA8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20FDC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Area Deprivation Index</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B39BF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-0.13 (-11.75, 11.49)</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74590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0.98</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88683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456</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1E2F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55</w:t>
            </w:r>
          </w:p>
        </w:tc>
      </w:tr>
      <w:tr w:rsidR="00D74585" w14:paraId="25ABFF32"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444DC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684E5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Park density (per km²)</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9330D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-2.52 (-15.86, 10.82)</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C6310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4A45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31E85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54</w:t>
            </w:r>
          </w:p>
        </w:tc>
      </w:tr>
      <w:tr w:rsidR="00D74585" w14:paraId="596DD472"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69D89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7C26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Park coverage (fraction)</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981D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-1.62 (-24.33, 21.10)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571D8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0.78</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157B2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221AE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54</w:t>
            </w:r>
          </w:p>
        </w:tc>
      </w:tr>
      <w:tr w:rsidR="00D74585" w14:paraId="338D43EA" w14:textId="77777777" w:rsidTr="00371362">
        <w:trPr>
          <w:jc w:val="center"/>
        </w:trPr>
        <w:tc>
          <w:tcPr>
            <w:tcW w:w="2016" w:type="dxa"/>
            <w:vMerge w:val="restar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7C07C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 Cholesterol (mg/dL)</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4372D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NDVI</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99DDF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0.14 (-8.52, 8.79)</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E49B6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2B90D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61808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57</w:t>
            </w:r>
          </w:p>
        </w:tc>
      </w:tr>
      <w:tr w:rsidR="00D74585" w14:paraId="0879CE0F"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7345A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448CE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Violent crime rate</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DE8DA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2.90 (-5.80, 11.61)</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EE072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9647A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489B4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w:t>
            </w:r>
          </w:p>
        </w:tc>
      </w:tr>
      <w:tr w:rsidR="00D74585" w14:paraId="70B39ABE"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E2D23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A76DB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Non-violent crime rate</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29926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3.63 (-12.68, 19.95)</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E2297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5CE4D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C2D6B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w:t>
            </w:r>
          </w:p>
        </w:tc>
      </w:tr>
      <w:tr w:rsidR="00D74585" w14:paraId="0E52D8B3"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4465D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036B2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Area Deprivation Index</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31A72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-1.46 (-8.64, 5.71)</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E67F0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0.66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A3ECA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BBD7C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57</w:t>
            </w:r>
          </w:p>
        </w:tc>
      </w:tr>
      <w:tr w:rsidR="00D74585" w14:paraId="46A82F72"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4FFCD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A42F6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Park density (per km²)</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BA839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0.83 (-15.31, 16.98)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5617A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0.86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D67AE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456</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358E7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r>
      <w:tr w:rsidR="00D74585" w14:paraId="44CB971C"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3100A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F3EC0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Park coverage (fraction)</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B19F3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β = 2.39 (-7.87, 12.65)</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357A9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ADA21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456</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02A1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r>
      <w:tr w:rsidR="00D74585" w14:paraId="5219F78F" w14:textId="77777777" w:rsidTr="00371362">
        <w:trPr>
          <w:jc w:val="center"/>
        </w:trPr>
        <w:tc>
          <w:tcPr>
            <w:tcW w:w="2016" w:type="dxa"/>
            <w:vMerge w:val="restar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70F67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Dyslipidemia</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AB551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NDVI</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ED5AB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1.11 (0.85, 1.43)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BDA08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C34B0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576</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22476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67</w:t>
            </w:r>
          </w:p>
        </w:tc>
      </w:tr>
      <w:tr w:rsidR="00D74585" w14:paraId="0C2CCF7A"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3B0B2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28C29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Violent crime rate</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BD333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1.03 (0.63, 1.67)</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63305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0.89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41F4D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364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59916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w:t>
            </w:r>
          </w:p>
        </w:tc>
      </w:tr>
      <w:tr w:rsidR="00D74585" w14:paraId="200CF6E6"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203CB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C6C1B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Non-violent crime rate</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02D6B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0.99 (0.48, 2.03)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F3CB4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CB11E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364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79B47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w:t>
            </w:r>
          </w:p>
        </w:tc>
      </w:tr>
      <w:tr w:rsidR="00D74585" w14:paraId="2FE5108A"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689BD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2F491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Area Deprivation Index</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14DEB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0.99 (0.81, 1.20)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B0CBA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0.89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818FD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576</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784B1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67</w:t>
            </w:r>
          </w:p>
        </w:tc>
      </w:tr>
      <w:tr w:rsidR="00D74585" w14:paraId="320071A3"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B8428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DDA21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Park density (per km²)</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127A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1.09 (0.79, 1.49)</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AF87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9B2CC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573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107FB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66</w:t>
            </w:r>
          </w:p>
        </w:tc>
      </w:tr>
      <w:tr w:rsidR="00D74585" w14:paraId="6B45273B"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14521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9EB21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Park coverage (fraction)</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2420B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1.11 (0.81, 1.53)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07AA9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28B08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573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09426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66</w:t>
            </w:r>
          </w:p>
        </w:tc>
      </w:tr>
      <w:tr w:rsidR="00D74585" w14:paraId="10796E95" w14:textId="77777777" w:rsidTr="00371362">
        <w:trPr>
          <w:jc w:val="center"/>
        </w:trPr>
        <w:tc>
          <w:tcPr>
            <w:tcW w:w="2016" w:type="dxa"/>
            <w:vMerge w:val="restar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FEFD0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Low HDL</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3D629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NDVI</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FBF00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1.08 (0.72, 1.63)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35219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0.62</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55F21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357FE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57</w:t>
            </w:r>
          </w:p>
        </w:tc>
      </w:tr>
      <w:tr w:rsidR="00D74585" w14:paraId="213E26B7"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94088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18A21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Violent crime rate</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F7E9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0.62 (0.30, 1.29)</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79053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0.17</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A8B4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4D799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w:t>
            </w:r>
          </w:p>
        </w:tc>
      </w:tr>
      <w:tr w:rsidR="00D74585" w14:paraId="18F81A10"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600F5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3AA7F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Non-violent crime rate</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4BBE7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0.55 (0.19, 1.57)</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D703D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0.20</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BA5D4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99BD1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w:t>
            </w:r>
          </w:p>
        </w:tc>
      </w:tr>
      <w:tr w:rsidR="00D74585" w14:paraId="40B0DD92"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0C913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B7D5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Area Deprivation Index</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74395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0.89 (0.61, 1.29)</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C88F8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370E7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32F7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57</w:t>
            </w:r>
          </w:p>
        </w:tc>
      </w:tr>
      <w:tr w:rsidR="00D74585" w14:paraId="3ACC8DA9"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30EEBF"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4404E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Park density (per km²)</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7C105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0.97 (0.64, 1.48)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8CBDD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0.79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5AC25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456</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DE14B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r>
      <w:tr w:rsidR="00D74585" w14:paraId="21488578"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63718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07E9F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Park coverage (fraction)</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A6937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0.97 (0.61, 1.55)</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74696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0.81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FBF27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456</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92014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56</w:t>
            </w:r>
          </w:p>
        </w:tc>
      </w:tr>
      <w:tr w:rsidR="00D74585" w14:paraId="11D65AF2" w14:textId="77777777" w:rsidTr="00371362">
        <w:trPr>
          <w:jc w:val="center"/>
        </w:trPr>
        <w:tc>
          <w:tcPr>
            <w:tcW w:w="2016"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tcPr>
          <w:p w14:paraId="763523A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Multimorbidity</w:t>
            </w:r>
          </w:p>
        </w:tc>
        <w:tc>
          <w:tcPr>
            <w:tcW w:w="2592"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6FA5E6C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4A935F2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p>
        </w:tc>
        <w:tc>
          <w:tcPr>
            <w:tcW w:w="1008"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12B5FC3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p>
        </w:tc>
        <w:tc>
          <w:tcPr>
            <w:tcW w:w="720"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6A99816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p>
        </w:tc>
        <w:tc>
          <w:tcPr>
            <w:tcW w:w="1008" w:type="dxa"/>
            <w:tcBorders>
              <w:top w:val="none" w:sz="0" w:space="0" w:color="000000"/>
              <w:left w:val="none" w:sz="0" w:space="0" w:color="000000"/>
              <w:bottom w:val="single" w:sz="6" w:space="0" w:color="000000"/>
              <w:right w:val="none" w:sz="0" w:space="0" w:color="000000"/>
            </w:tcBorders>
            <w:shd w:val="clear" w:color="auto" w:fill="FFFFFF"/>
            <w:tcMar>
              <w:top w:w="0" w:type="dxa"/>
              <w:left w:w="0" w:type="dxa"/>
              <w:bottom w:w="0" w:type="dxa"/>
              <w:right w:w="0" w:type="dxa"/>
            </w:tcMar>
            <w:vAlign w:val="center"/>
          </w:tcPr>
          <w:p w14:paraId="1E071C5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p>
        </w:tc>
      </w:tr>
      <w:tr w:rsidR="00D74585" w14:paraId="52D66400" w14:textId="77777777" w:rsidTr="00371362">
        <w:trPr>
          <w:jc w:val="center"/>
        </w:trPr>
        <w:tc>
          <w:tcPr>
            <w:tcW w:w="2016" w:type="dxa"/>
            <w:vMerge w:val="restart"/>
            <w:tcBorders>
              <w:top w:val="single" w:sz="6"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tcPr>
          <w:p w14:paraId="676BB1A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Multimorbidity (≥2 conditions)</w:t>
            </w:r>
          </w:p>
        </w:tc>
        <w:tc>
          <w:tcPr>
            <w:tcW w:w="2592"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8A64C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NDVI</w:t>
            </w:r>
          </w:p>
        </w:tc>
        <w:tc>
          <w:tcPr>
            <w:tcW w:w="2592"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48E05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1.07 (0.87, 1.31)</w:t>
            </w:r>
          </w:p>
        </w:tc>
        <w:tc>
          <w:tcPr>
            <w:tcW w:w="1008"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420DC"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0.46</w:t>
            </w:r>
          </w:p>
        </w:tc>
        <w:tc>
          <w:tcPr>
            <w:tcW w:w="720"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FD5FE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576</w:t>
            </w:r>
          </w:p>
        </w:tc>
        <w:tc>
          <w:tcPr>
            <w:tcW w:w="1008" w:type="dxa"/>
            <w:tcBorders>
              <w:top w:val="single" w:sz="6"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55F64A"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67</w:t>
            </w:r>
          </w:p>
        </w:tc>
      </w:tr>
      <w:tr w:rsidR="00D74585" w14:paraId="0AB38FBF" w14:textId="77777777" w:rsidTr="00371362">
        <w:trPr>
          <w:jc w:val="center"/>
        </w:trPr>
        <w:tc>
          <w:tcPr>
            <w:tcW w:w="2016" w:type="dxa"/>
            <w:vMerge/>
            <w:tcBorders>
              <w:top w:val="single" w:sz="12"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C73C2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5B6A13"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Violent crime rate</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0146C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0.98 (0.65, 1.48)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5EF8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0.89</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C2EBB4"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364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D9342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w:t>
            </w:r>
          </w:p>
        </w:tc>
      </w:tr>
      <w:tr w:rsidR="00D74585" w14:paraId="6CFA5A37"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9E4D5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0A740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Non-violent crime rate</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11ED7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0.97 (0.53, 1.77)</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CF953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0.84</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9B6405"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364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59115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38</w:t>
            </w:r>
          </w:p>
        </w:tc>
      </w:tr>
      <w:tr w:rsidR="00D74585" w14:paraId="3B7D75A9"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63F19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38AA7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Area Deprivation Index</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F707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1.06 (0.86, 1.30)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B96C2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0.56</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6EA7B"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576</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0E7A79"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67</w:t>
            </w:r>
          </w:p>
        </w:tc>
      </w:tr>
      <w:tr w:rsidR="00D74585" w14:paraId="6FE19E62" w14:textId="77777777" w:rsidTr="00371362">
        <w:trPr>
          <w:jc w:val="center"/>
        </w:trPr>
        <w:tc>
          <w:tcPr>
            <w:tcW w:w="2016" w:type="dxa"/>
            <w:vMerge/>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17980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312BC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Park density (per km²)</w:t>
            </w:r>
          </w:p>
        </w:tc>
        <w:tc>
          <w:tcPr>
            <w:tcW w:w="25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683658"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1.01 (0.81, 1.26)</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F9C6C1"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0.91</w:t>
            </w:r>
          </w:p>
        </w:tc>
        <w:tc>
          <w:tcPr>
            <w:tcW w:w="7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4AAC76"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573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C6F63E"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66</w:t>
            </w:r>
          </w:p>
        </w:tc>
      </w:tr>
      <w:tr w:rsidR="00D74585" w14:paraId="5B113346" w14:textId="77777777" w:rsidTr="00371362">
        <w:trPr>
          <w:jc w:val="center"/>
        </w:trPr>
        <w:tc>
          <w:tcPr>
            <w:tcW w:w="2016" w:type="dxa"/>
            <w:vMerge/>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tcPr>
          <w:p w14:paraId="3D860B1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p>
        </w:tc>
        <w:tc>
          <w:tcPr>
            <w:tcW w:w="2592" w:type="dxa"/>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5A64440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Park coverage (fraction)</w:t>
            </w:r>
          </w:p>
        </w:tc>
        <w:tc>
          <w:tcPr>
            <w:tcW w:w="2592" w:type="dxa"/>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53919B40"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OR = 1.01 (0.79, 1.29)</w:t>
            </w:r>
          </w:p>
        </w:tc>
        <w:tc>
          <w:tcPr>
            <w:tcW w:w="1008" w:type="dxa"/>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13FDCBA2"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0.92</w:t>
            </w:r>
          </w:p>
        </w:tc>
        <w:tc>
          <w:tcPr>
            <w:tcW w:w="720" w:type="dxa"/>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0A79B01D"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573</w:t>
            </w:r>
          </w:p>
        </w:tc>
        <w:tc>
          <w:tcPr>
            <w:tcW w:w="1008" w:type="dxa"/>
            <w:tcBorders>
              <w:top w:val="none" w:sz="0" w:space="0" w:color="000000"/>
              <w:left w:val="none" w:sz="0" w:space="0" w:color="000000"/>
              <w:bottom w:val="single" w:sz="12" w:space="0" w:color="000000"/>
              <w:right w:val="none" w:sz="0" w:space="0" w:color="000000"/>
            </w:tcBorders>
            <w:shd w:val="clear" w:color="auto" w:fill="FFFFFF"/>
            <w:tcMar>
              <w:top w:w="0" w:type="dxa"/>
              <w:left w:w="0" w:type="dxa"/>
              <w:bottom w:w="0" w:type="dxa"/>
              <w:right w:w="0" w:type="dxa"/>
            </w:tcMar>
            <w:vAlign w:val="center"/>
          </w:tcPr>
          <w:p w14:paraId="79660D17" w14:textId="77777777" w:rsidR="00D74585" w:rsidRDefault="00D74585" w:rsidP="0037136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66</w:t>
            </w:r>
          </w:p>
        </w:tc>
      </w:tr>
    </w:tbl>
    <w:p w14:paraId="3DE8F173" w14:textId="77777777" w:rsidR="00D74585" w:rsidRPr="00E91087" w:rsidRDefault="00D74585" w:rsidP="00D74585">
      <w:pPr>
        <w:spacing w:line="480" w:lineRule="auto"/>
        <w:jc w:val="center"/>
      </w:pPr>
    </w:p>
    <w:p w14:paraId="4BC28A77" w14:textId="77777777" w:rsidR="00A91650" w:rsidRDefault="00A91650"/>
    <w:sectPr w:rsidR="00A91650" w:rsidSect="00D74585">
      <w:footerReference w:type="even" r:id="rId5"/>
      <w:footerReference w:type="default" r:id="rId6"/>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71395318"/>
      <w:docPartObj>
        <w:docPartGallery w:val="Page Numbers (Bottom of Page)"/>
        <w:docPartUnique/>
      </w:docPartObj>
    </w:sdtPr>
    <w:sdtContent>
      <w:p w14:paraId="2C83ADA2" w14:textId="77777777" w:rsidR="00D74585" w:rsidRDefault="00D74585" w:rsidP="00AB45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2A8E60F" w14:textId="77777777" w:rsidR="00D74585" w:rsidRDefault="00D74585" w:rsidP="009C2D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656380454"/>
      <w:docPartObj>
        <w:docPartGallery w:val="Page Numbers (Bottom of Page)"/>
        <w:docPartUnique/>
      </w:docPartObj>
    </w:sdtPr>
    <w:sdtContent>
      <w:p w14:paraId="60D6E67E" w14:textId="77777777" w:rsidR="00D74585" w:rsidRPr="009C2D1D" w:rsidRDefault="00D74585" w:rsidP="00AB4525">
        <w:pPr>
          <w:pStyle w:val="Footer"/>
          <w:framePr w:wrap="none" w:vAnchor="text" w:hAnchor="margin" w:xAlign="right" w:y="1"/>
          <w:rPr>
            <w:rStyle w:val="PageNumber"/>
            <w:rFonts w:ascii="Times New Roman" w:hAnsi="Times New Roman" w:cs="Times New Roman"/>
          </w:rPr>
        </w:pPr>
        <w:r w:rsidRPr="009C2D1D">
          <w:rPr>
            <w:rStyle w:val="PageNumber"/>
            <w:rFonts w:ascii="Times New Roman" w:hAnsi="Times New Roman" w:cs="Times New Roman"/>
          </w:rPr>
          <w:fldChar w:fldCharType="begin"/>
        </w:r>
        <w:r w:rsidRPr="009C2D1D">
          <w:rPr>
            <w:rStyle w:val="PageNumber"/>
            <w:rFonts w:ascii="Times New Roman" w:hAnsi="Times New Roman" w:cs="Times New Roman"/>
          </w:rPr>
          <w:instrText xml:space="preserve"> PAGE </w:instrText>
        </w:r>
        <w:r w:rsidRPr="009C2D1D">
          <w:rPr>
            <w:rStyle w:val="PageNumber"/>
            <w:rFonts w:ascii="Times New Roman" w:hAnsi="Times New Roman" w:cs="Times New Roman"/>
          </w:rPr>
          <w:fldChar w:fldCharType="separate"/>
        </w:r>
        <w:r w:rsidRPr="009C2D1D">
          <w:rPr>
            <w:rStyle w:val="PageNumber"/>
            <w:rFonts w:ascii="Times New Roman" w:hAnsi="Times New Roman" w:cs="Times New Roman"/>
            <w:noProof/>
          </w:rPr>
          <w:t>1</w:t>
        </w:r>
        <w:r w:rsidRPr="009C2D1D">
          <w:rPr>
            <w:rStyle w:val="PageNumber"/>
            <w:rFonts w:ascii="Times New Roman" w:hAnsi="Times New Roman" w:cs="Times New Roman"/>
          </w:rPr>
          <w:fldChar w:fldCharType="end"/>
        </w:r>
      </w:p>
    </w:sdtContent>
  </w:sdt>
  <w:p w14:paraId="2F554EEF" w14:textId="77777777" w:rsidR="00D74585" w:rsidRDefault="00D74585" w:rsidP="009C2D1D">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B07AC"/>
    <w:multiLevelType w:val="multilevel"/>
    <w:tmpl w:val="2376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8136C1"/>
    <w:multiLevelType w:val="hybridMultilevel"/>
    <w:tmpl w:val="CFE043C4"/>
    <w:lvl w:ilvl="0" w:tplc="CC2A19BE">
      <w:start w:val="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A667BE"/>
    <w:multiLevelType w:val="multilevel"/>
    <w:tmpl w:val="4B5C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395A6C"/>
    <w:multiLevelType w:val="multilevel"/>
    <w:tmpl w:val="7AB88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053579">
    <w:abstractNumId w:val="1"/>
  </w:num>
  <w:num w:numId="2" w16cid:durableId="504832064">
    <w:abstractNumId w:val="3"/>
  </w:num>
  <w:num w:numId="3" w16cid:durableId="439692283">
    <w:abstractNumId w:val="2"/>
  </w:num>
  <w:num w:numId="4" w16cid:durableId="2011130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585"/>
    <w:rsid w:val="000E2EDD"/>
    <w:rsid w:val="00A91650"/>
    <w:rsid w:val="00CD53DF"/>
    <w:rsid w:val="00D74585"/>
    <w:rsid w:val="00E14F05"/>
    <w:rsid w:val="00E559FE"/>
    <w:rsid w:val="00E633F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1D1C8"/>
  <w15:chartTrackingRefBased/>
  <w15:docId w15:val="{8EB96437-4BC0-494D-9A8C-4EF352C89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585"/>
    <w:rPr>
      <w:lang w:val="en-US"/>
    </w:rPr>
  </w:style>
  <w:style w:type="paragraph" w:styleId="Heading1">
    <w:name w:val="heading 1"/>
    <w:basedOn w:val="Normal"/>
    <w:next w:val="Normal"/>
    <w:link w:val="Heading1Char"/>
    <w:uiPriority w:val="9"/>
    <w:qFormat/>
    <w:rsid w:val="00D745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45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45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45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45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45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45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45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45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45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45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45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45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45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45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45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45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4585"/>
    <w:rPr>
      <w:rFonts w:eastAsiaTheme="majorEastAsia" w:cstheme="majorBidi"/>
      <w:color w:val="272727" w:themeColor="text1" w:themeTint="D8"/>
    </w:rPr>
  </w:style>
  <w:style w:type="paragraph" w:styleId="Title">
    <w:name w:val="Title"/>
    <w:basedOn w:val="Normal"/>
    <w:next w:val="Normal"/>
    <w:link w:val="TitleChar"/>
    <w:uiPriority w:val="10"/>
    <w:qFormat/>
    <w:rsid w:val="00D745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45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45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45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4585"/>
    <w:pPr>
      <w:spacing w:before="160"/>
      <w:jc w:val="center"/>
    </w:pPr>
    <w:rPr>
      <w:i/>
      <w:iCs/>
      <w:color w:val="404040" w:themeColor="text1" w:themeTint="BF"/>
    </w:rPr>
  </w:style>
  <w:style w:type="character" w:customStyle="1" w:styleId="QuoteChar">
    <w:name w:val="Quote Char"/>
    <w:basedOn w:val="DefaultParagraphFont"/>
    <w:link w:val="Quote"/>
    <w:uiPriority w:val="29"/>
    <w:rsid w:val="00D74585"/>
    <w:rPr>
      <w:i/>
      <w:iCs/>
      <w:color w:val="404040" w:themeColor="text1" w:themeTint="BF"/>
    </w:rPr>
  </w:style>
  <w:style w:type="paragraph" w:styleId="ListParagraph">
    <w:name w:val="List Paragraph"/>
    <w:basedOn w:val="Normal"/>
    <w:uiPriority w:val="34"/>
    <w:qFormat/>
    <w:rsid w:val="00D74585"/>
    <w:pPr>
      <w:ind w:left="720"/>
      <w:contextualSpacing/>
    </w:pPr>
  </w:style>
  <w:style w:type="character" w:styleId="IntenseEmphasis">
    <w:name w:val="Intense Emphasis"/>
    <w:basedOn w:val="DefaultParagraphFont"/>
    <w:uiPriority w:val="21"/>
    <w:qFormat/>
    <w:rsid w:val="00D74585"/>
    <w:rPr>
      <w:i/>
      <w:iCs/>
      <w:color w:val="0F4761" w:themeColor="accent1" w:themeShade="BF"/>
    </w:rPr>
  </w:style>
  <w:style w:type="paragraph" w:styleId="IntenseQuote">
    <w:name w:val="Intense Quote"/>
    <w:basedOn w:val="Normal"/>
    <w:next w:val="Normal"/>
    <w:link w:val="IntenseQuoteChar"/>
    <w:uiPriority w:val="30"/>
    <w:qFormat/>
    <w:rsid w:val="00D745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4585"/>
    <w:rPr>
      <w:i/>
      <w:iCs/>
      <w:color w:val="0F4761" w:themeColor="accent1" w:themeShade="BF"/>
    </w:rPr>
  </w:style>
  <w:style w:type="character" w:styleId="IntenseReference">
    <w:name w:val="Intense Reference"/>
    <w:basedOn w:val="DefaultParagraphFont"/>
    <w:uiPriority w:val="32"/>
    <w:qFormat/>
    <w:rsid w:val="00D74585"/>
    <w:rPr>
      <w:b/>
      <w:bCs/>
      <w:smallCaps/>
      <w:color w:val="0F4761" w:themeColor="accent1" w:themeShade="BF"/>
      <w:spacing w:val="5"/>
    </w:rPr>
  </w:style>
  <w:style w:type="paragraph" w:customStyle="1" w:styleId="paragraph">
    <w:name w:val="paragraph"/>
    <w:basedOn w:val="Normal"/>
    <w:rsid w:val="00D74585"/>
    <w:pPr>
      <w:spacing w:before="100" w:beforeAutospacing="1" w:after="100" w:afterAutospacing="1" w:line="240" w:lineRule="auto"/>
    </w:pPr>
    <w:rPr>
      <w:rFonts w:ascii="Times New Roman" w:eastAsia="Times New Roman" w:hAnsi="Times New Roman" w:cs="Times New Roman"/>
      <w:kern w:val="0"/>
    </w:rPr>
  </w:style>
  <w:style w:type="character" w:customStyle="1" w:styleId="normaltextrun">
    <w:name w:val="normaltextrun"/>
    <w:basedOn w:val="DefaultParagraphFont"/>
    <w:rsid w:val="00D74585"/>
  </w:style>
  <w:style w:type="character" w:customStyle="1" w:styleId="eop">
    <w:name w:val="eop"/>
    <w:basedOn w:val="DefaultParagraphFont"/>
    <w:rsid w:val="00D74585"/>
  </w:style>
  <w:style w:type="character" w:customStyle="1" w:styleId="apple-converted-space">
    <w:name w:val="apple-converted-space"/>
    <w:basedOn w:val="DefaultParagraphFont"/>
    <w:rsid w:val="00D74585"/>
  </w:style>
  <w:style w:type="paragraph" w:styleId="Bibliography">
    <w:name w:val="Bibliography"/>
    <w:basedOn w:val="Normal"/>
    <w:next w:val="Normal"/>
    <w:uiPriority w:val="37"/>
    <w:unhideWhenUsed/>
    <w:rsid w:val="00D74585"/>
    <w:pPr>
      <w:tabs>
        <w:tab w:val="left" w:pos="260"/>
      </w:tabs>
      <w:spacing w:after="240" w:line="240" w:lineRule="auto"/>
      <w:ind w:left="264" w:hanging="264"/>
    </w:pPr>
  </w:style>
  <w:style w:type="paragraph" w:customStyle="1" w:styleId="p1">
    <w:name w:val="p1"/>
    <w:basedOn w:val="Normal"/>
    <w:rsid w:val="00D74585"/>
    <w:pPr>
      <w:spacing w:after="0" w:line="240" w:lineRule="auto"/>
    </w:pPr>
    <w:rPr>
      <w:rFonts w:ascii="Times New Roman" w:eastAsia="Times New Roman" w:hAnsi="Times New Roman" w:cs="Times New Roman"/>
      <w:color w:val="000000"/>
      <w:kern w:val="0"/>
      <w:sz w:val="18"/>
      <w:szCs w:val="18"/>
      <w14:ligatures w14:val="none"/>
    </w:rPr>
  </w:style>
  <w:style w:type="character" w:styleId="CommentReference">
    <w:name w:val="annotation reference"/>
    <w:basedOn w:val="DefaultParagraphFont"/>
    <w:uiPriority w:val="99"/>
    <w:semiHidden/>
    <w:unhideWhenUsed/>
    <w:rsid w:val="00D74585"/>
    <w:rPr>
      <w:sz w:val="16"/>
      <w:szCs w:val="16"/>
    </w:rPr>
  </w:style>
  <w:style w:type="paragraph" w:styleId="CommentText">
    <w:name w:val="annotation text"/>
    <w:basedOn w:val="Normal"/>
    <w:link w:val="CommentTextChar"/>
    <w:uiPriority w:val="99"/>
    <w:unhideWhenUsed/>
    <w:rsid w:val="00D74585"/>
    <w:pPr>
      <w:spacing w:line="240" w:lineRule="auto"/>
    </w:pPr>
    <w:rPr>
      <w:sz w:val="20"/>
      <w:szCs w:val="20"/>
    </w:rPr>
  </w:style>
  <w:style w:type="character" w:customStyle="1" w:styleId="CommentTextChar">
    <w:name w:val="Comment Text Char"/>
    <w:basedOn w:val="DefaultParagraphFont"/>
    <w:link w:val="CommentText"/>
    <w:uiPriority w:val="99"/>
    <w:rsid w:val="00D74585"/>
    <w:rPr>
      <w:sz w:val="20"/>
      <w:szCs w:val="20"/>
      <w:lang w:val="en-US"/>
    </w:rPr>
  </w:style>
  <w:style w:type="paragraph" w:styleId="CommentSubject">
    <w:name w:val="annotation subject"/>
    <w:basedOn w:val="CommentText"/>
    <w:next w:val="CommentText"/>
    <w:link w:val="CommentSubjectChar"/>
    <w:uiPriority w:val="99"/>
    <w:semiHidden/>
    <w:unhideWhenUsed/>
    <w:rsid w:val="00D74585"/>
    <w:rPr>
      <w:b/>
      <w:bCs/>
    </w:rPr>
  </w:style>
  <w:style w:type="character" w:customStyle="1" w:styleId="CommentSubjectChar">
    <w:name w:val="Comment Subject Char"/>
    <w:basedOn w:val="CommentTextChar"/>
    <w:link w:val="CommentSubject"/>
    <w:uiPriority w:val="99"/>
    <w:semiHidden/>
    <w:rsid w:val="00D74585"/>
    <w:rPr>
      <w:b/>
      <w:bCs/>
      <w:sz w:val="20"/>
      <w:szCs w:val="20"/>
      <w:lang w:val="en-US"/>
    </w:rPr>
  </w:style>
  <w:style w:type="paragraph" w:styleId="Revision">
    <w:name w:val="Revision"/>
    <w:hidden/>
    <w:uiPriority w:val="99"/>
    <w:semiHidden/>
    <w:rsid w:val="00D74585"/>
    <w:pPr>
      <w:spacing w:after="0" w:line="240" w:lineRule="auto"/>
    </w:pPr>
    <w:rPr>
      <w:lang w:val="en-US"/>
    </w:rPr>
  </w:style>
  <w:style w:type="character" w:styleId="Hyperlink">
    <w:name w:val="Hyperlink"/>
    <w:basedOn w:val="DefaultParagraphFont"/>
    <w:uiPriority w:val="99"/>
    <w:unhideWhenUsed/>
    <w:rsid w:val="00D74585"/>
    <w:rPr>
      <w:color w:val="467886" w:themeColor="hyperlink"/>
      <w:u w:val="single"/>
    </w:rPr>
  </w:style>
  <w:style w:type="character" w:styleId="UnresolvedMention">
    <w:name w:val="Unresolved Mention"/>
    <w:basedOn w:val="DefaultParagraphFont"/>
    <w:uiPriority w:val="99"/>
    <w:semiHidden/>
    <w:unhideWhenUsed/>
    <w:rsid w:val="00D74585"/>
    <w:rPr>
      <w:color w:val="605E5C"/>
      <w:shd w:val="clear" w:color="auto" w:fill="E1DFDD"/>
    </w:rPr>
  </w:style>
  <w:style w:type="paragraph" w:customStyle="1" w:styleId="font-claude-response-body">
    <w:name w:val="font-claude-response-body"/>
    <w:basedOn w:val="Normal"/>
    <w:rsid w:val="00D7458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74585"/>
    <w:rPr>
      <w:b/>
      <w:bCs/>
    </w:rPr>
  </w:style>
  <w:style w:type="paragraph" w:customStyle="1" w:styleId="is-empty">
    <w:name w:val="is-empty"/>
    <w:basedOn w:val="Normal"/>
    <w:rsid w:val="00D7458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TMLCode">
    <w:name w:val="HTML Code"/>
    <w:basedOn w:val="DefaultParagraphFont"/>
    <w:uiPriority w:val="99"/>
    <w:semiHidden/>
    <w:unhideWhenUsed/>
    <w:rsid w:val="00D74585"/>
    <w:rPr>
      <w:rFonts w:ascii="Courier New" w:eastAsia="Times New Roman" w:hAnsi="Courier New" w:cs="Courier New"/>
      <w:sz w:val="20"/>
      <w:szCs w:val="20"/>
    </w:rPr>
  </w:style>
  <w:style w:type="character" w:styleId="LineNumber">
    <w:name w:val="line number"/>
    <w:basedOn w:val="DefaultParagraphFont"/>
    <w:uiPriority w:val="99"/>
    <w:semiHidden/>
    <w:unhideWhenUsed/>
    <w:rsid w:val="00D74585"/>
  </w:style>
  <w:style w:type="paragraph" w:styleId="Footer">
    <w:name w:val="footer"/>
    <w:basedOn w:val="Normal"/>
    <w:link w:val="FooterChar"/>
    <w:uiPriority w:val="99"/>
    <w:unhideWhenUsed/>
    <w:rsid w:val="00D745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4585"/>
    <w:rPr>
      <w:lang w:val="en-US"/>
    </w:rPr>
  </w:style>
  <w:style w:type="character" w:styleId="PageNumber">
    <w:name w:val="page number"/>
    <w:basedOn w:val="DefaultParagraphFont"/>
    <w:uiPriority w:val="99"/>
    <w:semiHidden/>
    <w:unhideWhenUsed/>
    <w:rsid w:val="00D74585"/>
  </w:style>
  <w:style w:type="paragraph" w:styleId="Header">
    <w:name w:val="header"/>
    <w:basedOn w:val="Normal"/>
    <w:link w:val="HeaderChar"/>
    <w:uiPriority w:val="99"/>
    <w:unhideWhenUsed/>
    <w:rsid w:val="00D745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458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3829</Words>
  <Characters>21828</Characters>
  <Application>Microsoft Office Word</Application>
  <DocSecurity>0</DocSecurity>
  <Lines>181</Lines>
  <Paragraphs>51</Paragraphs>
  <ScaleCrop>false</ScaleCrop>
  <Company/>
  <LinksUpToDate>false</LinksUpToDate>
  <CharactersWithSpaces>25606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2026-09-07T17:38:00Z</dcterms:created>
  <dcterms:modified xsi:type="dcterms:W3CDTF">2026-09-07T17:39:00Z</dcterms:modified>
</cp:coreProperties>
</file>