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E2E80" w14:textId="77777777" w:rsidR="00AB1E98" w:rsidRPr="00F30DC9" w:rsidRDefault="00AB1E98" w:rsidP="00F30DC9">
      <w:pPr>
        <w:pStyle w:val="Heading1"/>
        <w:spacing w:after="288" w:line="48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supplementary"/>
      <w:r w:rsidRPr="00F30DC9">
        <w:rPr>
          <w:rFonts w:ascii="Times New Roman" w:hAnsi="Times New Roman" w:cs="Times New Roman"/>
          <w:sz w:val="28"/>
          <w:szCs w:val="28"/>
        </w:rPr>
        <w:t>Supplementary</w:t>
      </w:r>
      <w:r w:rsidRPr="00F30DC9">
        <w:rPr>
          <w:b w:val="0"/>
          <w:color w:val="auto"/>
          <w:sz w:val="28"/>
          <w:szCs w:val="28"/>
        </w:rPr>
        <w:t xml:space="preserve"> </w:t>
      </w:r>
      <w:r w:rsidRPr="00F30DC9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Materials</w:t>
      </w:r>
    </w:p>
    <w:p w14:paraId="700C677B" w14:textId="7DD358BB" w:rsidR="00F30DC9" w:rsidRPr="00F30DC9" w:rsidRDefault="00AB1E98" w:rsidP="00F30DC9">
      <w:pPr>
        <w:pStyle w:val="Heading2"/>
        <w:spacing w:before="432" w:after="144" w:line="480" w:lineRule="auto"/>
        <w:rPr>
          <w:rFonts w:ascii="Times New Roman" w:hAnsi="Times New Roman" w:cs="Times New Roman"/>
          <w:b w:val="0"/>
          <w:bCs/>
          <w:sz w:val="24"/>
        </w:rPr>
      </w:pPr>
      <w:bookmarkStart w:id="1" w:name="supplementary-1"/>
      <w:r w:rsidRPr="005C222C">
        <w:rPr>
          <w:rFonts w:ascii="Times New Roman" w:hAnsi="Times New Roman" w:cs="Times New Roman"/>
          <w:sz w:val="24"/>
        </w:rPr>
        <w:t xml:space="preserve">Supplementary </w:t>
      </w:r>
      <w:r w:rsidR="00F30DC9" w:rsidRPr="00F30DC9">
        <w:rPr>
          <w:rFonts w:ascii="Times New Roman" w:hAnsi="Times New Roman" w:cs="Times New Roman"/>
          <w:sz w:val="24"/>
        </w:rPr>
        <w:t xml:space="preserve">Figure </w:t>
      </w:r>
      <w:r w:rsidR="00F30DC9" w:rsidRPr="00F30DC9">
        <w:rPr>
          <w:rFonts w:ascii="Times New Roman" w:hAnsi="Times New Roman" w:cs="Times New Roman"/>
          <w:b w:val="0"/>
          <w:bCs/>
          <w:sz w:val="24"/>
        </w:rPr>
        <w:t>1.</w:t>
      </w:r>
      <w:r w:rsidR="00F30DC9" w:rsidRPr="00F30DC9">
        <w:rPr>
          <w:rFonts w:ascii="Times New Roman" w:hAnsi="Times New Roman" w:cs="Times New Roman" w:hint="eastAsia"/>
          <w:b w:val="0"/>
          <w:bCs/>
          <w:sz w:val="24"/>
        </w:rPr>
        <w:t xml:space="preserve"> </w:t>
      </w:r>
      <w:r w:rsidRPr="00F30DC9">
        <w:rPr>
          <w:rFonts w:ascii="Times New Roman" w:hAnsi="Times New Roman" w:cs="Times New Roman"/>
          <w:b w:val="0"/>
          <w:bCs/>
          <w:sz w:val="24"/>
        </w:rPr>
        <w:t xml:space="preserve">HER2 FISH confirmation in enrolled cases. </w:t>
      </w:r>
    </w:p>
    <w:p w14:paraId="43EDB330" w14:textId="5E1E152F" w:rsidR="00AB1E98" w:rsidRPr="00F40E29" w:rsidRDefault="00AB1E98" w:rsidP="00F30DC9">
      <w:pPr>
        <w:pStyle w:val="FirstParagraph"/>
        <w:spacing w:after="216" w:line="480" w:lineRule="auto"/>
        <w:jc w:val="both"/>
        <w:rPr>
          <w:rFonts w:cs="Times New Roman"/>
          <w:color w:val="000000" w:themeColor="text1"/>
          <w:sz w:val="24"/>
        </w:rPr>
      </w:pPr>
      <w:r w:rsidRPr="005C222C">
        <w:rPr>
          <w:rFonts w:cs="Times New Roman"/>
          <w:sz w:val="24"/>
        </w:rPr>
        <w:t>Representative HER2 FISH images and signal counts for Cases 1–3. HER2/CSP17 signal ratios were 1.05, 1.09, and 0.88, respectively</w:t>
      </w:r>
      <w:r w:rsidR="00C22CF9" w:rsidRPr="00C22CF9">
        <w:rPr>
          <w:rFonts w:asciiTheme="minorHAnsi" w:hAnsiTheme="minorHAnsi"/>
          <w:color w:val="auto"/>
          <w:kern w:val="2"/>
          <w14:ligatures w14:val="standardContextual"/>
        </w:rPr>
        <w:t xml:space="preserve"> </w:t>
      </w:r>
      <w:r w:rsidR="00C22CF9" w:rsidRPr="00F40E29">
        <w:rPr>
          <w:rFonts w:cs="Times New Roman"/>
          <w:color w:val="000000" w:themeColor="text1"/>
          <w:sz w:val="24"/>
        </w:rPr>
        <w:t>(40 cells analyzed per case)</w:t>
      </w:r>
      <w:r w:rsidRPr="00F40E29">
        <w:rPr>
          <w:rFonts w:cs="Times New Roman"/>
          <w:color w:val="000000" w:themeColor="text1"/>
          <w:sz w:val="24"/>
        </w:rPr>
        <w:t>, confirming HER2-negative status</w:t>
      </w:r>
      <w:r w:rsidR="00C22CF9" w:rsidRPr="00F40E29">
        <w:rPr>
          <w:rFonts w:asciiTheme="minorHAnsi" w:hAnsiTheme="minorHAnsi"/>
          <w:color w:val="000000" w:themeColor="text1"/>
          <w:kern w:val="2"/>
          <w14:ligatures w14:val="standardContextual"/>
        </w:rPr>
        <w:t xml:space="preserve"> </w:t>
      </w:r>
      <w:r w:rsidR="00C22CF9" w:rsidRPr="00F40E29">
        <w:rPr>
          <w:rFonts w:cs="Times New Roman"/>
          <w:color w:val="000000" w:themeColor="text1"/>
          <w:sz w:val="24"/>
        </w:rPr>
        <w:t>(ratio &lt; 2.0)</w:t>
      </w:r>
      <w:r w:rsidRPr="00F40E29">
        <w:rPr>
          <w:rFonts w:cs="Times New Roman"/>
          <w:color w:val="000000" w:themeColor="text1"/>
          <w:sz w:val="24"/>
        </w:rPr>
        <w:t>.</w:t>
      </w:r>
      <w:r w:rsidR="00064C90" w:rsidRPr="00F40E29">
        <w:rPr>
          <w:rFonts w:asciiTheme="minorHAnsi" w:hAnsiTheme="minorHAnsi"/>
          <w:color w:val="000000" w:themeColor="text1"/>
          <w:kern w:val="2"/>
          <w14:ligatures w14:val="standardContextual"/>
        </w:rPr>
        <w:t xml:space="preserve"> </w:t>
      </w:r>
      <w:r w:rsidR="00064C90" w:rsidRPr="00F40E29">
        <w:rPr>
          <w:rFonts w:cs="Times New Roman"/>
          <w:color w:val="000000" w:themeColor="text1"/>
          <w:sz w:val="24"/>
        </w:rPr>
        <w:t xml:space="preserve">Scale bar = </w:t>
      </w:r>
      <w:r w:rsidR="00F40E29">
        <w:rPr>
          <w:rFonts w:cs="Times New Roman" w:hint="eastAsia"/>
          <w:color w:val="000000" w:themeColor="text1"/>
          <w:sz w:val="24"/>
        </w:rPr>
        <w:t>200</w:t>
      </w:r>
      <w:r w:rsidR="00064C90" w:rsidRPr="00F40E29">
        <w:rPr>
          <w:rFonts w:cs="Times New Roman"/>
          <w:color w:val="000000" w:themeColor="text1"/>
          <w:sz w:val="24"/>
        </w:rPr>
        <w:t>μm</w:t>
      </w:r>
      <w:r w:rsidR="00064C90" w:rsidRPr="00F40E29">
        <w:rPr>
          <w:rFonts w:cs="Times New Roman" w:hint="eastAsia"/>
          <w:color w:val="000000" w:themeColor="text1"/>
          <w:sz w:val="24"/>
        </w:rPr>
        <w:t>.</w:t>
      </w:r>
    </w:p>
    <w:p w14:paraId="4254C91D" w14:textId="58EA63A4" w:rsidR="005507C2" w:rsidRPr="00F40E29" w:rsidRDefault="00064C90" w:rsidP="00F30DC9">
      <w:pPr>
        <w:pStyle w:val="FirstParagraph"/>
        <w:spacing w:after="216" w:line="480" w:lineRule="auto"/>
        <w:jc w:val="both"/>
        <w:rPr>
          <w:rFonts w:cs="Times New Roman"/>
          <w:color w:val="000000" w:themeColor="text1"/>
          <w:sz w:val="24"/>
        </w:rPr>
      </w:pPr>
      <w:r w:rsidRPr="00F40E29">
        <w:rPr>
          <w:rFonts w:cs="Times New Roman"/>
          <w:color w:val="000000" w:themeColor="text1"/>
          <w:sz w:val="24"/>
        </w:rPr>
        <w:t>Abbreviations: FISH,</w:t>
      </w:r>
      <w:r w:rsidRPr="00F40E29">
        <w:rPr>
          <w:rFonts w:cs="Times New Roman" w:hint="eastAsia"/>
          <w:color w:val="000000" w:themeColor="text1"/>
          <w:sz w:val="24"/>
        </w:rPr>
        <w:t xml:space="preserve"> </w:t>
      </w:r>
      <w:r w:rsidRPr="00F40E29">
        <w:rPr>
          <w:rFonts w:cs="Times New Roman"/>
          <w:color w:val="000000" w:themeColor="text1"/>
          <w:sz w:val="24"/>
        </w:rPr>
        <w:t>fluorescence in situ</w:t>
      </w:r>
      <w:r w:rsidR="00571A11" w:rsidRPr="00F40E29">
        <w:rPr>
          <w:rFonts w:cs="Times New Roman" w:hint="eastAsia"/>
          <w:color w:val="000000" w:themeColor="text1"/>
          <w:sz w:val="24"/>
        </w:rPr>
        <w:t xml:space="preserve"> </w:t>
      </w:r>
      <w:r w:rsidRPr="00F40E29">
        <w:rPr>
          <w:rFonts w:cs="Times New Roman"/>
          <w:color w:val="000000" w:themeColor="text1"/>
          <w:sz w:val="24"/>
        </w:rPr>
        <w:t>hybridization; HER2, human epidermal growth</w:t>
      </w:r>
      <w:r w:rsidRPr="00F40E29">
        <w:rPr>
          <w:rFonts w:cs="Times New Roman" w:hint="eastAsia"/>
          <w:color w:val="000000" w:themeColor="text1"/>
          <w:sz w:val="24"/>
        </w:rPr>
        <w:t xml:space="preserve"> </w:t>
      </w:r>
      <w:r w:rsidRPr="00F40E29">
        <w:rPr>
          <w:rFonts w:cs="Times New Roman"/>
          <w:color w:val="000000" w:themeColor="text1"/>
          <w:sz w:val="24"/>
        </w:rPr>
        <w:t>factor receptor 2; CSP17, chromosome 17</w:t>
      </w:r>
      <w:r w:rsidRPr="00F40E29">
        <w:rPr>
          <w:rFonts w:cs="Times New Roman" w:hint="eastAsia"/>
          <w:color w:val="000000" w:themeColor="text1"/>
          <w:sz w:val="24"/>
        </w:rPr>
        <w:t xml:space="preserve"> </w:t>
      </w:r>
      <w:r w:rsidRPr="00F40E29">
        <w:rPr>
          <w:rFonts w:cs="Times New Roman"/>
          <w:color w:val="000000" w:themeColor="text1"/>
          <w:sz w:val="24"/>
        </w:rPr>
        <w:t>centromere probe.</w:t>
      </w:r>
    </w:p>
    <w:p w14:paraId="389C22A8" w14:textId="3D687915" w:rsidR="00064C90" w:rsidRPr="005507C2" w:rsidRDefault="005507C2" w:rsidP="005507C2">
      <w:pPr>
        <w:widowControl/>
        <w:rPr>
          <w:rFonts w:ascii="Times New Roman" w:hAnsi="Times New Roman" w:cs="Times New Roman"/>
          <w:color w:val="EE0000"/>
          <w:kern w:val="0"/>
          <w:sz w:val="24"/>
          <w14:ligatures w14:val="none"/>
        </w:rPr>
      </w:pPr>
      <w:r>
        <w:rPr>
          <w:rFonts w:cs="Times New Roman"/>
          <w:color w:val="EE0000"/>
          <w:sz w:val="24"/>
        </w:rPr>
        <w:br w:type="page"/>
      </w:r>
    </w:p>
    <w:p w14:paraId="11000F48" w14:textId="3D4737ED" w:rsidR="00AB1E98" w:rsidRPr="00F30DC9" w:rsidRDefault="00AB1E98" w:rsidP="00AB1E98">
      <w:pPr>
        <w:pStyle w:val="Heading2"/>
        <w:spacing w:before="432" w:after="144" w:line="480" w:lineRule="auto"/>
        <w:rPr>
          <w:rFonts w:ascii="Times New Roman" w:hAnsi="Times New Roman" w:cs="Times New Roman"/>
          <w:b w:val="0"/>
          <w:bCs/>
          <w:sz w:val="24"/>
        </w:rPr>
      </w:pPr>
      <w:bookmarkStart w:id="2" w:name="supplementary-2"/>
      <w:bookmarkEnd w:id="1"/>
      <w:r w:rsidRPr="005C222C">
        <w:rPr>
          <w:rFonts w:ascii="Times New Roman" w:hAnsi="Times New Roman" w:cs="Times New Roman"/>
          <w:sz w:val="24"/>
        </w:rPr>
        <w:lastRenderedPageBreak/>
        <w:t xml:space="preserve">Supplementary </w:t>
      </w:r>
      <w:r w:rsidR="00F30DC9" w:rsidRPr="00F30DC9">
        <w:rPr>
          <w:rFonts w:ascii="Times New Roman" w:hAnsi="Times New Roman" w:cs="Times New Roman"/>
          <w:sz w:val="24"/>
        </w:rPr>
        <w:t xml:space="preserve">Figure </w:t>
      </w:r>
      <w:r w:rsidRPr="005C222C">
        <w:rPr>
          <w:rFonts w:ascii="Times New Roman" w:hAnsi="Times New Roman" w:cs="Times New Roman"/>
          <w:sz w:val="24"/>
        </w:rPr>
        <w:t>2</w:t>
      </w:r>
      <w:r w:rsidR="00F30DC9">
        <w:rPr>
          <w:rFonts w:ascii="Times New Roman" w:hAnsi="Times New Roman" w:cs="Times New Roman" w:hint="eastAsia"/>
          <w:sz w:val="24"/>
        </w:rPr>
        <w:t>.</w:t>
      </w:r>
      <w:r w:rsidR="00F30DC9" w:rsidRPr="00F30DC9">
        <w:rPr>
          <w:rFonts w:ascii="Times New Roman" w:hAnsi="Times New Roman" w:cs="Times New Roman"/>
          <w:b w:val="0"/>
          <w:bCs/>
          <w:sz w:val="24"/>
        </w:rPr>
        <w:t xml:space="preserve"> Additional bright-field images of organoid culture and passaging.</w:t>
      </w:r>
    </w:p>
    <w:p w14:paraId="30C742F9" w14:textId="77777777" w:rsidR="00F40E29" w:rsidRPr="00F40E29" w:rsidRDefault="00AB1E98" w:rsidP="00F30DC9">
      <w:pPr>
        <w:pStyle w:val="FirstParagraph"/>
        <w:spacing w:after="216" w:line="480" w:lineRule="auto"/>
        <w:jc w:val="both"/>
        <w:rPr>
          <w:rFonts w:cs="Times New Roman"/>
          <w:color w:val="000000" w:themeColor="text1"/>
          <w:sz w:val="24"/>
        </w:rPr>
      </w:pPr>
      <w:r w:rsidRPr="005C222C">
        <w:rPr>
          <w:rFonts w:cs="Times New Roman"/>
          <w:sz w:val="24"/>
        </w:rPr>
        <w:t>Representative images of organoid growth</w:t>
      </w:r>
      <w:r w:rsidRPr="00F40E29">
        <w:rPr>
          <w:rFonts w:cs="Times New Roman"/>
          <w:color w:val="000000" w:themeColor="text1"/>
          <w:sz w:val="24"/>
        </w:rPr>
        <w:t xml:space="preserve"> </w:t>
      </w:r>
      <w:r w:rsidR="00C22CF9" w:rsidRPr="00F40E29">
        <w:rPr>
          <w:rFonts w:cs="Times New Roman"/>
          <w:color w:val="000000" w:themeColor="text1"/>
          <w:kern w:val="2"/>
          <w:sz w:val="24"/>
          <w14:ligatures w14:val="standardContextual"/>
        </w:rPr>
        <w:t>at Day 0, 3, 7, 14, 21, and 28 across</w:t>
      </w:r>
      <w:r w:rsidR="00F40E29" w:rsidRPr="00F40E29">
        <w:rPr>
          <w:rFonts w:cs="Times New Roman" w:hint="eastAsia"/>
          <w:color w:val="000000" w:themeColor="text1"/>
          <w:kern w:val="2"/>
          <w:sz w:val="24"/>
          <w14:ligatures w14:val="standardContextual"/>
        </w:rPr>
        <w:t xml:space="preserve"> </w:t>
      </w:r>
      <w:r w:rsidR="00C22CF9" w:rsidRPr="00F40E29">
        <w:rPr>
          <w:rFonts w:cs="Times New Roman"/>
          <w:color w:val="000000" w:themeColor="text1"/>
          <w:kern w:val="2"/>
          <w:sz w:val="24"/>
          <w14:ligatures w14:val="standardContextual"/>
        </w:rPr>
        <w:t>P0 and P1 culture in Cases 1–3.</w:t>
      </w:r>
      <w:r w:rsidR="00436B27" w:rsidRPr="00F40E29">
        <w:rPr>
          <w:rFonts w:cs="Times New Roman" w:hint="eastAsia"/>
          <w:color w:val="000000" w:themeColor="text1"/>
          <w:kern w:val="2"/>
          <w:sz w:val="24"/>
          <w14:ligatures w14:val="standardContextual"/>
        </w:rPr>
        <w:t xml:space="preserve"> </w:t>
      </w:r>
      <w:r w:rsidR="00064C90" w:rsidRPr="00F40E29">
        <w:rPr>
          <w:rFonts w:cs="Times New Roman"/>
          <w:color w:val="000000" w:themeColor="text1"/>
          <w:sz w:val="24"/>
        </w:rPr>
        <w:t xml:space="preserve">Scale bar = </w:t>
      </w:r>
      <w:r w:rsidR="00436B27" w:rsidRPr="00F40E29">
        <w:rPr>
          <w:rFonts w:cs="Times New Roman" w:hint="eastAsia"/>
          <w:color w:val="000000" w:themeColor="text1"/>
          <w:sz w:val="24"/>
        </w:rPr>
        <w:t>200</w:t>
      </w:r>
      <w:r w:rsidR="00064C90" w:rsidRPr="00F40E29">
        <w:rPr>
          <w:rFonts w:cs="Times New Roman"/>
          <w:color w:val="000000" w:themeColor="text1"/>
          <w:sz w:val="24"/>
        </w:rPr>
        <w:t>μm.</w:t>
      </w:r>
    </w:p>
    <w:p w14:paraId="0759C5FF" w14:textId="1F418CE7" w:rsidR="005507C2" w:rsidRPr="00F40E29" w:rsidRDefault="00064C90" w:rsidP="00F30DC9">
      <w:pPr>
        <w:pStyle w:val="FirstParagraph"/>
        <w:spacing w:after="216" w:line="480" w:lineRule="auto"/>
        <w:jc w:val="both"/>
        <w:rPr>
          <w:rFonts w:cs="Times New Roman"/>
          <w:color w:val="000000" w:themeColor="text1"/>
          <w:sz w:val="24"/>
        </w:rPr>
      </w:pPr>
      <w:r w:rsidRPr="00F40E29">
        <w:rPr>
          <w:rFonts w:cs="Times New Roman"/>
          <w:color w:val="000000" w:themeColor="text1"/>
          <w:sz w:val="24"/>
        </w:rPr>
        <w:t>Abbreviations: P0, passage 0; P1, passage 1.</w:t>
      </w:r>
    </w:p>
    <w:p w14:paraId="5127E233" w14:textId="79571F63" w:rsidR="00AB1E98" w:rsidRPr="005507C2" w:rsidRDefault="005507C2" w:rsidP="005507C2">
      <w:pPr>
        <w:widowControl/>
        <w:rPr>
          <w:rFonts w:ascii="Times New Roman" w:hAnsi="Times New Roman" w:cs="Times New Roman"/>
          <w:color w:val="EE0000"/>
          <w:kern w:val="0"/>
          <w:sz w:val="24"/>
          <w14:ligatures w14:val="none"/>
        </w:rPr>
      </w:pPr>
      <w:r>
        <w:rPr>
          <w:rFonts w:cs="Times New Roman"/>
          <w:color w:val="EE0000"/>
          <w:sz w:val="24"/>
        </w:rPr>
        <w:br w:type="page"/>
      </w:r>
    </w:p>
    <w:p w14:paraId="1A0D86E1" w14:textId="34A803ED" w:rsidR="00AB1E98" w:rsidRPr="00F30DC9" w:rsidRDefault="00AB1E98" w:rsidP="00AB1E98">
      <w:pPr>
        <w:pStyle w:val="Heading2"/>
        <w:spacing w:before="432" w:after="144" w:line="480" w:lineRule="auto"/>
        <w:rPr>
          <w:rFonts w:ascii="Times New Roman" w:hAnsi="Times New Roman" w:cs="Times New Roman"/>
          <w:b w:val="0"/>
          <w:bCs/>
          <w:sz w:val="24"/>
        </w:rPr>
      </w:pPr>
      <w:bookmarkStart w:id="3" w:name="supplementary-3"/>
      <w:bookmarkEnd w:id="2"/>
      <w:r w:rsidRPr="005C222C">
        <w:rPr>
          <w:rFonts w:ascii="Times New Roman" w:hAnsi="Times New Roman" w:cs="Times New Roman"/>
          <w:sz w:val="24"/>
        </w:rPr>
        <w:lastRenderedPageBreak/>
        <w:t xml:space="preserve">Supplementary </w:t>
      </w:r>
      <w:r w:rsidR="00F30DC9" w:rsidRPr="00F30DC9">
        <w:rPr>
          <w:rFonts w:ascii="Times New Roman" w:hAnsi="Times New Roman" w:cs="Times New Roman"/>
          <w:sz w:val="24"/>
        </w:rPr>
        <w:t xml:space="preserve">Figure </w:t>
      </w:r>
      <w:r w:rsidRPr="005C222C">
        <w:rPr>
          <w:rFonts w:ascii="Times New Roman" w:hAnsi="Times New Roman" w:cs="Times New Roman"/>
          <w:sz w:val="24"/>
        </w:rPr>
        <w:t>3</w:t>
      </w:r>
      <w:r w:rsidR="00F30DC9">
        <w:rPr>
          <w:rFonts w:ascii="Times New Roman" w:hAnsi="Times New Roman" w:cs="Times New Roman" w:hint="eastAsia"/>
          <w:sz w:val="24"/>
        </w:rPr>
        <w:t>.</w:t>
      </w:r>
      <w:r w:rsidR="00F30DC9" w:rsidRPr="00F30DC9">
        <w:rPr>
          <w:rFonts w:cs="Times New Roman"/>
          <w:sz w:val="24"/>
        </w:rPr>
        <w:t xml:space="preserve"> </w:t>
      </w:r>
      <w:r w:rsidR="00F30DC9" w:rsidRPr="00F30DC9">
        <w:rPr>
          <w:rFonts w:ascii="Times New Roman" w:hAnsi="Times New Roman" w:cs="Times New Roman"/>
          <w:b w:val="0"/>
          <w:bCs/>
          <w:sz w:val="24"/>
        </w:rPr>
        <w:t>Additional organoid growth images during early culture.</w:t>
      </w:r>
    </w:p>
    <w:p w14:paraId="4B20907A" w14:textId="74B2A915" w:rsidR="005507C2" w:rsidRPr="00F40E29" w:rsidRDefault="00AB1E98" w:rsidP="00F30DC9">
      <w:pPr>
        <w:pStyle w:val="FirstParagraph"/>
        <w:spacing w:after="216" w:line="480" w:lineRule="auto"/>
        <w:jc w:val="both"/>
        <w:rPr>
          <w:rFonts w:cs="Times New Roman"/>
          <w:color w:val="000000" w:themeColor="text1"/>
          <w:sz w:val="24"/>
        </w:rPr>
      </w:pPr>
      <w:r w:rsidRPr="005C222C">
        <w:rPr>
          <w:rFonts w:cs="Times New Roman"/>
          <w:sz w:val="24"/>
        </w:rPr>
        <w:t xml:space="preserve">Representative bright-field images showing organoid morphology </w:t>
      </w:r>
      <w:r w:rsidR="00C22CF9" w:rsidRPr="00F40E29">
        <w:rPr>
          <w:rFonts w:cs="Times New Roman"/>
          <w:color w:val="000000" w:themeColor="text1"/>
          <w:kern w:val="2"/>
          <w:sz w:val="24"/>
          <w14:ligatures w14:val="standardContextual"/>
        </w:rPr>
        <w:t>at Day 0, 3, 7, and 14during early culture establishment in</w:t>
      </w:r>
      <w:r w:rsidR="00F40E29">
        <w:rPr>
          <w:rFonts w:cs="Times New Roman" w:hint="eastAsia"/>
          <w:color w:val="000000" w:themeColor="text1"/>
          <w:kern w:val="2"/>
          <w:sz w:val="24"/>
          <w14:ligatures w14:val="standardContextual"/>
        </w:rPr>
        <w:t xml:space="preserve"> </w:t>
      </w:r>
      <w:r w:rsidR="00C22CF9" w:rsidRPr="00F40E29">
        <w:rPr>
          <w:rFonts w:cs="Times New Roman"/>
          <w:color w:val="000000" w:themeColor="text1"/>
          <w:kern w:val="2"/>
          <w:sz w:val="24"/>
          <w14:ligatures w14:val="standardContextual"/>
        </w:rPr>
        <w:t>Cases 1–3</w:t>
      </w:r>
      <w:r w:rsidR="00F40E29">
        <w:rPr>
          <w:rFonts w:cs="Times New Roman" w:hint="eastAsia"/>
          <w:color w:val="000000" w:themeColor="text1"/>
          <w:kern w:val="2"/>
          <w:sz w:val="24"/>
          <w14:ligatures w14:val="standardContextual"/>
        </w:rPr>
        <w:t>.</w:t>
      </w:r>
      <w:r w:rsidR="00064C90" w:rsidRPr="00F40E29">
        <w:rPr>
          <w:rFonts w:cs="Times New Roman"/>
          <w:color w:val="000000" w:themeColor="text1"/>
          <w:sz w:val="24"/>
        </w:rPr>
        <w:t xml:space="preserve">Scale bar = </w:t>
      </w:r>
      <w:r w:rsidR="00F40E29">
        <w:rPr>
          <w:rFonts w:cs="Times New Roman" w:hint="eastAsia"/>
          <w:color w:val="000000" w:themeColor="text1"/>
          <w:sz w:val="24"/>
        </w:rPr>
        <w:t>200</w:t>
      </w:r>
      <w:r w:rsidR="00064C90" w:rsidRPr="00F40E29">
        <w:rPr>
          <w:rFonts w:cs="Times New Roman"/>
          <w:color w:val="000000" w:themeColor="text1"/>
          <w:sz w:val="24"/>
        </w:rPr>
        <w:t>μm.</w:t>
      </w:r>
    </w:p>
    <w:p w14:paraId="128D2BDA" w14:textId="358D5846" w:rsidR="00AB1E98" w:rsidRPr="005507C2" w:rsidRDefault="005507C2" w:rsidP="005507C2">
      <w:pPr>
        <w:widowControl/>
        <w:rPr>
          <w:rFonts w:ascii="Times New Roman" w:hAnsi="Times New Roman" w:cs="Times New Roman"/>
          <w:color w:val="111111"/>
          <w:kern w:val="0"/>
          <w:sz w:val="24"/>
          <w14:ligatures w14:val="none"/>
        </w:rPr>
      </w:pPr>
      <w:r>
        <w:rPr>
          <w:rFonts w:cs="Times New Roman"/>
          <w:sz w:val="24"/>
        </w:rPr>
        <w:br w:type="page"/>
      </w:r>
    </w:p>
    <w:p w14:paraId="3B537B00" w14:textId="28EB5501" w:rsidR="00AB1E98" w:rsidRPr="00F30DC9" w:rsidRDefault="00AB1E98" w:rsidP="00AB1E98">
      <w:pPr>
        <w:pStyle w:val="Heading2"/>
        <w:spacing w:before="432" w:after="144" w:line="480" w:lineRule="auto"/>
        <w:rPr>
          <w:rFonts w:ascii="Times New Roman" w:hAnsi="Times New Roman" w:cs="Times New Roman"/>
          <w:b w:val="0"/>
          <w:bCs/>
          <w:sz w:val="24"/>
        </w:rPr>
      </w:pPr>
      <w:bookmarkStart w:id="4" w:name="supplementary-4"/>
      <w:bookmarkEnd w:id="3"/>
      <w:r w:rsidRPr="005C222C">
        <w:rPr>
          <w:rFonts w:ascii="Times New Roman" w:hAnsi="Times New Roman" w:cs="Times New Roman"/>
          <w:sz w:val="24"/>
        </w:rPr>
        <w:lastRenderedPageBreak/>
        <w:t xml:space="preserve">Supplementary </w:t>
      </w:r>
      <w:r w:rsidR="00F30DC9" w:rsidRPr="00F30DC9">
        <w:rPr>
          <w:rFonts w:ascii="Times New Roman" w:hAnsi="Times New Roman" w:cs="Times New Roman"/>
          <w:sz w:val="24"/>
        </w:rPr>
        <w:t>Figure</w:t>
      </w:r>
      <w:r w:rsidR="00F30DC9" w:rsidRPr="005C222C">
        <w:rPr>
          <w:rFonts w:ascii="Times New Roman" w:hAnsi="Times New Roman" w:cs="Times New Roman"/>
          <w:sz w:val="24"/>
        </w:rPr>
        <w:t xml:space="preserve"> </w:t>
      </w:r>
      <w:r w:rsidRPr="005C222C">
        <w:rPr>
          <w:rFonts w:ascii="Times New Roman" w:hAnsi="Times New Roman" w:cs="Times New Roman"/>
          <w:sz w:val="24"/>
        </w:rPr>
        <w:t>4</w:t>
      </w:r>
      <w:r w:rsidR="00F30DC9">
        <w:rPr>
          <w:rFonts w:ascii="Times New Roman" w:hAnsi="Times New Roman" w:cs="Times New Roman" w:hint="eastAsia"/>
          <w:sz w:val="24"/>
        </w:rPr>
        <w:t>.</w:t>
      </w:r>
      <w:r w:rsidR="00F30DC9" w:rsidRPr="00F30DC9">
        <w:rPr>
          <w:rFonts w:cs="Times New Roman"/>
          <w:sz w:val="24"/>
        </w:rPr>
        <w:t xml:space="preserve"> </w:t>
      </w:r>
      <w:r w:rsidR="00F30DC9" w:rsidRPr="00F30DC9">
        <w:rPr>
          <w:rFonts w:ascii="Times New Roman" w:hAnsi="Times New Roman" w:cs="Times New Roman"/>
          <w:b w:val="0"/>
          <w:bCs/>
          <w:sz w:val="24"/>
        </w:rPr>
        <w:t>RNA-seq-based transcriptomic and cell-composition analysis.</w:t>
      </w:r>
    </w:p>
    <w:p w14:paraId="53AD432A" w14:textId="2728BA48" w:rsidR="00AB1E98" w:rsidRDefault="00AB1E98" w:rsidP="00064C90">
      <w:pPr>
        <w:pStyle w:val="FirstParagraph"/>
        <w:numPr>
          <w:ilvl w:val="0"/>
          <w:numId w:val="1"/>
        </w:numPr>
        <w:spacing w:after="216" w:line="480" w:lineRule="auto"/>
        <w:jc w:val="both"/>
        <w:rPr>
          <w:rFonts w:cs="Times New Roman"/>
          <w:sz w:val="24"/>
        </w:rPr>
      </w:pPr>
      <w:r w:rsidRPr="005C222C">
        <w:rPr>
          <w:rFonts w:cs="Times New Roman"/>
          <w:sz w:val="24"/>
        </w:rPr>
        <w:t>Principal component analysis of parental tissue and organoid samples. (B) Inferred cell-type composition based on RNA-seq. (C) Comparative cell-type fraction analysis between tissue and organoid samples.</w:t>
      </w:r>
    </w:p>
    <w:p w14:paraId="646FFBD2" w14:textId="44AD651B" w:rsidR="005507C2" w:rsidRPr="00F40E29" w:rsidRDefault="00064C90" w:rsidP="00064C90">
      <w:pPr>
        <w:pStyle w:val="FirstParagraph"/>
        <w:spacing w:after="216" w:line="480" w:lineRule="auto"/>
        <w:ind w:left="120"/>
        <w:jc w:val="both"/>
        <w:rPr>
          <w:rFonts w:cs="Times New Roman"/>
          <w:color w:val="000000" w:themeColor="text1"/>
          <w:sz w:val="24"/>
        </w:rPr>
      </w:pPr>
      <w:r w:rsidRPr="00F40E29">
        <w:rPr>
          <w:rFonts w:cs="Times New Roman"/>
          <w:color w:val="000000" w:themeColor="text1"/>
          <w:sz w:val="24"/>
        </w:rPr>
        <w:t>Abbreviations: RNA-seq, RNA sequencing;</w:t>
      </w:r>
      <w:r w:rsidRPr="00F40E29">
        <w:rPr>
          <w:rFonts w:cs="Times New Roman" w:hint="eastAsia"/>
          <w:color w:val="000000" w:themeColor="text1"/>
          <w:sz w:val="24"/>
        </w:rPr>
        <w:t xml:space="preserve"> </w:t>
      </w:r>
      <w:r w:rsidRPr="00F40E29">
        <w:rPr>
          <w:rFonts w:cs="Times New Roman"/>
          <w:color w:val="000000" w:themeColor="text1"/>
          <w:sz w:val="24"/>
        </w:rPr>
        <w:t>PCA, principal component analysis;</w:t>
      </w:r>
      <w:r w:rsidRPr="00F40E29">
        <w:rPr>
          <w:rFonts w:cs="Times New Roman"/>
          <w:color w:val="000000" w:themeColor="text1"/>
          <w:sz w:val="24"/>
        </w:rPr>
        <w:br/>
        <w:t>EC, endothelial cells; DC, dendritic cells.</w:t>
      </w:r>
    </w:p>
    <w:p w14:paraId="6FBD1A78" w14:textId="14AA3DD7" w:rsidR="00064C90" w:rsidRPr="005507C2" w:rsidRDefault="005507C2" w:rsidP="005507C2">
      <w:pPr>
        <w:widowControl/>
        <w:rPr>
          <w:rFonts w:ascii="Times New Roman" w:hAnsi="Times New Roman" w:cs="Times New Roman"/>
          <w:color w:val="EE0000"/>
          <w:kern w:val="0"/>
          <w:sz w:val="24"/>
          <w14:ligatures w14:val="none"/>
        </w:rPr>
      </w:pPr>
      <w:r>
        <w:rPr>
          <w:rFonts w:cs="Times New Roman"/>
          <w:color w:val="EE0000"/>
          <w:sz w:val="24"/>
        </w:rPr>
        <w:br w:type="page"/>
      </w:r>
    </w:p>
    <w:p w14:paraId="38F67654" w14:textId="4120D568" w:rsidR="00AB1E98" w:rsidRPr="00F30DC9" w:rsidRDefault="00AB1E98" w:rsidP="00AB1E98">
      <w:pPr>
        <w:pStyle w:val="Heading2"/>
        <w:spacing w:before="432" w:after="144" w:line="480" w:lineRule="auto"/>
        <w:rPr>
          <w:rFonts w:ascii="Times New Roman" w:hAnsi="Times New Roman" w:cs="Times New Roman"/>
          <w:b w:val="0"/>
          <w:bCs/>
          <w:sz w:val="24"/>
        </w:rPr>
      </w:pPr>
      <w:bookmarkStart w:id="5" w:name="supplementary-5"/>
      <w:bookmarkEnd w:id="4"/>
      <w:r w:rsidRPr="005C222C">
        <w:rPr>
          <w:rFonts w:ascii="Times New Roman" w:hAnsi="Times New Roman" w:cs="Times New Roman"/>
          <w:sz w:val="24"/>
        </w:rPr>
        <w:lastRenderedPageBreak/>
        <w:t xml:space="preserve">Supplementary </w:t>
      </w:r>
      <w:r w:rsidR="00F30DC9">
        <w:rPr>
          <w:rFonts w:ascii="Times New Roman" w:hAnsi="Times New Roman" w:cs="Times New Roman" w:hint="eastAsia"/>
          <w:sz w:val="24"/>
        </w:rPr>
        <w:t xml:space="preserve">Figure </w:t>
      </w:r>
      <w:r w:rsidRPr="005C222C">
        <w:rPr>
          <w:rFonts w:ascii="Times New Roman" w:hAnsi="Times New Roman" w:cs="Times New Roman"/>
          <w:sz w:val="24"/>
        </w:rPr>
        <w:t>5</w:t>
      </w:r>
      <w:r w:rsidR="00F30DC9">
        <w:rPr>
          <w:rFonts w:ascii="Times New Roman" w:hAnsi="Times New Roman" w:cs="Times New Roman" w:hint="eastAsia"/>
          <w:sz w:val="24"/>
        </w:rPr>
        <w:t>.</w:t>
      </w:r>
      <w:r w:rsidR="00F30DC9" w:rsidRPr="00F30DC9">
        <w:rPr>
          <w:rFonts w:ascii="Times New Roman" w:hAnsi="Times New Roman" w:cs="Times New Roman"/>
          <w:b w:val="0"/>
          <w:bCs/>
          <w:sz w:val="24"/>
        </w:rPr>
        <w:t xml:space="preserve"> Summary matrix of clinical and organoid-based docetaxel response.</w:t>
      </w:r>
    </w:p>
    <w:p w14:paraId="622646B6" w14:textId="0A0182D5" w:rsidR="00AB1E98" w:rsidRPr="005C222C" w:rsidRDefault="00AB1E98" w:rsidP="00AB1E98">
      <w:pPr>
        <w:pStyle w:val="FirstParagraph"/>
        <w:spacing w:after="216" w:line="480" w:lineRule="auto"/>
        <w:jc w:val="both"/>
        <w:rPr>
          <w:rFonts w:cs="Times New Roman"/>
          <w:sz w:val="24"/>
        </w:rPr>
      </w:pPr>
      <w:r w:rsidRPr="005C222C">
        <w:rPr>
          <w:rFonts w:cs="Times New Roman"/>
          <w:sz w:val="24"/>
        </w:rPr>
        <w:t>Integrated summary of the three enrolled cases, including NAC regimen, clinical response, pathological response, ypTNM stage, organoid docetaxel IC</w:t>
      </w:r>
      <w:r>
        <w:rPr>
          <w:rFonts w:cs="Times New Roman" w:hint="eastAsia"/>
          <w:sz w:val="24"/>
          <w:vertAlign w:val="subscript"/>
        </w:rPr>
        <w:t>50</w:t>
      </w:r>
      <w:r w:rsidRPr="005C222C">
        <w:rPr>
          <w:rFonts w:cs="Times New Roman"/>
          <w:sz w:val="24"/>
        </w:rPr>
        <w:t>, organoid sensitivity classification, treatment-associated morphological response, Ki67 change after docetaxel exposure, TUBB3 dynamic pattern, and integrated interpretation. Case 1 showed a resistant phenotype with preserved spheroid morphology and maintained/increased TUBB3 staining. Case 2 showed an intermediate phenotype with dose-dependent spheroid size reduction and relatively stable TUBB3 change. Case 3 showed a sensitive phenotype with spheroid disruption, dispersed cells, and a distinct treatment-associated TUBB3 dynamic pattern. For Case 1, the resistant classification was assigned based on the overall viability curve and morphology-supported response pattern because IC</w:t>
      </w:r>
      <w:r w:rsidRPr="0084003A">
        <w:rPr>
          <w:rFonts w:cs="Times New Roman"/>
          <w:sz w:val="24"/>
          <w:vertAlign w:val="subscript"/>
        </w:rPr>
        <w:t>50</w:t>
      </w:r>
      <w:r w:rsidRPr="005C222C">
        <w:rPr>
          <w:rFonts w:cs="Times New Roman"/>
          <w:sz w:val="24"/>
        </w:rPr>
        <w:t xml:space="preserve"> was not evaluable.</w:t>
      </w:r>
    </w:p>
    <w:bookmarkEnd w:id="0"/>
    <w:bookmarkEnd w:id="5"/>
    <w:p w14:paraId="6D6189BF" w14:textId="56791A68" w:rsidR="00AB1E98" w:rsidRPr="00F40E29" w:rsidRDefault="00064C90">
      <w:pPr>
        <w:rPr>
          <w:rFonts w:ascii="Times New Roman" w:hAnsi="Times New Roman" w:cs="Times New Roman"/>
          <w:color w:val="000000" w:themeColor="text1"/>
          <w:sz w:val="24"/>
        </w:rPr>
      </w:pPr>
      <w:r w:rsidRPr="00F40E29">
        <w:rPr>
          <w:rFonts w:ascii="Times New Roman" w:hAnsi="Times New Roman" w:cs="Times New Roman"/>
          <w:color w:val="000000" w:themeColor="text1"/>
          <w:sz w:val="24"/>
        </w:rPr>
        <w:t>Abbreviations: NAC, neoadjuvant</w:t>
      </w:r>
      <w:r w:rsidR="009237EA" w:rsidRPr="00F40E2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F40E29">
        <w:rPr>
          <w:rFonts w:ascii="Times New Roman" w:hAnsi="Times New Roman" w:cs="Times New Roman"/>
          <w:color w:val="000000" w:themeColor="text1"/>
          <w:sz w:val="24"/>
        </w:rPr>
        <w:t>chemotherapy; ypTNM, post-treatment</w:t>
      </w:r>
      <w:r w:rsidR="009237EA" w:rsidRPr="00F40E2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F40E29">
        <w:rPr>
          <w:rFonts w:ascii="Times New Roman" w:hAnsi="Times New Roman" w:cs="Times New Roman"/>
          <w:color w:val="000000" w:themeColor="text1"/>
          <w:sz w:val="24"/>
        </w:rPr>
        <w:t>pathological TNM staging; IC₅₀, half-maximal inhibitory concentration;TUBB3, tubulin beta-3 chain; Ki67,proliferation marker Ki67; TEC,docetaxel</w:t>
      </w:r>
      <w:r w:rsidRPr="00F40E29">
        <w:rPr>
          <w:rFonts w:ascii="Times New Roman" w:hAnsi="Times New Roman" w:cs="Times New Roman" w:hint="eastAsia"/>
          <w:color w:val="000000" w:themeColor="text1"/>
          <w:sz w:val="24"/>
        </w:rPr>
        <w:t>–</w:t>
      </w:r>
      <w:r w:rsidRPr="00F40E29">
        <w:rPr>
          <w:rFonts w:ascii="Times New Roman" w:hAnsi="Times New Roman" w:cs="Times New Roman"/>
          <w:color w:val="000000" w:themeColor="text1"/>
          <w:sz w:val="24"/>
        </w:rPr>
        <w:t>epirubicin</w:t>
      </w:r>
      <w:r w:rsidRPr="00F40E29">
        <w:rPr>
          <w:rFonts w:ascii="Times New Roman" w:hAnsi="Times New Roman" w:cs="Times New Roman" w:hint="eastAsia"/>
          <w:color w:val="000000" w:themeColor="text1"/>
          <w:sz w:val="24"/>
        </w:rPr>
        <w:t>–</w:t>
      </w:r>
      <w:r w:rsidRPr="00F40E29">
        <w:rPr>
          <w:rFonts w:ascii="Times New Roman" w:hAnsi="Times New Roman" w:cs="Times New Roman"/>
          <w:color w:val="000000" w:themeColor="text1"/>
          <w:sz w:val="24"/>
        </w:rPr>
        <w:t>cyclophosphamide.</w:t>
      </w:r>
    </w:p>
    <w:sectPr w:rsidR="00AB1E98" w:rsidRPr="00F40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44C4B" w14:textId="77777777" w:rsidR="002F6E37" w:rsidRDefault="002F6E37" w:rsidP="00F30DC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89B40C5" w14:textId="77777777" w:rsidR="002F6E37" w:rsidRDefault="002F6E37" w:rsidP="00F30DC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24ABF" w14:textId="77777777" w:rsidR="002F6E37" w:rsidRDefault="002F6E37" w:rsidP="00F30DC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455DFA4" w14:textId="77777777" w:rsidR="002F6E37" w:rsidRDefault="002F6E37" w:rsidP="00F30DC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E07FA"/>
    <w:multiLevelType w:val="hybridMultilevel"/>
    <w:tmpl w:val="3F2858B2"/>
    <w:lvl w:ilvl="0" w:tplc="B7885110">
      <w:start w:val="1"/>
      <w:numFmt w:val="upperLetter"/>
      <w:lvlText w:val="(%1)"/>
      <w:lvlJc w:val="left"/>
      <w:pPr>
        <w:ind w:left="50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00" w:hanging="440"/>
      </w:pPr>
    </w:lvl>
    <w:lvl w:ilvl="2" w:tplc="0409001B" w:tentative="1">
      <w:start w:val="1"/>
      <w:numFmt w:val="lowerRoman"/>
      <w:lvlText w:val="%3."/>
      <w:lvlJc w:val="righ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9" w:tentative="1">
      <w:start w:val="1"/>
      <w:numFmt w:val="lowerLetter"/>
      <w:lvlText w:val="%5)"/>
      <w:lvlJc w:val="left"/>
      <w:pPr>
        <w:ind w:left="2320" w:hanging="440"/>
      </w:pPr>
    </w:lvl>
    <w:lvl w:ilvl="5" w:tplc="0409001B" w:tentative="1">
      <w:start w:val="1"/>
      <w:numFmt w:val="lowerRoman"/>
      <w:lvlText w:val="%6."/>
      <w:lvlJc w:val="righ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9" w:tentative="1">
      <w:start w:val="1"/>
      <w:numFmt w:val="lowerLetter"/>
      <w:lvlText w:val="%8)"/>
      <w:lvlJc w:val="left"/>
      <w:pPr>
        <w:ind w:left="3640" w:hanging="440"/>
      </w:pPr>
    </w:lvl>
    <w:lvl w:ilvl="8" w:tplc="0409001B" w:tentative="1">
      <w:start w:val="1"/>
      <w:numFmt w:val="lowerRoman"/>
      <w:lvlText w:val="%9."/>
      <w:lvlJc w:val="right"/>
      <w:pPr>
        <w:ind w:left="4080" w:hanging="440"/>
      </w:pPr>
    </w:lvl>
  </w:abstractNum>
  <w:num w:numId="1" w16cid:durableId="56317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98"/>
    <w:rsid w:val="00064C90"/>
    <w:rsid w:val="00080167"/>
    <w:rsid w:val="002442C9"/>
    <w:rsid w:val="002F6E37"/>
    <w:rsid w:val="00415D80"/>
    <w:rsid w:val="00436B27"/>
    <w:rsid w:val="005507C2"/>
    <w:rsid w:val="00571A11"/>
    <w:rsid w:val="009237EA"/>
    <w:rsid w:val="00AB1E98"/>
    <w:rsid w:val="00B570DD"/>
    <w:rsid w:val="00C22CF9"/>
    <w:rsid w:val="00C76CEA"/>
    <w:rsid w:val="00CF13BB"/>
    <w:rsid w:val="00ED05D8"/>
    <w:rsid w:val="00F30DC9"/>
    <w:rsid w:val="00F4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349945"/>
  <w15:chartTrackingRefBased/>
  <w15:docId w15:val="{FE5E1583-D8ED-4EDF-9852-180EB320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1E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E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E9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E9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E9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E9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E9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E9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E9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B1E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B1E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B1E9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B1E9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B1E9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B1E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B1E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B1E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B1E9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B1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1E9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B1E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1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B1E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1E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1E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1E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B1E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B1E98"/>
    <w:rPr>
      <w:b/>
      <w:bCs/>
      <w:smallCaps/>
      <w:color w:val="2F5496" w:themeColor="accent1" w:themeShade="BF"/>
      <w:spacing w:val="5"/>
    </w:rPr>
  </w:style>
  <w:style w:type="paragraph" w:customStyle="1" w:styleId="FirstParagraph">
    <w:name w:val="#First Paragraph"/>
    <w:basedOn w:val="a"/>
    <w:rsid w:val="00AB1E98"/>
    <w:pPr>
      <w:widowControl/>
      <w:spacing w:after="200" w:line="240" w:lineRule="auto"/>
    </w:pPr>
    <w:rPr>
      <w:rFonts w:ascii="Times New Roman" w:hAnsi="Times New Roman"/>
      <w:color w:val="111111"/>
      <w:kern w:val="0"/>
      <w14:ligatures w14:val="none"/>
    </w:rPr>
  </w:style>
  <w:style w:type="paragraph" w:customStyle="1" w:styleId="BodyText">
    <w:name w:val="#Body Text"/>
    <w:basedOn w:val="a"/>
    <w:rsid w:val="00AB1E98"/>
    <w:pPr>
      <w:widowControl/>
      <w:spacing w:after="200" w:line="240" w:lineRule="auto"/>
    </w:pPr>
    <w:rPr>
      <w:rFonts w:ascii="Times New Roman" w:hAnsi="Times New Roman"/>
      <w:color w:val="111111"/>
      <w:kern w:val="0"/>
      <w14:ligatures w14:val="none"/>
    </w:rPr>
  </w:style>
  <w:style w:type="paragraph" w:customStyle="1" w:styleId="Heading1">
    <w:name w:val="#Heading 1"/>
    <w:basedOn w:val="a"/>
    <w:rsid w:val="00AB1E98"/>
    <w:pPr>
      <w:widowControl/>
      <w:spacing w:after="200" w:line="240" w:lineRule="auto"/>
    </w:pPr>
    <w:rPr>
      <w:b/>
      <w:color w:val="111111"/>
      <w:kern w:val="0"/>
      <w:sz w:val="33"/>
      <w14:ligatures w14:val="none"/>
    </w:rPr>
  </w:style>
  <w:style w:type="paragraph" w:customStyle="1" w:styleId="Heading2">
    <w:name w:val="#Heading 2"/>
    <w:basedOn w:val="a"/>
    <w:rsid w:val="00AB1E98"/>
    <w:pPr>
      <w:widowControl/>
      <w:spacing w:after="200" w:line="240" w:lineRule="auto"/>
    </w:pPr>
    <w:rPr>
      <w:b/>
      <w:color w:val="111111"/>
      <w:kern w:val="0"/>
      <w:sz w:val="28"/>
      <w14:ligatures w14:val="none"/>
    </w:rPr>
  </w:style>
  <w:style w:type="paragraph" w:styleId="ae">
    <w:name w:val="header"/>
    <w:basedOn w:val="a"/>
    <w:link w:val="af"/>
    <w:uiPriority w:val="99"/>
    <w:unhideWhenUsed/>
    <w:rsid w:val="00F30DC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30DC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30DC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30D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342</Words>
  <Characters>2223</Characters>
  <Application>Microsoft Office Word</Application>
  <DocSecurity>0</DocSecurity>
  <Lines>44</Lines>
  <Paragraphs>15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雪雪 张</dc:creator>
  <cp:keywords/>
  <dc:description/>
  <cp:lastModifiedBy>雪雪 张</cp:lastModifiedBy>
  <cp:revision>14</cp:revision>
  <dcterms:created xsi:type="dcterms:W3CDTF">2026-05-25T17:51:00Z</dcterms:created>
  <dcterms:modified xsi:type="dcterms:W3CDTF">2026-05-26T15:13:00Z</dcterms:modified>
</cp:coreProperties>
</file>