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Times New Roman" w:hAnsi="Times New Roman"/>
          <w:b/>
          <w:i w:val="0"/>
          <w:sz w:val="26"/>
        </w:rPr>
        <w:t>STROBE Statement: Checklist of Items to Be Included in Reports of Cohort Studies</w:t>
      </w:r>
    </w:p>
    <w:p>
      <w:pPr>
        <w:spacing w:after="80"/>
      </w:pPr>
      <w:r>
        <w:rPr>
          <w:rFonts w:ascii="Times New Roman" w:hAnsi="Times New Roman"/>
          <w:b/>
          <w:i w:val="0"/>
          <w:sz w:val="20"/>
        </w:rPr>
        <w:t>Manuscript:</w:t>
      </w:r>
      <w:r>
        <w:rPr>
          <w:rFonts w:ascii="Times New Roman" w:hAnsi="Times New Roman"/>
          <w:b w:val="0"/>
          <w:i w:val="0"/>
          <w:sz w:val="20"/>
        </w:rPr>
        <w:t xml:space="preserve"> Perfusion defect, but not CT-quantified emphysema burden, is associated with major adverse events in pulmonary emphysema: a short-time deep-inspiratory breath-hold SPECT/CT cohort study</w:t>
      </w:r>
    </w:p>
    <w:p>
      <w:pPr>
        <w:spacing w:after="80"/>
      </w:pPr>
      <w:r>
        <w:rPr>
          <w:rFonts w:ascii="Times New Roman" w:hAnsi="Times New Roman"/>
          <w:b/>
          <w:i w:val="0"/>
          <w:sz w:val="20"/>
        </w:rPr>
        <w:t>Study design:</w:t>
      </w:r>
      <w:r>
        <w:rPr>
          <w:rFonts w:ascii="Times New Roman" w:hAnsi="Times New Roman"/>
          <w:b w:val="0"/>
          <w:i w:val="0"/>
          <w:sz w:val="20"/>
        </w:rPr>
        <w:t xml:space="preserve"> Single-center, retrospective observational cohort study</w:t>
      </w:r>
    </w:p>
    <w:p>
      <w:pPr>
        <w:spacing w:after="80"/>
      </w:pPr>
      <w:r>
        <w:rPr>
          <w:rFonts w:ascii="Times New Roman" w:hAnsi="Times New Roman"/>
          <w:b/>
          <w:i w:val="0"/>
          <w:sz w:val="20"/>
        </w:rPr>
        <w:t>Checklist version:</w:t>
      </w:r>
      <w:r>
        <w:rPr>
          <w:rFonts w:ascii="Times New Roman" w:hAnsi="Times New Roman"/>
          <w:b w:val="0"/>
          <w:i w:val="0"/>
          <w:sz w:val="20"/>
        </w:rPr>
        <w:t xml:space="preserve"> STROBE cohort-study checklist (equator-network.org/reporting-guidelines/strobe/)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35"/>
        <w:gridCol w:w="3535"/>
        <w:gridCol w:w="3535"/>
        <w:gridCol w:w="3535"/>
      </w:tblGrid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/>
                <w:i w:val="0"/>
                <w:sz w:val="18"/>
              </w:rPr>
              <w:t>Item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/>
                <w:i w:val="0"/>
                <w:sz w:val="18"/>
              </w:rPr>
              <w:t>#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/>
                <w:i w:val="0"/>
                <w:sz w:val="18"/>
              </w:rPr>
              <w:t>Recommendation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/>
                <w:i w:val="0"/>
                <w:sz w:val="18"/>
              </w:rPr>
              <w:t>Reported in manuscript section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/>
                <w:i w:val="0"/>
                <w:sz w:val="18"/>
              </w:rPr>
              <w:t>Title and abstract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(a) Study design in the title or abstract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Title (cohort study); Abstract &gt; Methods (single-center retrospective cohort)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(b) Informative and balanced abstract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Abstract (Background, Methods, Results, and Conclusions)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/>
                <w:i w:val="0"/>
                <w:sz w:val="18"/>
              </w:rPr>
              <w:t>Introduction (reported under the heading Background)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Background/rationale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Scientific background and rationale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Background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Objectives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Specific objectives, including prespecified hypotheses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Background, final paragraph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/>
                <w:i w:val="0"/>
                <w:sz w:val="18"/>
              </w:rPr>
              <w:t>Methods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Study design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4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Key elements of study design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Study design and patient selection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Setting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Setting, locations, relevant dates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Study design and patient selection (Nippon Medical School Hospital, May 2012–March 2023)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Participants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6a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Eligibility criteria, sources and methods of selection; follow-up methods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Study design and patient selection; Methods &gt; Clinical outcomes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6b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Not applicable (not a matched study)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Not applicable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Variables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7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Definitions of outcomes, exposures, predictors, confounders, and effect modifiers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Image analysis (%PPD, Meyer scores, %LAA, and mismatch metrics); Methods &gt; Clinical outcomes (definition of major adverse events)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Data sources/measurement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8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Sources of data and assessment methods per variable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STDIBH pulmonary perfusion SPECT/CT; Methods &gt; Image analysis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Bias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9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Efforts to address potential sources of bias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Image analysis (single blinded reader); Discussion &gt; Limitations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Study size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10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How study size was arrived at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Study design and patient selection (consecutive patients; the absence of a prospective power calculation is stated in Discussion &gt; Limitations)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Quantitative variables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11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Handling of quantitative variables and groupings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Statistical analysis (cutoff by the Youden index; per-10% and per-IQR rescaling)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Statistical methods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12a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Statistical methods, including control of confounding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Statistical analysis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12b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Subgroup and interaction analyses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Statistical analysis (mismatch bivariable models); Results &gt; Sensitivity analysis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12c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Missing data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Table 1 footnote (per-variable n); Results &gt; Patient characteristics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12d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Loss to follow-up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Clinical outcomes (open-ended follow-up without administrative censoring); Results &gt; Major adverse events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12e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Sensitivity analyses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Methods &gt; Clinical outcomes (5-component composite); Results &gt; Sensitivity analysis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/>
                <w:i w:val="0"/>
                <w:sz w:val="18"/>
              </w:rPr>
              <w:t>Results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Participants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13a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Numbers at each stage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Results &gt; Patient characteristics (91 patients screened, 17 excluded, and 74 analyzed); Fig. 1 (patient flow diagram)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13b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Reasons for non-participation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Results &gt; Patient characteristics (exclusion reasons); Fig. 1 legend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13c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Flow diagram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Fig. 1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Descriptive data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14a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Characteristics of participants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Results &gt; Patient characteristics; Table 1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14b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Missing data per variable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Table 1 (per-variable n reported)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14c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Summary of follow-up time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Results &gt; Major adverse events (median follow-up 70.9 months by reverse Kaplan-Meier)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Outcome data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15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Numbers of outcome events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Results &gt; Major adverse events; Table 2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Main results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16a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Unadjusted and adjusted estimates with precision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Results &gt; Survival analysis; Table 3 (univariable and multivariable hazard ratios with 95% CI)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16b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Category boundaries for categorized variables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Results &gt; %PPD and group comparison (34.2% cutoff)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16c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Absolute risk translation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Results &gt; Survival analysis (5-year landmark survival)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Other analyses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17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Other analyses (subgroup and sensitivity analyses)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Results &gt; Sensitivity analysis; Discussion &gt; Functional perfusion versus structural emphysema burden; Discussion &gt; Ventilation–perfusion mismatch as a prognostic refinement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/>
                <w:i w:val="0"/>
                <w:sz w:val="18"/>
              </w:rPr>
              <w:t>Discussion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Key results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18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Summary of key results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Discussion, opening paragraph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Limitations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19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Limitations, direction and magnitude of bias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Discussion &gt; Limitations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Interpretation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20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Cautious overall interpretation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Discussion &gt; Prognostic value of %PPD; Discussion &gt; Clinical implications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Generalizability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21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External validity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Discussion &gt; Limitations (single-center design; need for external validation)</w:t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/>
                <w:i w:val="0"/>
                <w:sz w:val="18"/>
              </w:rPr>
              <w:t>Other information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</w:r>
          </w:p>
        </w:tc>
      </w:tr>
      <w:tr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Funding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22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Source of funding and role of funders</w:t>
            </w:r>
          </w:p>
        </w:tc>
        <w:tc>
          <w:tcPr>
            <w:tcW w:type="dxa" w:w="3535"/>
          </w:tcPr>
          <w:p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Declarations &gt; Funding</w:t>
            </w:r>
          </w:p>
        </w:tc>
      </w:tr>
    </w:tbl>
    <w:p>
      <w:r>
        <w:rPr>
          <w:rFonts w:ascii="Times New Roman" w:hAnsi="Times New Roman"/>
          <w:b w:val="0"/>
          <w:i/>
          <w:sz w:val="16"/>
        </w:rPr>
        <w:t>Prepared for submission to BMC Medical Imaging. Section references point to manuscript headings rather than fixed page numbers, because pagination is not finalized until typesetting.</w:t>
      </w:r>
    </w:p>
    <w:sectPr w:rsidR="00FC693F" w:rsidRPr="0006063C" w:rsidSect="00034616">
      <w:pgSz w:w="15840" w:h="12240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